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496" w:rsidRPr="00E30496" w:rsidRDefault="00746FA1" w:rsidP="00E30496">
      <w:pPr>
        <w:rPr>
          <w:b/>
        </w:rPr>
      </w:pPr>
      <w:r>
        <w:rPr>
          <w:b/>
        </w:rPr>
        <w:t>Table S1</w:t>
      </w:r>
      <w:bookmarkStart w:id="0" w:name="_GoBack"/>
      <w:bookmarkEnd w:id="0"/>
      <w:r w:rsidR="00E30496" w:rsidRPr="00E30496">
        <w:rPr>
          <w:b/>
        </w:rPr>
        <w:t xml:space="preserve">. </w:t>
      </w:r>
      <w:proofErr w:type="gramStart"/>
      <w:r w:rsidR="00E30496" w:rsidRPr="00E30496">
        <w:rPr>
          <w:b/>
        </w:rPr>
        <w:t>Characteristics of studies and reference standards.</w:t>
      </w:r>
      <w:proofErr w:type="gramEnd"/>
    </w:p>
    <w:tbl>
      <w:tblPr>
        <w:tblStyle w:val="TableGrid"/>
        <w:tblW w:w="14850" w:type="dxa"/>
        <w:tblInd w:w="-972" w:type="dxa"/>
        <w:tblLayout w:type="fixed"/>
        <w:tblLook w:val="04A0" w:firstRow="1" w:lastRow="0" w:firstColumn="1" w:lastColumn="0" w:noHBand="0" w:noVBand="1"/>
      </w:tblPr>
      <w:tblGrid>
        <w:gridCol w:w="1350"/>
        <w:gridCol w:w="990"/>
        <w:gridCol w:w="900"/>
        <w:gridCol w:w="1080"/>
        <w:gridCol w:w="1800"/>
        <w:gridCol w:w="2610"/>
        <w:gridCol w:w="3150"/>
        <w:gridCol w:w="2970"/>
      </w:tblGrid>
      <w:tr w:rsidR="00E30496" w:rsidRPr="00E30496" w:rsidTr="00B375D4">
        <w:tc>
          <w:tcPr>
            <w:tcW w:w="1350" w:type="dxa"/>
            <w:vAlign w:val="center"/>
          </w:tcPr>
          <w:p w:rsidR="00E30496" w:rsidRPr="00E30496" w:rsidRDefault="00E30496" w:rsidP="00E30496">
            <w:pPr>
              <w:spacing w:before="100" w:beforeAutospacing="1" w:after="100" w:afterAutospacing="1"/>
              <w:contextualSpacing/>
              <w:jc w:val="center"/>
              <w:rPr>
                <w:b/>
                <w:sz w:val="17"/>
                <w:szCs w:val="17"/>
              </w:rPr>
            </w:pPr>
            <w:r w:rsidRPr="00E30496">
              <w:rPr>
                <w:b/>
                <w:sz w:val="17"/>
                <w:szCs w:val="17"/>
              </w:rPr>
              <w:t>Author, year</w:t>
            </w:r>
          </w:p>
        </w:tc>
        <w:tc>
          <w:tcPr>
            <w:tcW w:w="990" w:type="dxa"/>
            <w:vAlign w:val="center"/>
          </w:tcPr>
          <w:p w:rsidR="00E30496" w:rsidRPr="00E30496" w:rsidRDefault="00E30496" w:rsidP="00E30496">
            <w:pPr>
              <w:spacing w:before="100" w:beforeAutospacing="1" w:after="100" w:afterAutospacing="1"/>
              <w:contextualSpacing/>
              <w:jc w:val="center"/>
              <w:rPr>
                <w:sz w:val="17"/>
                <w:szCs w:val="17"/>
              </w:rPr>
            </w:pPr>
            <w:r w:rsidRPr="00E30496">
              <w:rPr>
                <w:b/>
                <w:sz w:val="17"/>
                <w:szCs w:val="17"/>
              </w:rPr>
              <w:t>Age</w:t>
            </w:r>
          </w:p>
        </w:tc>
        <w:tc>
          <w:tcPr>
            <w:tcW w:w="900" w:type="dxa"/>
            <w:vAlign w:val="center"/>
          </w:tcPr>
          <w:p w:rsidR="00E30496" w:rsidRPr="00E30496" w:rsidRDefault="00E30496" w:rsidP="00E30496">
            <w:pPr>
              <w:contextualSpacing/>
              <w:jc w:val="center"/>
              <w:rPr>
                <w:b/>
                <w:sz w:val="17"/>
                <w:szCs w:val="17"/>
              </w:rPr>
            </w:pPr>
            <w:r w:rsidRPr="00E30496">
              <w:rPr>
                <w:b/>
                <w:sz w:val="17"/>
                <w:szCs w:val="17"/>
              </w:rPr>
              <w:t xml:space="preserve">Sex </w:t>
            </w:r>
          </w:p>
          <w:p w:rsidR="00E30496" w:rsidRPr="00E30496" w:rsidRDefault="00E30496" w:rsidP="00E30496">
            <w:pPr>
              <w:contextualSpacing/>
              <w:jc w:val="center"/>
              <w:rPr>
                <w:sz w:val="17"/>
                <w:szCs w:val="17"/>
              </w:rPr>
            </w:pPr>
            <w:r w:rsidRPr="00E30496">
              <w:rPr>
                <w:b/>
                <w:sz w:val="17"/>
                <w:szCs w:val="17"/>
              </w:rPr>
              <w:t>(% male)</w:t>
            </w:r>
          </w:p>
        </w:tc>
        <w:tc>
          <w:tcPr>
            <w:tcW w:w="1080" w:type="dxa"/>
            <w:vAlign w:val="center"/>
          </w:tcPr>
          <w:p w:rsidR="00E30496" w:rsidRPr="00E30496" w:rsidRDefault="00E30496" w:rsidP="00E30496">
            <w:pPr>
              <w:spacing w:before="100" w:beforeAutospacing="1" w:after="100" w:afterAutospacing="1"/>
              <w:contextualSpacing/>
              <w:jc w:val="center"/>
              <w:rPr>
                <w:sz w:val="17"/>
                <w:szCs w:val="17"/>
              </w:rPr>
            </w:pPr>
            <w:r w:rsidRPr="00E30496">
              <w:rPr>
                <w:b/>
                <w:sz w:val="17"/>
                <w:szCs w:val="17"/>
              </w:rPr>
              <w:t>Country</w:t>
            </w:r>
          </w:p>
        </w:tc>
        <w:tc>
          <w:tcPr>
            <w:tcW w:w="1800" w:type="dxa"/>
            <w:vAlign w:val="center"/>
          </w:tcPr>
          <w:p w:rsidR="00E30496" w:rsidRPr="00E30496" w:rsidRDefault="00E30496" w:rsidP="00E30496">
            <w:pPr>
              <w:spacing w:before="100" w:beforeAutospacing="1" w:after="100" w:afterAutospacing="1"/>
              <w:contextualSpacing/>
              <w:jc w:val="center"/>
              <w:rPr>
                <w:sz w:val="17"/>
                <w:szCs w:val="17"/>
              </w:rPr>
            </w:pPr>
            <w:r w:rsidRPr="00E30496">
              <w:rPr>
                <w:b/>
                <w:sz w:val="17"/>
                <w:szCs w:val="17"/>
              </w:rPr>
              <w:t>Population description</w:t>
            </w:r>
          </w:p>
        </w:tc>
        <w:tc>
          <w:tcPr>
            <w:tcW w:w="2610" w:type="dxa"/>
            <w:vAlign w:val="center"/>
          </w:tcPr>
          <w:p w:rsidR="00E30496" w:rsidRPr="00E30496" w:rsidRDefault="00E30496" w:rsidP="00E30496">
            <w:pPr>
              <w:spacing w:before="100" w:beforeAutospacing="1" w:after="100" w:afterAutospacing="1"/>
              <w:contextualSpacing/>
              <w:jc w:val="center"/>
              <w:rPr>
                <w:b/>
                <w:sz w:val="17"/>
                <w:szCs w:val="17"/>
              </w:rPr>
            </w:pPr>
            <w:r w:rsidRPr="00E30496">
              <w:rPr>
                <w:b/>
                <w:sz w:val="17"/>
                <w:szCs w:val="17"/>
              </w:rPr>
              <w:t>Reference standard</w:t>
            </w:r>
          </w:p>
        </w:tc>
        <w:tc>
          <w:tcPr>
            <w:tcW w:w="3150" w:type="dxa"/>
            <w:vAlign w:val="center"/>
          </w:tcPr>
          <w:p w:rsidR="00E30496" w:rsidRPr="00E30496" w:rsidRDefault="00E30496" w:rsidP="00E30496">
            <w:pPr>
              <w:spacing w:before="100" w:beforeAutospacing="1" w:after="100" w:afterAutospacing="1"/>
              <w:contextualSpacing/>
              <w:jc w:val="center"/>
              <w:rPr>
                <w:b/>
                <w:sz w:val="17"/>
                <w:szCs w:val="17"/>
              </w:rPr>
            </w:pPr>
            <w:r w:rsidRPr="00E30496">
              <w:rPr>
                <w:b/>
                <w:sz w:val="17"/>
                <w:szCs w:val="17"/>
              </w:rPr>
              <w:t>Discordant handling</w:t>
            </w:r>
          </w:p>
        </w:tc>
        <w:tc>
          <w:tcPr>
            <w:tcW w:w="2970" w:type="dxa"/>
            <w:vAlign w:val="center"/>
          </w:tcPr>
          <w:p w:rsidR="00E30496" w:rsidRPr="00E30496" w:rsidRDefault="00E30496" w:rsidP="00E30496">
            <w:pPr>
              <w:spacing w:before="100" w:beforeAutospacing="1" w:after="100" w:afterAutospacing="1"/>
              <w:contextualSpacing/>
              <w:jc w:val="center"/>
              <w:rPr>
                <w:b/>
                <w:sz w:val="17"/>
                <w:szCs w:val="17"/>
              </w:rPr>
            </w:pPr>
            <w:r w:rsidRPr="00E30496">
              <w:rPr>
                <w:b/>
                <w:sz w:val="17"/>
                <w:szCs w:val="17"/>
              </w:rPr>
              <w:t>Comment</w:t>
            </w:r>
          </w:p>
        </w:tc>
      </w:tr>
      <w:tr w:rsidR="00E30496" w:rsidRPr="00E30496" w:rsidTr="00B375D4">
        <w:tc>
          <w:tcPr>
            <w:tcW w:w="13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1. </w:t>
            </w:r>
            <w:proofErr w:type="spellStart"/>
            <w:r w:rsidRPr="00E30496">
              <w:rPr>
                <w:color w:val="000000"/>
                <w:sz w:val="17"/>
                <w:szCs w:val="17"/>
              </w:rPr>
              <w:t>Chippaux</w:t>
            </w:r>
            <w:proofErr w:type="spellEnd"/>
            <w:r w:rsidRPr="00E30496">
              <w:rPr>
                <w:color w:val="000000"/>
                <w:sz w:val="17"/>
                <w:szCs w:val="17"/>
              </w:rPr>
              <w:t>, 2009</w:t>
            </w:r>
          </w:p>
        </w:tc>
        <w:tc>
          <w:tcPr>
            <w:tcW w:w="99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Mean: 25.4</w:t>
            </w:r>
          </w:p>
        </w:tc>
        <w:tc>
          <w:tcPr>
            <w:tcW w:w="90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47.20%</w:t>
            </w:r>
          </w:p>
        </w:tc>
        <w:tc>
          <w:tcPr>
            <w:tcW w:w="108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Bolivia</w:t>
            </w:r>
          </w:p>
        </w:tc>
        <w:tc>
          <w:tcPr>
            <w:tcW w:w="180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995; 482 asymptomatic </w:t>
            </w:r>
            <w:proofErr w:type="spellStart"/>
            <w:r w:rsidRPr="00E30496">
              <w:rPr>
                <w:color w:val="000000"/>
                <w:sz w:val="17"/>
                <w:szCs w:val="17"/>
              </w:rPr>
              <w:t>chagasic</w:t>
            </w:r>
            <w:proofErr w:type="spellEnd"/>
            <w:r w:rsidRPr="00E30496">
              <w:rPr>
                <w:color w:val="000000"/>
                <w:sz w:val="17"/>
                <w:szCs w:val="17"/>
              </w:rPr>
              <w:t>; 513 asymptomatic non-</w:t>
            </w:r>
            <w:proofErr w:type="spellStart"/>
            <w:r w:rsidRPr="00E30496">
              <w:rPr>
                <w:color w:val="000000"/>
                <w:sz w:val="17"/>
                <w:szCs w:val="17"/>
              </w:rPr>
              <w:t>chagasic</w:t>
            </w:r>
            <w:proofErr w:type="spellEnd"/>
          </w:p>
        </w:tc>
        <w:tc>
          <w:tcPr>
            <w:tcW w:w="261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Commercial ELISA test</w:t>
            </w:r>
          </w:p>
        </w:tc>
        <w:tc>
          <w:tcPr>
            <w:tcW w:w="31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Tests giving indeterminate results (those with 2 SD's around cutoff) were repeated. If the index (CSP) and reference standard (ELISA) disagreed, both tests were repeated.</w:t>
            </w:r>
          </w:p>
        </w:tc>
        <w:tc>
          <w:tcPr>
            <w:tcW w:w="297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Randomly selected inhabitants of a rural area highly endemic for T. </w:t>
            </w:r>
            <w:proofErr w:type="spellStart"/>
            <w:r w:rsidRPr="00E30496">
              <w:rPr>
                <w:color w:val="000000"/>
                <w:sz w:val="17"/>
                <w:szCs w:val="17"/>
              </w:rPr>
              <w:t>cruzi</w:t>
            </w:r>
            <w:proofErr w:type="spellEnd"/>
          </w:p>
        </w:tc>
      </w:tr>
      <w:tr w:rsidR="00E30496" w:rsidRPr="00E30496" w:rsidTr="00B375D4">
        <w:tc>
          <w:tcPr>
            <w:tcW w:w="13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2. </w:t>
            </w:r>
            <w:proofErr w:type="spellStart"/>
            <w:r w:rsidRPr="00E30496">
              <w:rPr>
                <w:color w:val="000000"/>
                <w:sz w:val="17"/>
                <w:szCs w:val="17"/>
              </w:rPr>
              <w:t>Langhi</w:t>
            </w:r>
            <w:proofErr w:type="spellEnd"/>
            <w:r w:rsidRPr="00E30496">
              <w:rPr>
                <w:color w:val="000000"/>
                <w:sz w:val="17"/>
                <w:szCs w:val="17"/>
              </w:rPr>
              <w:t xml:space="preserve"> Junior, 2002</w:t>
            </w:r>
          </w:p>
        </w:tc>
        <w:tc>
          <w:tcPr>
            <w:tcW w:w="99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NA</w:t>
            </w:r>
          </w:p>
        </w:tc>
        <w:tc>
          <w:tcPr>
            <w:tcW w:w="90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NA</w:t>
            </w:r>
          </w:p>
        </w:tc>
        <w:tc>
          <w:tcPr>
            <w:tcW w:w="108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Brazil</w:t>
            </w:r>
          </w:p>
        </w:tc>
        <w:tc>
          <w:tcPr>
            <w:tcW w:w="180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1951; 10 </w:t>
            </w:r>
            <w:proofErr w:type="spellStart"/>
            <w:r w:rsidRPr="00E30496">
              <w:rPr>
                <w:color w:val="000000"/>
                <w:sz w:val="17"/>
                <w:szCs w:val="17"/>
              </w:rPr>
              <w:t>chagasic</w:t>
            </w:r>
            <w:proofErr w:type="spellEnd"/>
            <w:r w:rsidRPr="00E30496">
              <w:rPr>
                <w:color w:val="000000"/>
                <w:sz w:val="17"/>
                <w:szCs w:val="17"/>
              </w:rPr>
              <w:t>, 1941 non-</w:t>
            </w:r>
            <w:proofErr w:type="spellStart"/>
            <w:r w:rsidRPr="00E30496">
              <w:rPr>
                <w:color w:val="000000"/>
                <w:sz w:val="17"/>
                <w:szCs w:val="17"/>
              </w:rPr>
              <w:t>chagasic</w:t>
            </w:r>
            <w:proofErr w:type="spellEnd"/>
            <w:r w:rsidRPr="00E30496">
              <w:rPr>
                <w:color w:val="000000"/>
                <w:sz w:val="17"/>
                <w:szCs w:val="17"/>
              </w:rPr>
              <w:t>*</w:t>
            </w:r>
          </w:p>
        </w:tc>
        <w:tc>
          <w:tcPr>
            <w:tcW w:w="261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Latent Class Analysis using information from EIA, IHA, and </w:t>
            </w:r>
            <w:proofErr w:type="spellStart"/>
            <w:r w:rsidRPr="00E30496">
              <w:rPr>
                <w:color w:val="000000"/>
                <w:sz w:val="17"/>
                <w:szCs w:val="17"/>
              </w:rPr>
              <w:t>iIF</w:t>
            </w:r>
            <w:proofErr w:type="spellEnd"/>
          </w:p>
        </w:tc>
        <w:tc>
          <w:tcPr>
            <w:tcW w:w="31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The IHA and EIA index tests were repeated if initially reactive and only considered positive if repeated tests were positive</w:t>
            </w:r>
          </w:p>
        </w:tc>
        <w:tc>
          <w:tcPr>
            <w:tcW w:w="297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Blood donors from a non-endemic area without risk history for T. </w:t>
            </w:r>
            <w:proofErr w:type="spellStart"/>
            <w:r w:rsidRPr="00E30496">
              <w:rPr>
                <w:color w:val="000000"/>
                <w:sz w:val="17"/>
                <w:szCs w:val="17"/>
              </w:rPr>
              <w:t>cruzi</w:t>
            </w:r>
            <w:proofErr w:type="spellEnd"/>
            <w:r w:rsidRPr="00E30496">
              <w:rPr>
                <w:color w:val="000000"/>
                <w:sz w:val="17"/>
                <w:szCs w:val="17"/>
              </w:rPr>
              <w:t xml:space="preserve"> infection (screened by questionnaire)</w:t>
            </w:r>
          </w:p>
        </w:tc>
      </w:tr>
      <w:tr w:rsidR="00E30496" w:rsidRPr="00E30496" w:rsidTr="00B375D4">
        <w:tc>
          <w:tcPr>
            <w:tcW w:w="13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3. </w:t>
            </w:r>
            <w:proofErr w:type="spellStart"/>
            <w:r w:rsidRPr="00E30496">
              <w:rPr>
                <w:color w:val="000000"/>
                <w:sz w:val="17"/>
                <w:szCs w:val="17"/>
              </w:rPr>
              <w:t>Oelemann</w:t>
            </w:r>
            <w:proofErr w:type="spellEnd"/>
            <w:r w:rsidRPr="00E30496">
              <w:rPr>
                <w:color w:val="000000"/>
                <w:sz w:val="17"/>
                <w:szCs w:val="17"/>
              </w:rPr>
              <w:t>, 1998</w:t>
            </w:r>
          </w:p>
        </w:tc>
        <w:tc>
          <w:tcPr>
            <w:tcW w:w="99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NA</w:t>
            </w:r>
          </w:p>
        </w:tc>
        <w:tc>
          <w:tcPr>
            <w:tcW w:w="90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NA</w:t>
            </w:r>
          </w:p>
        </w:tc>
        <w:tc>
          <w:tcPr>
            <w:tcW w:w="108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Brazil</w:t>
            </w:r>
          </w:p>
        </w:tc>
        <w:tc>
          <w:tcPr>
            <w:tcW w:w="180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1025; 520 </w:t>
            </w:r>
            <w:proofErr w:type="spellStart"/>
            <w:r w:rsidRPr="00E30496">
              <w:rPr>
                <w:color w:val="000000"/>
                <w:sz w:val="17"/>
                <w:szCs w:val="17"/>
              </w:rPr>
              <w:t>chagasic</w:t>
            </w:r>
            <w:proofErr w:type="spellEnd"/>
            <w:r w:rsidRPr="00E30496">
              <w:rPr>
                <w:color w:val="000000"/>
                <w:sz w:val="17"/>
                <w:szCs w:val="17"/>
              </w:rPr>
              <w:t xml:space="preserve">, 505 non </w:t>
            </w:r>
            <w:proofErr w:type="spellStart"/>
            <w:r w:rsidRPr="00E30496">
              <w:rPr>
                <w:color w:val="000000"/>
                <w:sz w:val="17"/>
                <w:szCs w:val="17"/>
              </w:rPr>
              <w:t>chagasic</w:t>
            </w:r>
            <w:proofErr w:type="spellEnd"/>
            <w:r w:rsidRPr="00E30496">
              <w:rPr>
                <w:color w:val="000000"/>
                <w:sz w:val="17"/>
                <w:szCs w:val="17"/>
              </w:rPr>
              <w:t xml:space="preserve">*,40 </w:t>
            </w:r>
            <w:proofErr w:type="spellStart"/>
            <w:r w:rsidRPr="00E30496">
              <w:rPr>
                <w:color w:val="000000"/>
                <w:sz w:val="17"/>
                <w:szCs w:val="17"/>
              </w:rPr>
              <w:t>discordants</w:t>
            </w:r>
            <w:proofErr w:type="spellEnd"/>
          </w:p>
        </w:tc>
        <w:tc>
          <w:tcPr>
            <w:tcW w:w="2610" w:type="dxa"/>
            <w:vAlign w:val="center"/>
          </w:tcPr>
          <w:p w:rsidR="00E30496" w:rsidRPr="00E30496" w:rsidRDefault="00E30496" w:rsidP="00E30496">
            <w:pPr>
              <w:spacing w:before="100" w:beforeAutospacing="1" w:after="100" w:afterAutospacing="1"/>
              <w:contextualSpacing/>
              <w:jc w:val="center"/>
              <w:rPr>
                <w:color w:val="000000"/>
                <w:sz w:val="17"/>
                <w:szCs w:val="17"/>
              </w:rPr>
            </w:pPr>
            <w:proofErr w:type="spellStart"/>
            <w:r w:rsidRPr="00E30496">
              <w:rPr>
                <w:color w:val="000000"/>
                <w:sz w:val="17"/>
                <w:szCs w:val="17"/>
              </w:rPr>
              <w:t>Ch</w:t>
            </w:r>
            <w:proofErr w:type="spellEnd"/>
            <w:r w:rsidRPr="00E30496">
              <w:rPr>
                <w:color w:val="000000"/>
                <w:sz w:val="17"/>
                <w:szCs w:val="17"/>
              </w:rPr>
              <w:t>: 2/2 Positive serology tests (IFA and ELISA); Non-</w:t>
            </w:r>
            <w:proofErr w:type="spellStart"/>
            <w:r w:rsidRPr="00E30496">
              <w:rPr>
                <w:color w:val="000000"/>
                <w:sz w:val="17"/>
                <w:szCs w:val="17"/>
              </w:rPr>
              <w:t>Ch</w:t>
            </w:r>
            <w:proofErr w:type="spellEnd"/>
            <w:r w:rsidRPr="00E30496">
              <w:rPr>
                <w:color w:val="000000"/>
                <w:sz w:val="17"/>
                <w:szCs w:val="17"/>
              </w:rPr>
              <w:t>: 2/2 Negative serology tests (IFA and ELISA); IND: Discrepant results (IFA and ELISA)</w:t>
            </w:r>
          </w:p>
        </w:tc>
        <w:tc>
          <w:tcPr>
            <w:tcW w:w="31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40 samples had discrepant results by the reference standard (excluded from </w:t>
            </w:r>
            <w:proofErr w:type="spellStart"/>
            <w:r w:rsidRPr="00E30496">
              <w:rPr>
                <w:color w:val="000000"/>
                <w:sz w:val="17"/>
                <w:szCs w:val="17"/>
              </w:rPr>
              <w:t>sens</w:t>
            </w:r>
            <w:proofErr w:type="spellEnd"/>
            <w:r w:rsidRPr="00E30496">
              <w:rPr>
                <w:color w:val="000000"/>
                <w:sz w:val="17"/>
                <w:szCs w:val="17"/>
              </w:rPr>
              <w:t xml:space="preserve">/spec), 9 had discrepant (repeatedly indeterminate) results with Abbot ELISA, 11 had discrepant results with </w:t>
            </w:r>
            <w:proofErr w:type="spellStart"/>
            <w:r w:rsidRPr="00E30496">
              <w:rPr>
                <w:color w:val="000000"/>
                <w:sz w:val="17"/>
                <w:szCs w:val="17"/>
              </w:rPr>
              <w:t>BioELISACRUZI</w:t>
            </w:r>
            <w:proofErr w:type="spellEnd"/>
            <w:r w:rsidRPr="00E30496">
              <w:rPr>
                <w:color w:val="000000"/>
                <w:sz w:val="17"/>
                <w:szCs w:val="17"/>
              </w:rPr>
              <w:t xml:space="preserve"> kit, and 0 had inconclusive results with BIOZIMA </w:t>
            </w:r>
            <w:proofErr w:type="spellStart"/>
            <w:r w:rsidRPr="00E30496">
              <w:rPr>
                <w:color w:val="000000"/>
                <w:sz w:val="17"/>
                <w:szCs w:val="17"/>
              </w:rPr>
              <w:t>Chagas</w:t>
            </w:r>
            <w:proofErr w:type="spellEnd"/>
            <w:r w:rsidRPr="00E30496">
              <w:rPr>
                <w:color w:val="000000"/>
                <w:sz w:val="17"/>
                <w:szCs w:val="17"/>
              </w:rPr>
              <w:t xml:space="preserve"> kit. Results indeterminate by index tests were also omitted from the sensitivity and specificity calculation.</w:t>
            </w:r>
          </w:p>
        </w:tc>
        <w:tc>
          <w:tcPr>
            <w:tcW w:w="297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Sera were obtained from patients and healthy residents in various regions of Brazil where the cardiac form of </w:t>
            </w:r>
            <w:proofErr w:type="spellStart"/>
            <w:r w:rsidRPr="00E30496">
              <w:rPr>
                <w:color w:val="000000"/>
                <w:sz w:val="17"/>
                <w:szCs w:val="17"/>
              </w:rPr>
              <w:t>Chagas</w:t>
            </w:r>
            <w:proofErr w:type="spellEnd"/>
            <w:r w:rsidRPr="00E30496">
              <w:rPr>
                <w:color w:val="000000"/>
                <w:sz w:val="17"/>
                <w:szCs w:val="17"/>
              </w:rPr>
              <w:t xml:space="preserve"> disease is prevalent, where the indeterminate form of </w:t>
            </w:r>
            <w:proofErr w:type="spellStart"/>
            <w:r w:rsidRPr="00E30496">
              <w:rPr>
                <w:color w:val="000000"/>
                <w:sz w:val="17"/>
                <w:szCs w:val="17"/>
              </w:rPr>
              <w:t>Chagas</w:t>
            </w:r>
            <w:proofErr w:type="spellEnd"/>
            <w:r w:rsidRPr="00E30496">
              <w:rPr>
                <w:color w:val="000000"/>
                <w:sz w:val="17"/>
                <w:szCs w:val="17"/>
              </w:rPr>
              <w:t xml:space="preserve"> disease is prevalent, and where </w:t>
            </w:r>
            <w:proofErr w:type="spellStart"/>
            <w:r w:rsidRPr="00E30496">
              <w:rPr>
                <w:color w:val="000000"/>
                <w:sz w:val="17"/>
                <w:szCs w:val="17"/>
              </w:rPr>
              <w:t>Chagas</w:t>
            </w:r>
            <w:proofErr w:type="spellEnd"/>
            <w:r w:rsidRPr="00E30496">
              <w:rPr>
                <w:color w:val="000000"/>
                <w:sz w:val="17"/>
                <w:szCs w:val="17"/>
              </w:rPr>
              <w:t xml:space="preserve"> disease is emergent.</w:t>
            </w:r>
          </w:p>
        </w:tc>
      </w:tr>
      <w:tr w:rsidR="00E30496" w:rsidRPr="00E30496" w:rsidTr="00B375D4">
        <w:tc>
          <w:tcPr>
            <w:tcW w:w="13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4. </w:t>
            </w:r>
            <w:proofErr w:type="spellStart"/>
            <w:r w:rsidRPr="00E30496">
              <w:rPr>
                <w:color w:val="000000"/>
                <w:sz w:val="17"/>
                <w:szCs w:val="17"/>
              </w:rPr>
              <w:t>Verani</w:t>
            </w:r>
            <w:proofErr w:type="spellEnd"/>
            <w:r w:rsidRPr="00E30496">
              <w:rPr>
                <w:color w:val="000000"/>
                <w:sz w:val="17"/>
                <w:szCs w:val="17"/>
              </w:rPr>
              <w:t xml:space="preserve">, 2009 </w:t>
            </w:r>
          </w:p>
        </w:tc>
        <w:tc>
          <w:tcPr>
            <w:tcW w:w="99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Mean (range): 16 (2-68)</w:t>
            </w:r>
          </w:p>
        </w:tc>
        <w:tc>
          <w:tcPr>
            <w:tcW w:w="90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48.00%</w:t>
            </w:r>
          </w:p>
        </w:tc>
        <w:tc>
          <w:tcPr>
            <w:tcW w:w="108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Peru</w:t>
            </w:r>
          </w:p>
        </w:tc>
        <w:tc>
          <w:tcPr>
            <w:tcW w:w="180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335; 97 </w:t>
            </w:r>
            <w:proofErr w:type="spellStart"/>
            <w:r w:rsidRPr="00E30496">
              <w:rPr>
                <w:color w:val="000000"/>
                <w:sz w:val="17"/>
                <w:szCs w:val="17"/>
              </w:rPr>
              <w:t>chagasic</w:t>
            </w:r>
            <w:proofErr w:type="spellEnd"/>
            <w:r w:rsidRPr="00E30496">
              <w:rPr>
                <w:color w:val="000000"/>
                <w:sz w:val="17"/>
                <w:szCs w:val="17"/>
              </w:rPr>
              <w:t xml:space="preserve">, 238 non </w:t>
            </w:r>
            <w:proofErr w:type="spellStart"/>
            <w:r w:rsidRPr="00E30496">
              <w:rPr>
                <w:color w:val="000000"/>
                <w:sz w:val="17"/>
                <w:szCs w:val="17"/>
              </w:rPr>
              <w:t>chagasic</w:t>
            </w:r>
            <w:proofErr w:type="spellEnd"/>
            <w:r w:rsidRPr="00E30496">
              <w:rPr>
                <w:color w:val="000000"/>
                <w:sz w:val="17"/>
                <w:szCs w:val="17"/>
              </w:rPr>
              <w:t xml:space="preserve">*, 23 </w:t>
            </w:r>
            <w:proofErr w:type="spellStart"/>
            <w:r w:rsidRPr="00E30496">
              <w:rPr>
                <w:color w:val="000000"/>
                <w:sz w:val="17"/>
                <w:szCs w:val="17"/>
              </w:rPr>
              <w:t>discordants</w:t>
            </w:r>
            <w:proofErr w:type="spellEnd"/>
          </w:p>
        </w:tc>
        <w:tc>
          <w:tcPr>
            <w:tcW w:w="2610" w:type="dxa"/>
            <w:vAlign w:val="center"/>
          </w:tcPr>
          <w:p w:rsidR="00E30496" w:rsidRPr="00E30496" w:rsidRDefault="00E30496" w:rsidP="00E30496">
            <w:pPr>
              <w:spacing w:before="100" w:beforeAutospacing="1" w:after="100" w:afterAutospacing="1"/>
              <w:contextualSpacing/>
              <w:jc w:val="center"/>
              <w:rPr>
                <w:color w:val="000000"/>
                <w:sz w:val="17"/>
                <w:szCs w:val="17"/>
              </w:rPr>
            </w:pPr>
            <w:proofErr w:type="spellStart"/>
            <w:r w:rsidRPr="00E30496">
              <w:rPr>
                <w:color w:val="000000"/>
                <w:sz w:val="17"/>
                <w:szCs w:val="17"/>
              </w:rPr>
              <w:t>Ch:ELISA</w:t>
            </w:r>
            <w:proofErr w:type="spellEnd"/>
            <w:r w:rsidRPr="00E30496">
              <w:rPr>
                <w:color w:val="000000"/>
                <w:sz w:val="17"/>
                <w:szCs w:val="17"/>
              </w:rPr>
              <w:t>, IFA and RIPA positive; Non-</w:t>
            </w:r>
            <w:proofErr w:type="spellStart"/>
            <w:r w:rsidRPr="00E30496">
              <w:rPr>
                <w:color w:val="000000"/>
                <w:sz w:val="17"/>
                <w:szCs w:val="17"/>
              </w:rPr>
              <w:t>Ch</w:t>
            </w:r>
            <w:proofErr w:type="spellEnd"/>
            <w:r w:rsidRPr="00E30496">
              <w:rPr>
                <w:color w:val="000000"/>
                <w:sz w:val="17"/>
                <w:szCs w:val="17"/>
              </w:rPr>
              <w:t>: ELISA and IFA negative (RIPA negative in 46)</w:t>
            </w:r>
          </w:p>
        </w:tc>
        <w:tc>
          <w:tcPr>
            <w:tcW w:w="31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Specimens with inconclusive index tests results or discordant reference standard readings were excluded from the analysis.</w:t>
            </w:r>
          </w:p>
        </w:tc>
        <w:tc>
          <w:tcPr>
            <w:tcW w:w="297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Participants were recruited in public schools and from the entire population of one hillside shantytown</w:t>
            </w:r>
          </w:p>
        </w:tc>
      </w:tr>
      <w:tr w:rsidR="00E30496" w:rsidRPr="00E30496" w:rsidTr="00B375D4">
        <w:tc>
          <w:tcPr>
            <w:tcW w:w="13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5. </w:t>
            </w:r>
            <w:proofErr w:type="spellStart"/>
            <w:r w:rsidRPr="00E30496">
              <w:rPr>
                <w:color w:val="000000"/>
                <w:sz w:val="17"/>
                <w:szCs w:val="17"/>
              </w:rPr>
              <w:t>Berrizbeitia</w:t>
            </w:r>
            <w:proofErr w:type="spellEnd"/>
            <w:r w:rsidRPr="00E30496">
              <w:rPr>
                <w:color w:val="000000"/>
                <w:sz w:val="17"/>
                <w:szCs w:val="17"/>
              </w:rPr>
              <w:t xml:space="preserve">, 2006 </w:t>
            </w:r>
          </w:p>
        </w:tc>
        <w:tc>
          <w:tcPr>
            <w:tcW w:w="99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Mean (range): 29 (18-58)</w:t>
            </w:r>
          </w:p>
        </w:tc>
        <w:tc>
          <w:tcPr>
            <w:tcW w:w="90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89%</w:t>
            </w:r>
          </w:p>
        </w:tc>
        <w:tc>
          <w:tcPr>
            <w:tcW w:w="108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Venezuela</w:t>
            </w:r>
          </w:p>
        </w:tc>
        <w:tc>
          <w:tcPr>
            <w:tcW w:w="180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2028; 13 </w:t>
            </w:r>
            <w:proofErr w:type="spellStart"/>
            <w:r w:rsidRPr="00E30496">
              <w:rPr>
                <w:color w:val="000000"/>
                <w:sz w:val="17"/>
                <w:szCs w:val="17"/>
              </w:rPr>
              <w:t>chagasic</w:t>
            </w:r>
            <w:proofErr w:type="spellEnd"/>
            <w:r w:rsidRPr="00E30496">
              <w:rPr>
                <w:color w:val="000000"/>
                <w:sz w:val="17"/>
                <w:szCs w:val="17"/>
              </w:rPr>
              <w:t xml:space="preserve">, 2025 non </w:t>
            </w:r>
            <w:proofErr w:type="spellStart"/>
            <w:r w:rsidRPr="00E30496">
              <w:rPr>
                <w:color w:val="000000"/>
                <w:sz w:val="17"/>
                <w:szCs w:val="17"/>
              </w:rPr>
              <w:t>chagasic</w:t>
            </w:r>
            <w:proofErr w:type="spellEnd"/>
            <w:r w:rsidRPr="00E30496">
              <w:rPr>
                <w:color w:val="000000"/>
                <w:sz w:val="17"/>
                <w:szCs w:val="17"/>
              </w:rPr>
              <w:t>*</w:t>
            </w:r>
          </w:p>
        </w:tc>
        <w:tc>
          <w:tcPr>
            <w:tcW w:w="2610" w:type="dxa"/>
            <w:vAlign w:val="center"/>
          </w:tcPr>
          <w:p w:rsidR="00E30496" w:rsidRPr="00E30496" w:rsidRDefault="00E30496" w:rsidP="00E30496">
            <w:pPr>
              <w:spacing w:before="100" w:beforeAutospacing="1" w:after="100" w:afterAutospacing="1"/>
              <w:contextualSpacing/>
              <w:jc w:val="center"/>
              <w:rPr>
                <w:color w:val="000000"/>
                <w:sz w:val="17"/>
                <w:szCs w:val="17"/>
              </w:rPr>
            </w:pPr>
            <w:proofErr w:type="spellStart"/>
            <w:r w:rsidRPr="00E30496">
              <w:rPr>
                <w:color w:val="000000"/>
                <w:sz w:val="17"/>
                <w:szCs w:val="17"/>
              </w:rPr>
              <w:t>Ch</w:t>
            </w:r>
            <w:proofErr w:type="spellEnd"/>
            <w:r w:rsidRPr="00E30496">
              <w:rPr>
                <w:color w:val="000000"/>
                <w:sz w:val="17"/>
                <w:szCs w:val="17"/>
              </w:rPr>
              <w:t xml:space="preserve">: 2+ positive reference standard tests (EIA, IIF, </w:t>
            </w:r>
            <w:proofErr w:type="gramStart"/>
            <w:r w:rsidRPr="00E30496">
              <w:rPr>
                <w:color w:val="000000"/>
                <w:sz w:val="17"/>
                <w:szCs w:val="17"/>
              </w:rPr>
              <w:t>IHA</w:t>
            </w:r>
            <w:proofErr w:type="gramEnd"/>
            <w:r w:rsidRPr="00E30496">
              <w:rPr>
                <w:color w:val="000000"/>
                <w:sz w:val="17"/>
                <w:szCs w:val="17"/>
              </w:rPr>
              <w:t>); Non-</w:t>
            </w:r>
            <w:proofErr w:type="spellStart"/>
            <w:r w:rsidRPr="00E30496">
              <w:rPr>
                <w:color w:val="000000"/>
                <w:sz w:val="17"/>
                <w:szCs w:val="17"/>
              </w:rPr>
              <w:t>Ch</w:t>
            </w:r>
            <w:proofErr w:type="spellEnd"/>
            <w:r w:rsidRPr="00E30496">
              <w:rPr>
                <w:color w:val="000000"/>
                <w:sz w:val="17"/>
                <w:szCs w:val="17"/>
              </w:rPr>
              <w:t>: Less than 2+ positive reference standard tests (EIA, IIF, IHA); 140 randomly selected + indeterminate (OD 0.3-0.4) were verified as negative.</w:t>
            </w:r>
          </w:p>
        </w:tc>
        <w:tc>
          <w:tcPr>
            <w:tcW w:w="31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Unable to determine how discordant samples were handled</w:t>
            </w:r>
          </w:p>
        </w:tc>
        <w:tc>
          <w:tcPr>
            <w:tcW w:w="297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Consecutive blood bank samples; Well defined samples (150) and samples from non-traveling Canadians (166) were used as controls</w:t>
            </w:r>
          </w:p>
        </w:tc>
      </w:tr>
      <w:tr w:rsidR="00E30496" w:rsidRPr="00E30496" w:rsidTr="00B375D4">
        <w:tc>
          <w:tcPr>
            <w:tcW w:w="13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6. </w:t>
            </w:r>
            <w:proofErr w:type="spellStart"/>
            <w:r w:rsidRPr="00E30496">
              <w:rPr>
                <w:color w:val="000000"/>
                <w:sz w:val="17"/>
                <w:szCs w:val="17"/>
              </w:rPr>
              <w:t>Berrizbeitia</w:t>
            </w:r>
            <w:proofErr w:type="spellEnd"/>
            <w:r w:rsidRPr="00E30496">
              <w:rPr>
                <w:color w:val="000000"/>
                <w:sz w:val="17"/>
                <w:szCs w:val="17"/>
              </w:rPr>
              <w:t>, 2010</w:t>
            </w:r>
          </w:p>
        </w:tc>
        <w:tc>
          <w:tcPr>
            <w:tcW w:w="99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Mean (range): 23 (8-79)</w:t>
            </w:r>
          </w:p>
        </w:tc>
        <w:tc>
          <w:tcPr>
            <w:tcW w:w="90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48.00%</w:t>
            </w:r>
          </w:p>
        </w:tc>
        <w:tc>
          <w:tcPr>
            <w:tcW w:w="108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Venezuela</w:t>
            </w:r>
          </w:p>
        </w:tc>
        <w:tc>
          <w:tcPr>
            <w:tcW w:w="180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66; 7 </w:t>
            </w:r>
            <w:proofErr w:type="spellStart"/>
            <w:r w:rsidRPr="00E30496">
              <w:rPr>
                <w:color w:val="000000"/>
                <w:sz w:val="17"/>
                <w:szCs w:val="17"/>
              </w:rPr>
              <w:t>chagasic</w:t>
            </w:r>
            <w:proofErr w:type="spellEnd"/>
            <w:r w:rsidRPr="00E30496">
              <w:rPr>
                <w:color w:val="000000"/>
                <w:sz w:val="17"/>
                <w:szCs w:val="17"/>
              </w:rPr>
              <w:t xml:space="preserve">, 59 non </w:t>
            </w:r>
            <w:proofErr w:type="spellStart"/>
            <w:r w:rsidRPr="00E30496">
              <w:rPr>
                <w:color w:val="000000"/>
                <w:sz w:val="17"/>
                <w:szCs w:val="17"/>
              </w:rPr>
              <w:t>chagasic</w:t>
            </w:r>
            <w:proofErr w:type="spellEnd"/>
            <w:r w:rsidRPr="00E30496">
              <w:rPr>
                <w:color w:val="000000"/>
                <w:sz w:val="17"/>
                <w:szCs w:val="17"/>
              </w:rPr>
              <w:t>*</w:t>
            </w:r>
          </w:p>
        </w:tc>
        <w:tc>
          <w:tcPr>
            <w:tcW w:w="261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All sera with OD &gt; 0.4 and 14 randomly selected negatives underwent battery of three tests (IF, IHA, EIA) at NCIL. </w:t>
            </w:r>
            <w:proofErr w:type="spellStart"/>
            <w:r w:rsidRPr="00E30496">
              <w:rPr>
                <w:color w:val="000000"/>
                <w:sz w:val="17"/>
                <w:szCs w:val="17"/>
              </w:rPr>
              <w:t>Ch</w:t>
            </w:r>
            <w:proofErr w:type="spellEnd"/>
            <w:r w:rsidRPr="00E30496">
              <w:rPr>
                <w:color w:val="000000"/>
                <w:sz w:val="17"/>
                <w:szCs w:val="17"/>
              </w:rPr>
              <w:t>: 2/3 positive tests was considered a true positive Non-</w:t>
            </w:r>
            <w:proofErr w:type="spellStart"/>
            <w:r w:rsidRPr="00E30496">
              <w:rPr>
                <w:color w:val="000000"/>
                <w:sz w:val="17"/>
                <w:szCs w:val="17"/>
              </w:rPr>
              <w:t>Ch</w:t>
            </w:r>
            <w:proofErr w:type="spellEnd"/>
            <w:r w:rsidRPr="00E30496">
              <w:rPr>
                <w:color w:val="000000"/>
                <w:sz w:val="17"/>
                <w:szCs w:val="17"/>
              </w:rPr>
              <w:t>: all others were considered true negative</w:t>
            </w:r>
          </w:p>
        </w:tc>
        <w:tc>
          <w:tcPr>
            <w:tcW w:w="31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While 2/3 positive serology assays is considered positive, it is unclear whether the remaining samples were considered negative or whether some samples were discarded. Only a random sample of 14 of the negative assays underwent reference standard testing. Inconclusive tests were not mentioned or addressed.</w:t>
            </w:r>
          </w:p>
        </w:tc>
        <w:tc>
          <w:tcPr>
            <w:tcW w:w="297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Residents of rural villages</w:t>
            </w:r>
          </w:p>
        </w:tc>
      </w:tr>
      <w:tr w:rsidR="00E30496" w:rsidRPr="00E30496" w:rsidTr="00B375D4">
        <w:tc>
          <w:tcPr>
            <w:tcW w:w="13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7. </w:t>
            </w:r>
            <w:proofErr w:type="spellStart"/>
            <w:r w:rsidRPr="00E30496">
              <w:rPr>
                <w:color w:val="000000"/>
                <w:sz w:val="17"/>
                <w:szCs w:val="17"/>
              </w:rPr>
              <w:t>Cetron</w:t>
            </w:r>
            <w:proofErr w:type="spellEnd"/>
            <w:r w:rsidRPr="00E30496">
              <w:rPr>
                <w:color w:val="000000"/>
                <w:sz w:val="17"/>
                <w:szCs w:val="17"/>
              </w:rPr>
              <w:t>,  1992</w:t>
            </w:r>
          </w:p>
        </w:tc>
        <w:tc>
          <w:tcPr>
            <w:tcW w:w="99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NA</w:t>
            </w:r>
          </w:p>
        </w:tc>
        <w:tc>
          <w:tcPr>
            <w:tcW w:w="90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NA</w:t>
            </w:r>
          </w:p>
        </w:tc>
        <w:tc>
          <w:tcPr>
            <w:tcW w:w="108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Brazil</w:t>
            </w:r>
          </w:p>
        </w:tc>
        <w:tc>
          <w:tcPr>
            <w:tcW w:w="180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241; </w:t>
            </w:r>
            <w:proofErr w:type="spellStart"/>
            <w:r w:rsidRPr="00E30496">
              <w:rPr>
                <w:color w:val="000000"/>
                <w:sz w:val="17"/>
                <w:szCs w:val="17"/>
              </w:rPr>
              <w:t>Chagasic</w:t>
            </w:r>
            <w:proofErr w:type="spellEnd"/>
            <w:r w:rsidRPr="00E30496">
              <w:rPr>
                <w:color w:val="000000"/>
                <w:sz w:val="17"/>
                <w:szCs w:val="17"/>
              </w:rPr>
              <w:t xml:space="preserve">: 63 with clinical symptoms, 18 asymptomatic, and 39 </w:t>
            </w:r>
            <w:r w:rsidRPr="00E30496">
              <w:rPr>
                <w:color w:val="000000"/>
                <w:sz w:val="17"/>
                <w:szCs w:val="17"/>
              </w:rPr>
              <w:lastRenderedPageBreak/>
              <w:t>with unknown symptoms; Non-</w:t>
            </w:r>
            <w:proofErr w:type="spellStart"/>
            <w:r w:rsidRPr="00E30496">
              <w:rPr>
                <w:color w:val="000000"/>
                <w:sz w:val="17"/>
                <w:szCs w:val="17"/>
              </w:rPr>
              <w:t>Chagasic</w:t>
            </w:r>
            <w:proofErr w:type="spellEnd"/>
            <w:r w:rsidRPr="00E30496">
              <w:rPr>
                <w:color w:val="000000"/>
                <w:sz w:val="17"/>
                <w:szCs w:val="17"/>
              </w:rPr>
              <w:t>: 128 with unknown symptoms</w:t>
            </w:r>
          </w:p>
        </w:tc>
        <w:tc>
          <w:tcPr>
            <w:tcW w:w="261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lastRenderedPageBreak/>
              <w:t>IFA</w:t>
            </w:r>
          </w:p>
        </w:tc>
        <w:tc>
          <w:tcPr>
            <w:tcW w:w="31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There were no discordant results as only 1 reference standard was used. It appears that no samples were excluded.</w:t>
            </w:r>
          </w:p>
        </w:tc>
        <w:tc>
          <w:tcPr>
            <w:tcW w:w="297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Two cohorts: population survey (n=82) and hospitalized </w:t>
            </w:r>
            <w:proofErr w:type="spellStart"/>
            <w:r w:rsidRPr="00E30496">
              <w:rPr>
                <w:color w:val="000000"/>
                <w:sz w:val="17"/>
                <w:szCs w:val="17"/>
              </w:rPr>
              <w:t>pts</w:t>
            </w:r>
            <w:proofErr w:type="spellEnd"/>
            <w:r w:rsidRPr="00E30496">
              <w:rPr>
                <w:color w:val="000000"/>
                <w:sz w:val="17"/>
                <w:szCs w:val="17"/>
              </w:rPr>
              <w:t xml:space="preserve"> (n = 166)</w:t>
            </w:r>
          </w:p>
        </w:tc>
      </w:tr>
      <w:tr w:rsidR="00E30496" w:rsidRPr="00E30496" w:rsidTr="00B375D4">
        <w:tc>
          <w:tcPr>
            <w:tcW w:w="13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lastRenderedPageBreak/>
              <w:t>8. Duarte, 2006</w:t>
            </w:r>
          </w:p>
        </w:tc>
        <w:tc>
          <w:tcPr>
            <w:tcW w:w="99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Range: 10-80</w:t>
            </w:r>
          </w:p>
        </w:tc>
        <w:tc>
          <w:tcPr>
            <w:tcW w:w="90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NA</w:t>
            </w:r>
          </w:p>
        </w:tc>
        <w:tc>
          <w:tcPr>
            <w:tcW w:w="108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Brazil</w:t>
            </w:r>
          </w:p>
        </w:tc>
        <w:tc>
          <w:tcPr>
            <w:tcW w:w="1800" w:type="dxa"/>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398; </w:t>
            </w:r>
            <w:proofErr w:type="spellStart"/>
            <w:r w:rsidRPr="00E30496">
              <w:rPr>
                <w:color w:val="000000"/>
                <w:sz w:val="17"/>
                <w:szCs w:val="17"/>
              </w:rPr>
              <w:t>Chagasic</w:t>
            </w:r>
            <w:proofErr w:type="spellEnd"/>
            <w:r w:rsidRPr="00E30496">
              <w:rPr>
                <w:color w:val="000000"/>
                <w:sz w:val="17"/>
                <w:szCs w:val="17"/>
              </w:rPr>
              <w:t>: 99 with clinical symptoms, 63 asymptomatic; Non-</w:t>
            </w:r>
            <w:proofErr w:type="spellStart"/>
            <w:r w:rsidRPr="00E30496">
              <w:rPr>
                <w:color w:val="000000"/>
                <w:sz w:val="17"/>
                <w:szCs w:val="17"/>
              </w:rPr>
              <w:t>Chagasic</w:t>
            </w:r>
            <w:proofErr w:type="spellEnd"/>
            <w:r w:rsidRPr="00E30496">
              <w:rPr>
                <w:color w:val="000000"/>
                <w:sz w:val="17"/>
                <w:szCs w:val="17"/>
              </w:rPr>
              <w:t xml:space="preserve">: 236 asymptomatic, 17 </w:t>
            </w:r>
            <w:proofErr w:type="spellStart"/>
            <w:r w:rsidRPr="00E30496">
              <w:rPr>
                <w:color w:val="000000"/>
                <w:sz w:val="17"/>
                <w:szCs w:val="17"/>
              </w:rPr>
              <w:t>discordants</w:t>
            </w:r>
            <w:proofErr w:type="spellEnd"/>
          </w:p>
        </w:tc>
        <w:tc>
          <w:tcPr>
            <w:tcW w:w="2610" w:type="dxa"/>
            <w:vAlign w:val="center"/>
          </w:tcPr>
          <w:p w:rsidR="00E30496" w:rsidRPr="00E30496" w:rsidRDefault="00E30496" w:rsidP="00E30496">
            <w:pPr>
              <w:spacing w:before="100" w:beforeAutospacing="1" w:after="100" w:afterAutospacing="1"/>
              <w:contextualSpacing/>
              <w:jc w:val="center"/>
              <w:rPr>
                <w:color w:val="000000"/>
                <w:sz w:val="17"/>
                <w:szCs w:val="17"/>
              </w:rPr>
            </w:pPr>
            <w:proofErr w:type="spellStart"/>
            <w:r w:rsidRPr="00E30496">
              <w:rPr>
                <w:color w:val="000000"/>
                <w:sz w:val="17"/>
                <w:szCs w:val="17"/>
              </w:rPr>
              <w:t>Ch</w:t>
            </w:r>
            <w:proofErr w:type="spellEnd"/>
            <w:r w:rsidRPr="00E30496">
              <w:rPr>
                <w:color w:val="000000"/>
                <w:sz w:val="17"/>
                <w:szCs w:val="17"/>
              </w:rPr>
              <w:t>: At least 2 out of 3 positive tests (IFA,IH, and ELISA); Non-</w:t>
            </w:r>
            <w:proofErr w:type="spellStart"/>
            <w:r w:rsidRPr="00E30496">
              <w:rPr>
                <w:color w:val="000000"/>
                <w:sz w:val="17"/>
                <w:szCs w:val="17"/>
              </w:rPr>
              <w:t>Ch</w:t>
            </w:r>
            <w:proofErr w:type="spellEnd"/>
            <w:r w:rsidRPr="00E30496">
              <w:rPr>
                <w:color w:val="000000"/>
                <w:sz w:val="17"/>
                <w:szCs w:val="17"/>
              </w:rPr>
              <w:t>: 3 negative tests (IFA,IH,ELISA); IND: 1 positive and 2 negative tests (IFA,IH,ELISA)</w:t>
            </w:r>
          </w:p>
        </w:tc>
        <w:tc>
          <w:tcPr>
            <w:tcW w:w="31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23 samples were discordant by the reference standard.</w:t>
            </w:r>
          </w:p>
        </w:tc>
        <w:tc>
          <w:tcPr>
            <w:tcW w:w="297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w:t>
            </w:r>
          </w:p>
        </w:tc>
      </w:tr>
      <w:tr w:rsidR="00E30496" w:rsidRPr="00E30496" w:rsidTr="00B375D4">
        <w:tc>
          <w:tcPr>
            <w:tcW w:w="13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9. </w:t>
            </w:r>
            <w:proofErr w:type="spellStart"/>
            <w:r w:rsidRPr="00E30496">
              <w:rPr>
                <w:color w:val="000000"/>
                <w:sz w:val="17"/>
                <w:szCs w:val="17"/>
              </w:rPr>
              <w:t>Pirard</w:t>
            </w:r>
            <w:proofErr w:type="spellEnd"/>
            <w:r w:rsidRPr="00E30496">
              <w:rPr>
                <w:color w:val="000000"/>
                <w:sz w:val="17"/>
                <w:szCs w:val="17"/>
              </w:rPr>
              <w:t>, 2005</w:t>
            </w:r>
          </w:p>
        </w:tc>
        <w:tc>
          <w:tcPr>
            <w:tcW w:w="99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Mean: 31.1</w:t>
            </w:r>
          </w:p>
        </w:tc>
        <w:tc>
          <w:tcPr>
            <w:tcW w:w="90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66.50%</w:t>
            </w:r>
          </w:p>
        </w:tc>
        <w:tc>
          <w:tcPr>
            <w:tcW w:w="108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Bolivia</w:t>
            </w:r>
          </w:p>
        </w:tc>
        <w:tc>
          <w:tcPr>
            <w:tcW w:w="180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400; 146 asymptomatic </w:t>
            </w:r>
            <w:proofErr w:type="spellStart"/>
            <w:r w:rsidRPr="00E30496">
              <w:rPr>
                <w:color w:val="000000"/>
                <w:sz w:val="17"/>
                <w:szCs w:val="17"/>
              </w:rPr>
              <w:t>chagasic</w:t>
            </w:r>
            <w:proofErr w:type="spellEnd"/>
            <w:r w:rsidRPr="00E30496">
              <w:rPr>
                <w:color w:val="000000"/>
                <w:sz w:val="17"/>
                <w:szCs w:val="17"/>
              </w:rPr>
              <w:t>, 254 asymptomatic non-</w:t>
            </w:r>
            <w:proofErr w:type="spellStart"/>
            <w:r w:rsidRPr="00E30496">
              <w:rPr>
                <w:color w:val="000000"/>
                <w:sz w:val="17"/>
                <w:szCs w:val="17"/>
              </w:rPr>
              <w:t>chagasic</w:t>
            </w:r>
            <w:proofErr w:type="spellEnd"/>
          </w:p>
        </w:tc>
        <w:tc>
          <w:tcPr>
            <w:tcW w:w="261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Latent class analysis</w:t>
            </w:r>
          </w:p>
        </w:tc>
        <w:tc>
          <w:tcPr>
            <w:tcW w:w="31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LCA was used to estimate true positives and negatives.</w:t>
            </w:r>
          </w:p>
        </w:tc>
        <w:tc>
          <w:tcPr>
            <w:tcW w:w="297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Random sample of blood donors</w:t>
            </w:r>
          </w:p>
        </w:tc>
      </w:tr>
      <w:tr w:rsidR="00E30496" w:rsidRPr="00E30496" w:rsidTr="00B375D4">
        <w:tc>
          <w:tcPr>
            <w:tcW w:w="13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10. </w:t>
            </w:r>
            <w:proofErr w:type="spellStart"/>
            <w:r w:rsidRPr="00E30496">
              <w:rPr>
                <w:color w:val="000000"/>
                <w:sz w:val="17"/>
                <w:szCs w:val="17"/>
              </w:rPr>
              <w:t>Umezawa</w:t>
            </w:r>
            <w:proofErr w:type="spellEnd"/>
            <w:r w:rsidRPr="00E30496">
              <w:rPr>
                <w:color w:val="000000"/>
                <w:sz w:val="17"/>
                <w:szCs w:val="17"/>
              </w:rPr>
              <w:t>, 2003</w:t>
            </w:r>
          </w:p>
        </w:tc>
        <w:tc>
          <w:tcPr>
            <w:tcW w:w="99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NA</w:t>
            </w:r>
          </w:p>
        </w:tc>
        <w:tc>
          <w:tcPr>
            <w:tcW w:w="90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NA</w:t>
            </w:r>
          </w:p>
        </w:tc>
        <w:tc>
          <w:tcPr>
            <w:tcW w:w="1080" w:type="dxa"/>
            <w:vAlign w:val="center"/>
          </w:tcPr>
          <w:p w:rsidR="00E30496" w:rsidRPr="00E30496" w:rsidRDefault="00E30496" w:rsidP="00E30496">
            <w:pPr>
              <w:spacing w:before="100" w:beforeAutospacing="1" w:after="100" w:afterAutospacing="1"/>
              <w:contextualSpacing/>
              <w:jc w:val="center"/>
              <w:rPr>
                <w:color w:val="000000"/>
                <w:sz w:val="17"/>
                <w:szCs w:val="17"/>
              </w:rPr>
            </w:pPr>
          </w:p>
        </w:tc>
        <w:tc>
          <w:tcPr>
            <w:tcW w:w="180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451; 6 asymptomatic </w:t>
            </w:r>
            <w:proofErr w:type="spellStart"/>
            <w:r w:rsidRPr="00E30496">
              <w:rPr>
                <w:color w:val="000000"/>
                <w:sz w:val="17"/>
                <w:szCs w:val="17"/>
              </w:rPr>
              <w:t>chagasic</w:t>
            </w:r>
            <w:proofErr w:type="spellEnd"/>
            <w:r w:rsidRPr="00E30496">
              <w:rPr>
                <w:color w:val="000000"/>
                <w:sz w:val="17"/>
                <w:szCs w:val="17"/>
              </w:rPr>
              <w:t>, 445 asymptomatic non-</w:t>
            </w:r>
            <w:proofErr w:type="spellStart"/>
            <w:r w:rsidRPr="00E30496">
              <w:rPr>
                <w:color w:val="000000"/>
                <w:sz w:val="17"/>
                <w:szCs w:val="17"/>
              </w:rPr>
              <w:t>chagasic</w:t>
            </w:r>
            <w:proofErr w:type="spellEnd"/>
          </w:p>
        </w:tc>
        <w:tc>
          <w:tcPr>
            <w:tcW w:w="261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TESA blot</w:t>
            </w:r>
          </w:p>
        </w:tc>
        <w:tc>
          <w:tcPr>
            <w:tcW w:w="31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It appears that no samples were excluded for having a discordant reference standard (only one test was used) or inconclusive index tests</w:t>
            </w:r>
          </w:p>
        </w:tc>
        <w:tc>
          <w:tcPr>
            <w:tcW w:w="297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Blood bank samples excluded because of discrepant results on conventional tests. Inconclusive counted as positive for calculations of se/sp.</w:t>
            </w:r>
          </w:p>
        </w:tc>
      </w:tr>
      <w:tr w:rsidR="00E30496" w:rsidRPr="00E30496" w:rsidTr="00B375D4">
        <w:tc>
          <w:tcPr>
            <w:tcW w:w="13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11. Lorca, 1994</w:t>
            </w:r>
          </w:p>
        </w:tc>
        <w:tc>
          <w:tcPr>
            <w:tcW w:w="99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NA</w:t>
            </w:r>
          </w:p>
        </w:tc>
        <w:tc>
          <w:tcPr>
            <w:tcW w:w="90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NA</w:t>
            </w:r>
          </w:p>
        </w:tc>
        <w:tc>
          <w:tcPr>
            <w:tcW w:w="108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Chile</w:t>
            </w:r>
          </w:p>
        </w:tc>
        <w:tc>
          <w:tcPr>
            <w:tcW w:w="180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226;  29 </w:t>
            </w:r>
            <w:proofErr w:type="spellStart"/>
            <w:r w:rsidRPr="00E30496">
              <w:rPr>
                <w:color w:val="000000"/>
                <w:sz w:val="17"/>
                <w:szCs w:val="17"/>
              </w:rPr>
              <w:t>chagasic</w:t>
            </w:r>
            <w:proofErr w:type="spellEnd"/>
            <w:r w:rsidRPr="00E30496">
              <w:rPr>
                <w:color w:val="000000"/>
                <w:sz w:val="17"/>
                <w:szCs w:val="17"/>
              </w:rPr>
              <w:t>, 2235 non-</w:t>
            </w:r>
            <w:proofErr w:type="spellStart"/>
            <w:r w:rsidRPr="00E30496">
              <w:rPr>
                <w:color w:val="000000"/>
                <w:sz w:val="17"/>
                <w:szCs w:val="17"/>
              </w:rPr>
              <w:t>chagasic</w:t>
            </w:r>
            <w:proofErr w:type="spellEnd"/>
            <w:r w:rsidRPr="00E30496">
              <w:rPr>
                <w:color w:val="000000"/>
                <w:sz w:val="17"/>
                <w:szCs w:val="17"/>
              </w:rPr>
              <w:t>*</w:t>
            </w:r>
          </w:p>
        </w:tc>
        <w:tc>
          <w:tcPr>
            <w:tcW w:w="261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IF and </w:t>
            </w:r>
            <w:proofErr w:type="spellStart"/>
            <w:r w:rsidRPr="00E30496">
              <w:rPr>
                <w:color w:val="000000"/>
                <w:sz w:val="17"/>
                <w:szCs w:val="17"/>
              </w:rPr>
              <w:t>immunoperoxidate</w:t>
            </w:r>
            <w:proofErr w:type="spellEnd"/>
            <w:r w:rsidRPr="00E30496">
              <w:rPr>
                <w:color w:val="000000"/>
                <w:sz w:val="17"/>
                <w:szCs w:val="17"/>
              </w:rPr>
              <w:t xml:space="preserve"> (unclear if both or either positive)</w:t>
            </w:r>
          </w:p>
        </w:tc>
        <w:tc>
          <w:tcPr>
            <w:tcW w:w="31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It appears that no discordant or inconclusive index test results were excluded.</w:t>
            </w:r>
          </w:p>
        </w:tc>
        <w:tc>
          <w:tcPr>
            <w:tcW w:w="297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w:t>
            </w:r>
          </w:p>
        </w:tc>
      </w:tr>
      <w:tr w:rsidR="00E30496" w:rsidRPr="00E30496" w:rsidTr="00B375D4">
        <w:tc>
          <w:tcPr>
            <w:tcW w:w="13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12. </w:t>
            </w:r>
            <w:proofErr w:type="spellStart"/>
            <w:r w:rsidRPr="00E30496">
              <w:rPr>
                <w:color w:val="000000"/>
                <w:sz w:val="17"/>
                <w:szCs w:val="17"/>
              </w:rPr>
              <w:t>Petray</w:t>
            </w:r>
            <w:proofErr w:type="spellEnd"/>
            <w:r w:rsidRPr="00E30496">
              <w:rPr>
                <w:color w:val="000000"/>
                <w:sz w:val="17"/>
                <w:szCs w:val="17"/>
              </w:rPr>
              <w:t>, 1992</w:t>
            </w:r>
          </w:p>
        </w:tc>
        <w:tc>
          <w:tcPr>
            <w:tcW w:w="99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(8 months-84 </w:t>
            </w:r>
            <w:proofErr w:type="spellStart"/>
            <w:r w:rsidRPr="00E30496">
              <w:rPr>
                <w:color w:val="000000"/>
                <w:sz w:val="17"/>
                <w:szCs w:val="17"/>
              </w:rPr>
              <w:t>yrs</w:t>
            </w:r>
            <w:proofErr w:type="spellEnd"/>
            <w:r w:rsidRPr="00E30496">
              <w:rPr>
                <w:color w:val="000000"/>
                <w:sz w:val="17"/>
                <w:szCs w:val="17"/>
              </w:rPr>
              <w:t>); 72/215 under age 10</w:t>
            </w:r>
          </w:p>
        </w:tc>
        <w:tc>
          <w:tcPr>
            <w:tcW w:w="90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59.00%</w:t>
            </w:r>
          </w:p>
        </w:tc>
        <w:tc>
          <w:tcPr>
            <w:tcW w:w="108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Argentina</w:t>
            </w:r>
          </w:p>
        </w:tc>
        <w:tc>
          <w:tcPr>
            <w:tcW w:w="180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215; 74 </w:t>
            </w:r>
            <w:proofErr w:type="spellStart"/>
            <w:r w:rsidRPr="00E30496">
              <w:rPr>
                <w:color w:val="000000"/>
                <w:sz w:val="17"/>
                <w:szCs w:val="17"/>
              </w:rPr>
              <w:t>chagasic</w:t>
            </w:r>
            <w:proofErr w:type="spellEnd"/>
            <w:r w:rsidRPr="00E30496">
              <w:rPr>
                <w:color w:val="000000"/>
                <w:sz w:val="17"/>
                <w:szCs w:val="17"/>
              </w:rPr>
              <w:t>, 141 non-</w:t>
            </w:r>
            <w:proofErr w:type="spellStart"/>
            <w:r w:rsidRPr="00E30496">
              <w:rPr>
                <w:color w:val="000000"/>
                <w:sz w:val="17"/>
                <w:szCs w:val="17"/>
              </w:rPr>
              <w:t>chagasic</w:t>
            </w:r>
            <w:proofErr w:type="spellEnd"/>
            <w:r w:rsidRPr="00E30496">
              <w:rPr>
                <w:color w:val="000000"/>
                <w:sz w:val="17"/>
                <w:szCs w:val="17"/>
              </w:rPr>
              <w:t>*</w:t>
            </w:r>
          </w:p>
        </w:tc>
        <w:tc>
          <w:tcPr>
            <w:tcW w:w="2610" w:type="dxa"/>
            <w:vAlign w:val="center"/>
          </w:tcPr>
          <w:p w:rsidR="00E30496" w:rsidRPr="00E30496" w:rsidRDefault="00E30496" w:rsidP="00E30496">
            <w:pPr>
              <w:spacing w:before="100" w:beforeAutospacing="1" w:after="100" w:afterAutospacing="1"/>
              <w:contextualSpacing/>
              <w:jc w:val="center"/>
              <w:rPr>
                <w:color w:val="000000"/>
                <w:sz w:val="17"/>
                <w:szCs w:val="17"/>
              </w:rPr>
            </w:pPr>
            <w:proofErr w:type="spellStart"/>
            <w:r w:rsidRPr="00E30496">
              <w:rPr>
                <w:color w:val="000000"/>
                <w:sz w:val="17"/>
                <w:szCs w:val="17"/>
              </w:rPr>
              <w:t>Ch</w:t>
            </w:r>
            <w:proofErr w:type="spellEnd"/>
            <w:r w:rsidRPr="00E30496">
              <w:rPr>
                <w:color w:val="000000"/>
                <w:sz w:val="17"/>
                <w:szCs w:val="17"/>
              </w:rPr>
              <w:t xml:space="preserve">: Positive by two serology tests out of three (DHA, </w:t>
            </w:r>
            <w:proofErr w:type="spellStart"/>
            <w:r w:rsidRPr="00E30496">
              <w:rPr>
                <w:color w:val="000000"/>
                <w:sz w:val="17"/>
                <w:szCs w:val="17"/>
              </w:rPr>
              <w:t>iHA</w:t>
            </w:r>
            <w:proofErr w:type="spellEnd"/>
            <w:r w:rsidRPr="00E30496">
              <w:rPr>
                <w:color w:val="000000"/>
                <w:sz w:val="17"/>
                <w:szCs w:val="17"/>
              </w:rPr>
              <w:t xml:space="preserve">, </w:t>
            </w:r>
            <w:proofErr w:type="spellStart"/>
            <w:r w:rsidRPr="00E30496">
              <w:rPr>
                <w:color w:val="000000"/>
                <w:sz w:val="17"/>
                <w:szCs w:val="17"/>
              </w:rPr>
              <w:t>iIF</w:t>
            </w:r>
            <w:proofErr w:type="spellEnd"/>
            <w:r w:rsidRPr="00E30496">
              <w:rPr>
                <w:color w:val="000000"/>
                <w:sz w:val="17"/>
                <w:szCs w:val="17"/>
              </w:rPr>
              <w:t>); Non-</w:t>
            </w:r>
            <w:proofErr w:type="spellStart"/>
            <w:r w:rsidRPr="00E30496">
              <w:rPr>
                <w:color w:val="000000"/>
                <w:sz w:val="17"/>
                <w:szCs w:val="17"/>
              </w:rPr>
              <w:t>Ch</w:t>
            </w:r>
            <w:proofErr w:type="spellEnd"/>
            <w:r w:rsidRPr="00E30496">
              <w:rPr>
                <w:color w:val="000000"/>
                <w:sz w:val="17"/>
                <w:szCs w:val="17"/>
              </w:rPr>
              <w:t xml:space="preserve">: Unclear what criteria is but because all samples are accounted for, we can assume samples must be negative by two serology tests out of three (DHA, </w:t>
            </w:r>
            <w:proofErr w:type="spellStart"/>
            <w:r w:rsidRPr="00E30496">
              <w:rPr>
                <w:color w:val="000000"/>
                <w:sz w:val="17"/>
                <w:szCs w:val="17"/>
              </w:rPr>
              <w:t>iHA</w:t>
            </w:r>
            <w:proofErr w:type="spellEnd"/>
            <w:r w:rsidRPr="00E30496">
              <w:rPr>
                <w:color w:val="000000"/>
                <w:sz w:val="17"/>
                <w:szCs w:val="17"/>
              </w:rPr>
              <w:t xml:space="preserve">, </w:t>
            </w:r>
            <w:proofErr w:type="spellStart"/>
            <w:r w:rsidRPr="00E30496">
              <w:rPr>
                <w:color w:val="000000"/>
                <w:sz w:val="17"/>
                <w:szCs w:val="17"/>
              </w:rPr>
              <w:t>iIF</w:t>
            </w:r>
            <w:proofErr w:type="spellEnd"/>
            <w:r w:rsidRPr="00E30496">
              <w:rPr>
                <w:color w:val="000000"/>
                <w:sz w:val="17"/>
                <w:szCs w:val="17"/>
              </w:rPr>
              <w:t>)</w:t>
            </w:r>
          </w:p>
        </w:tc>
        <w:tc>
          <w:tcPr>
            <w:tcW w:w="31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It appears that 2/3 positive serology tests were considered positive and all others were considered negative.</w:t>
            </w:r>
          </w:p>
        </w:tc>
        <w:tc>
          <w:tcPr>
            <w:tcW w:w="297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w:t>
            </w:r>
          </w:p>
        </w:tc>
      </w:tr>
      <w:tr w:rsidR="00E30496" w:rsidRPr="00E30496" w:rsidTr="00B375D4">
        <w:tc>
          <w:tcPr>
            <w:tcW w:w="13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13. Caballero, 2007</w:t>
            </w:r>
          </w:p>
        </w:tc>
        <w:tc>
          <w:tcPr>
            <w:tcW w:w="99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18-60</w:t>
            </w:r>
          </w:p>
        </w:tc>
        <w:tc>
          <w:tcPr>
            <w:tcW w:w="90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NA</w:t>
            </w:r>
          </w:p>
        </w:tc>
        <w:tc>
          <w:tcPr>
            <w:tcW w:w="108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Panama</w:t>
            </w:r>
          </w:p>
        </w:tc>
        <w:tc>
          <w:tcPr>
            <w:tcW w:w="180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120; 16 </w:t>
            </w:r>
            <w:proofErr w:type="spellStart"/>
            <w:r w:rsidRPr="00E30496">
              <w:rPr>
                <w:color w:val="000000"/>
                <w:sz w:val="17"/>
                <w:szCs w:val="17"/>
              </w:rPr>
              <w:t>chagasic</w:t>
            </w:r>
            <w:proofErr w:type="spellEnd"/>
            <w:r w:rsidRPr="00E30496">
              <w:rPr>
                <w:color w:val="000000"/>
                <w:sz w:val="17"/>
                <w:szCs w:val="17"/>
              </w:rPr>
              <w:t>, 104 non-</w:t>
            </w:r>
            <w:proofErr w:type="spellStart"/>
            <w:r w:rsidRPr="00E30496">
              <w:rPr>
                <w:color w:val="000000"/>
                <w:sz w:val="17"/>
                <w:szCs w:val="17"/>
              </w:rPr>
              <w:t>chagasic</w:t>
            </w:r>
            <w:proofErr w:type="spellEnd"/>
            <w:r w:rsidRPr="00E30496">
              <w:rPr>
                <w:color w:val="000000"/>
                <w:sz w:val="17"/>
                <w:szCs w:val="17"/>
              </w:rPr>
              <w:t>*</w:t>
            </w:r>
          </w:p>
        </w:tc>
        <w:tc>
          <w:tcPr>
            <w:tcW w:w="261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TESA Western blot</w:t>
            </w:r>
          </w:p>
        </w:tc>
        <w:tc>
          <w:tcPr>
            <w:tcW w:w="31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There were no discordant results because only 1 test was used as reference standard. It also appears that inconclusive results by index test were excluded. Samples with inconclusive results were tested at least twice on different days.</w:t>
            </w:r>
          </w:p>
        </w:tc>
        <w:tc>
          <w:tcPr>
            <w:tcW w:w="297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w:t>
            </w:r>
          </w:p>
        </w:tc>
      </w:tr>
      <w:tr w:rsidR="00E30496" w:rsidRPr="00E30496" w:rsidTr="00B375D4">
        <w:tc>
          <w:tcPr>
            <w:tcW w:w="13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14. </w:t>
            </w:r>
            <w:proofErr w:type="spellStart"/>
            <w:r w:rsidRPr="00E30496">
              <w:rPr>
                <w:color w:val="000000"/>
                <w:sz w:val="17"/>
                <w:szCs w:val="17"/>
              </w:rPr>
              <w:t>Chappuis</w:t>
            </w:r>
            <w:proofErr w:type="spellEnd"/>
            <w:r w:rsidRPr="00E30496">
              <w:rPr>
                <w:color w:val="000000"/>
                <w:sz w:val="17"/>
                <w:szCs w:val="17"/>
              </w:rPr>
              <w:t>, 2010</w:t>
            </w:r>
          </w:p>
        </w:tc>
        <w:tc>
          <w:tcPr>
            <w:tcW w:w="99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36 (median)</w:t>
            </w:r>
          </w:p>
        </w:tc>
        <w:tc>
          <w:tcPr>
            <w:tcW w:w="90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17.50%</w:t>
            </w:r>
          </w:p>
        </w:tc>
        <w:tc>
          <w:tcPr>
            <w:tcW w:w="108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Switzerland</w:t>
            </w:r>
          </w:p>
        </w:tc>
        <w:tc>
          <w:tcPr>
            <w:tcW w:w="180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999; 125 </w:t>
            </w:r>
            <w:proofErr w:type="spellStart"/>
            <w:r w:rsidRPr="00E30496">
              <w:rPr>
                <w:color w:val="000000"/>
                <w:sz w:val="17"/>
                <w:szCs w:val="17"/>
              </w:rPr>
              <w:t>chagasic</w:t>
            </w:r>
            <w:proofErr w:type="spellEnd"/>
            <w:r w:rsidRPr="00E30496">
              <w:rPr>
                <w:color w:val="000000"/>
                <w:sz w:val="17"/>
                <w:szCs w:val="17"/>
              </w:rPr>
              <w:t>, 874 non-</w:t>
            </w:r>
            <w:proofErr w:type="spellStart"/>
            <w:r w:rsidRPr="00E30496">
              <w:rPr>
                <w:color w:val="000000"/>
                <w:sz w:val="17"/>
                <w:szCs w:val="17"/>
              </w:rPr>
              <w:t>chagasic</w:t>
            </w:r>
            <w:proofErr w:type="spellEnd"/>
            <w:r w:rsidRPr="00E30496">
              <w:rPr>
                <w:color w:val="000000"/>
                <w:sz w:val="17"/>
                <w:szCs w:val="17"/>
              </w:rPr>
              <w:t>*, 3 discordant samples</w:t>
            </w:r>
          </w:p>
        </w:tc>
        <w:tc>
          <w:tcPr>
            <w:tcW w:w="261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Two commercial ELISA tests (</w:t>
            </w:r>
            <w:proofErr w:type="spellStart"/>
            <w:r w:rsidRPr="00E30496">
              <w:rPr>
                <w:color w:val="000000"/>
                <w:sz w:val="17"/>
                <w:szCs w:val="17"/>
              </w:rPr>
              <w:t>Biomerieux</w:t>
            </w:r>
            <w:proofErr w:type="spellEnd"/>
            <w:r w:rsidRPr="00E30496">
              <w:rPr>
                <w:color w:val="000000"/>
                <w:sz w:val="17"/>
                <w:szCs w:val="17"/>
              </w:rPr>
              <w:t xml:space="preserve"> and </w:t>
            </w:r>
            <w:proofErr w:type="spellStart"/>
            <w:r w:rsidRPr="00E30496">
              <w:rPr>
                <w:color w:val="000000"/>
                <w:sz w:val="17"/>
                <w:szCs w:val="17"/>
              </w:rPr>
              <w:t>Biokit</w:t>
            </w:r>
            <w:proofErr w:type="spellEnd"/>
            <w:r w:rsidRPr="00E30496">
              <w:rPr>
                <w:color w:val="000000"/>
                <w:sz w:val="17"/>
                <w:szCs w:val="17"/>
              </w:rPr>
              <w:t>) positive/negative; if discrepant, sent to reference lab for four serologic tests and final determination</w:t>
            </w:r>
          </w:p>
        </w:tc>
        <w:tc>
          <w:tcPr>
            <w:tcW w:w="31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3 samples excluded because reference standard was non-conclusive</w:t>
            </w:r>
          </w:p>
        </w:tc>
        <w:tc>
          <w:tcPr>
            <w:tcW w:w="297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Latin-American immigrants</w:t>
            </w:r>
          </w:p>
        </w:tc>
      </w:tr>
      <w:tr w:rsidR="00E30496" w:rsidRPr="00E30496" w:rsidTr="00B375D4">
        <w:tc>
          <w:tcPr>
            <w:tcW w:w="13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15. Almeida, 1990</w:t>
            </w:r>
          </w:p>
        </w:tc>
        <w:tc>
          <w:tcPr>
            <w:tcW w:w="99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NA</w:t>
            </w:r>
          </w:p>
        </w:tc>
        <w:tc>
          <w:tcPr>
            <w:tcW w:w="90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NA</w:t>
            </w:r>
          </w:p>
        </w:tc>
        <w:tc>
          <w:tcPr>
            <w:tcW w:w="108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Brazil</w:t>
            </w:r>
          </w:p>
        </w:tc>
        <w:tc>
          <w:tcPr>
            <w:tcW w:w="1800" w:type="dxa"/>
          </w:tcPr>
          <w:p w:rsidR="00E30496" w:rsidRPr="00E30496" w:rsidRDefault="00E30496" w:rsidP="00E30496">
            <w:pPr>
              <w:spacing w:before="100" w:beforeAutospacing="1" w:after="100" w:afterAutospacing="1"/>
              <w:contextualSpacing/>
              <w:rPr>
                <w:color w:val="000000"/>
                <w:sz w:val="17"/>
                <w:szCs w:val="17"/>
              </w:rPr>
            </w:pPr>
            <w:r w:rsidRPr="00E30496">
              <w:rPr>
                <w:color w:val="000000"/>
                <w:sz w:val="17"/>
                <w:szCs w:val="17"/>
              </w:rPr>
              <w:t xml:space="preserve">543: 221 </w:t>
            </w:r>
            <w:proofErr w:type="spellStart"/>
            <w:r w:rsidRPr="00E30496">
              <w:rPr>
                <w:color w:val="000000"/>
                <w:sz w:val="17"/>
                <w:szCs w:val="17"/>
              </w:rPr>
              <w:t>chagasic</w:t>
            </w:r>
            <w:proofErr w:type="spellEnd"/>
            <w:r w:rsidRPr="00E30496">
              <w:rPr>
                <w:color w:val="000000"/>
                <w:sz w:val="17"/>
                <w:szCs w:val="17"/>
              </w:rPr>
              <w:t>, 242 non-</w:t>
            </w:r>
            <w:proofErr w:type="spellStart"/>
            <w:r w:rsidRPr="00E30496">
              <w:rPr>
                <w:color w:val="000000"/>
                <w:sz w:val="17"/>
                <w:szCs w:val="17"/>
              </w:rPr>
              <w:t>chagasic</w:t>
            </w:r>
            <w:proofErr w:type="spellEnd"/>
            <w:r w:rsidRPr="00E30496">
              <w:rPr>
                <w:color w:val="000000"/>
                <w:sz w:val="17"/>
                <w:szCs w:val="17"/>
              </w:rPr>
              <w:t xml:space="preserve">, *80 non </w:t>
            </w:r>
            <w:proofErr w:type="spellStart"/>
            <w:r w:rsidRPr="00E30496">
              <w:rPr>
                <w:color w:val="000000"/>
                <w:sz w:val="17"/>
                <w:szCs w:val="17"/>
              </w:rPr>
              <w:t>chagasic</w:t>
            </w:r>
            <w:proofErr w:type="spellEnd"/>
            <w:r w:rsidRPr="00E30496">
              <w:rPr>
                <w:color w:val="000000"/>
                <w:sz w:val="17"/>
                <w:szCs w:val="17"/>
              </w:rPr>
              <w:t xml:space="preserve"> with other </w:t>
            </w:r>
            <w:r w:rsidRPr="00E30496">
              <w:rPr>
                <w:color w:val="000000"/>
                <w:sz w:val="17"/>
                <w:szCs w:val="17"/>
              </w:rPr>
              <w:lastRenderedPageBreak/>
              <w:t>diseases</w:t>
            </w:r>
          </w:p>
        </w:tc>
        <w:tc>
          <w:tcPr>
            <w:tcW w:w="261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lastRenderedPageBreak/>
              <w:t>Unknown</w:t>
            </w:r>
          </w:p>
        </w:tc>
        <w:tc>
          <w:tcPr>
            <w:tcW w:w="31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It appears that no samples were excluded from the original study population. However, it is unclear what the reference </w:t>
            </w:r>
            <w:r w:rsidRPr="00E30496">
              <w:rPr>
                <w:color w:val="000000"/>
                <w:sz w:val="17"/>
                <w:szCs w:val="17"/>
              </w:rPr>
              <w:lastRenderedPageBreak/>
              <w:t>standard is for the calculation of sensitivity and specificity.</w:t>
            </w:r>
          </w:p>
        </w:tc>
        <w:tc>
          <w:tcPr>
            <w:tcW w:w="297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lastRenderedPageBreak/>
              <w:t>Positive and negative sera from endemic region; Non-</w:t>
            </w:r>
            <w:proofErr w:type="spellStart"/>
            <w:r w:rsidRPr="00E30496">
              <w:rPr>
                <w:color w:val="000000"/>
                <w:sz w:val="17"/>
                <w:szCs w:val="17"/>
              </w:rPr>
              <w:t>Ch</w:t>
            </w:r>
            <w:proofErr w:type="spellEnd"/>
            <w:r w:rsidRPr="00E30496">
              <w:rPr>
                <w:color w:val="000000"/>
                <w:sz w:val="17"/>
                <w:szCs w:val="17"/>
              </w:rPr>
              <w:t xml:space="preserve">: RF (8), </w:t>
            </w:r>
            <w:proofErr w:type="spellStart"/>
            <w:r w:rsidRPr="00E30496">
              <w:rPr>
                <w:color w:val="000000"/>
                <w:sz w:val="17"/>
                <w:szCs w:val="17"/>
              </w:rPr>
              <w:t>Schisto</w:t>
            </w:r>
            <w:proofErr w:type="spellEnd"/>
            <w:r w:rsidRPr="00E30496">
              <w:rPr>
                <w:color w:val="000000"/>
                <w:sz w:val="17"/>
                <w:szCs w:val="17"/>
              </w:rPr>
              <w:t xml:space="preserve"> (15), malaria (12), </w:t>
            </w:r>
            <w:proofErr w:type="spellStart"/>
            <w:r w:rsidRPr="00E30496">
              <w:rPr>
                <w:color w:val="000000"/>
                <w:sz w:val="17"/>
                <w:szCs w:val="17"/>
              </w:rPr>
              <w:t>toxo</w:t>
            </w:r>
            <w:proofErr w:type="spellEnd"/>
            <w:r w:rsidRPr="00E30496">
              <w:rPr>
                <w:color w:val="000000"/>
                <w:sz w:val="17"/>
                <w:szCs w:val="17"/>
              </w:rPr>
              <w:t xml:space="preserve"> (10), syphilis </w:t>
            </w:r>
            <w:r w:rsidRPr="00E30496">
              <w:rPr>
                <w:color w:val="000000"/>
                <w:sz w:val="17"/>
                <w:szCs w:val="17"/>
              </w:rPr>
              <w:lastRenderedPageBreak/>
              <w:t xml:space="preserve">(14), </w:t>
            </w:r>
            <w:proofErr w:type="spellStart"/>
            <w:r w:rsidRPr="00E30496">
              <w:rPr>
                <w:color w:val="000000"/>
                <w:sz w:val="17"/>
                <w:szCs w:val="17"/>
              </w:rPr>
              <w:t>Leish</w:t>
            </w:r>
            <w:proofErr w:type="spellEnd"/>
            <w:r w:rsidRPr="00E30496">
              <w:rPr>
                <w:color w:val="000000"/>
                <w:sz w:val="17"/>
                <w:szCs w:val="17"/>
              </w:rPr>
              <w:t xml:space="preserve"> (21)</w:t>
            </w:r>
          </w:p>
        </w:tc>
      </w:tr>
      <w:tr w:rsidR="00E30496" w:rsidRPr="00E30496" w:rsidTr="00B375D4">
        <w:trPr>
          <w:trHeight w:val="323"/>
        </w:trPr>
        <w:tc>
          <w:tcPr>
            <w:tcW w:w="13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lastRenderedPageBreak/>
              <w:t xml:space="preserve">16. </w:t>
            </w:r>
            <w:proofErr w:type="spellStart"/>
            <w:r w:rsidRPr="00E30496">
              <w:rPr>
                <w:color w:val="000000"/>
                <w:sz w:val="17"/>
                <w:szCs w:val="17"/>
              </w:rPr>
              <w:t>Gorlin</w:t>
            </w:r>
            <w:proofErr w:type="spellEnd"/>
            <w:r w:rsidRPr="00E30496">
              <w:rPr>
                <w:color w:val="000000"/>
                <w:sz w:val="17"/>
                <w:szCs w:val="17"/>
              </w:rPr>
              <w:t>, 2008</w:t>
            </w:r>
          </w:p>
        </w:tc>
        <w:tc>
          <w:tcPr>
            <w:tcW w:w="99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NA</w:t>
            </w:r>
          </w:p>
        </w:tc>
        <w:tc>
          <w:tcPr>
            <w:tcW w:w="90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NA</w:t>
            </w:r>
          </w:p>
        </w:tc>
        <w:tc>
          <w:tcPr>
            <w:tcW w:w="108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Bolivia, Columbia, Guatemala, Mexico, Nicaragua</w:t>
            </w:r>
          </w:p>
        </w:tc>
        <w:tc>
          <w:tcPr>
            <w:tcW w:w="1800" w:type="dxa"/>
          </w:tcPr>
          <w:p w:rsidR="00E30496" w:rsidRPr="00E30496" w:rsidRDefault="00E30496" w:rsidP="00E30496">
            <w:pPr>
              <w:spacing w:before="100" w:beforeAutospacing="1" w:after="100" w:afterAutospacing="1"/>
              <w:contextualSpacing/>
              <w:rPr>
                <w:color w:val="000000"/>
                <w:sz w:val="17"/>
                <w:szCs w:val="17"/>
              </w:rPr>
            </w:pPr>
            <w:r w:rsidRPr="00E30496">
              <w:rPr>
                <w:color w:val="000000"/>
                <w:sz w:val="17"/>
                <w:szCs w:val="17"/>
              </w:rPr>
              <w:t xml:space="preserve">574: 95 </w:t>
            </w:r>
            <w:proofErr w:type="spellStart"/>
            <w:r w:rsidRPr="00E30496">
              <w:rPr>
                <w:color w:val="000000"/>
                <w:sz w:val="17"/>
                <w:szCs w:val="17"/>
              </w:rPr>
              <w:t>chagasic</w:t>
            </w:r>
            <w:proofErr w:type="spellEnd"/>
            <w:r w:rsidRPr="00E30496">
              <w:rPr>
                <w:color w:val="000000"/>
                <w:sz w:val="17"/>
                <w:szCs w:val="17"/>
              </w:rPr>
              <w:t>, 479 non-</w:t>
            </w:r>
            <w:proofErr w:type="spellStart"/>
            <w:r w:rsidRPr="00E30496">
              <w:rPr>
                <w:color w:val="000000"/>
                <w:sz w:val="17"/>
                <w:szCs w:val="17"/>
              </w:rPr>
              <w:t>chagasic</w:t>
            </w:r>
            <w:proofErr w:type="spellEnd"/>
            <w:r w:rsidRPr="00E30496">
              <w:rPr>
                <w:color w:val="000000"/>
                <w:sz w:val="17"/>
                <w:szCs w:val="17"/>
              </w:rPr>
              <w:t>*</w:t>
            </w:r>
          </w:p>
        </w:tc>
        <w:tc>
          <w:tcPr>
            <w:tcW w:w="261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IFA; RIPA if either index or IFA positive</w:t>
            </w:r>
          </w:p>
        </w:tc>
        <w:tc>
          <w:tcPr>
            <w:tcW w:w="31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This is not addressed, but it appears that there were no discordant reference standard results or indeterminate index test results.</w:t>
            </w:r>
          </w:p>
        </w:tc>
        <w:tc>
          <w:tcPr>
            <w:tcW w:w="297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High-risk population</w:t>
            </w:r>
          </w:p>
        </w:tc>
      </w:tr>
      <w:tr w:rsidR="00E30496" w:rsidRPr="00E30496" w:rsidTr="00B375D4">
        <w:tc>
          <w:tcPr>
            <w:tcW w:w="13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17. </w:t>
            </w:r>
            <w:proofErr w:type="spellStart"/>
            <w:r w:rsidRPr="00E30496">
              <w:rPr>
                <w:color w:val="000000"/>
                <w:sz w:val="17"/>
                <w:szCs w:val="17"/>
              </w:rPr>
              <w:t>Zicker</w:t>
            </w:r>
            <w:proofErr w:type="spellEnd"/>
            <w:r w:rsidRPr="00E30496">
              <w:rPr>
                <w:color w:val="000000"/>
                <w:sz w:val="17"/>
                <w:szCs w:val="17"/>
              </w:rPr>
              <w:t>, 1990</w:t>
            </w:r>
          </w:p>
        </w:tc>
        <w:tc>
          <w:tcPr>
            <w:tcW w:w="99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NA</w:t>
            </w:r>
          </w:p>
        </w:tc>
        <w:tc>
          <w:tcPr>
            <w:tcW w:w="90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NA</w:t>
            </w:r>
          </w:p>
        </w:tc>
        <w:tc>
          <w:tcPr>
            <w:tcW w:w="108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Brazil</w:t>
            </w:r>
          </w:p>
        </w:tc>
        <w:tc>
          <w:tcPr>
            <w:tcW w:w="180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6222: 357 </w:t>
            </w:r>
            <w:proofErr w:type="spellStart"/>
            <w:r w:rsidRPr="00E30496">
              <w:rPr>
                <w:color w:val="000000"/>
                <w:sz w:val="17"/>
                <w:szCs w:val="17"/>
              </w:rPr>
              <w:t>chagasic</w:t>
            </w:r>
            <w:proofErr w:type="spellEnd"/>
            <w:r w:rsidRPr="00E30496">
              <w:rPr>
                <w:color w:val="000000"/>
                <w:sz w:val="17"/>
                <w:szCs w:val="17"/>
              </w:rPr>
              <w:t>, 5865 non-</w:t>
            </w:r>
            <w:proofErr w:type="spellStart"/>
            <w:r w:rsidRPr="00E30496">
              <w:rPr>
                <w:color w:val="000000"/>
                <w:sz w:val="17"/>
                <w:szCs w:val="17"/>
              </w:rPr>
              <w:t>chagasic</w:t>
            </w:r>
            <w:proofErr w:type="spellEnd"/>
            <w:r w:rsidRPr="00E30496">
              <w:rPr>
                <w:color w:val="000000"/>
                <w:sz w:val="17"/>
                <w:szCs w:val="17"/>
              </w:rPr>
              <w:t>*</w:t>
            </w:r>
          </w:p>
        </w:tc>
        <w:tc>
          <w:tcPr>
            <w:tcW w:w="2610" w:type="dxa"/>
            <w:vAlign w:val="center"/>
          </w:tcPr>
          <w:p w:rsidR="00E30496" w:rsidRPr="00E30496" w:rsidRDefault="00E30496" w:rsidP="00E30496">
            <w:pPr>
              <w:spacing w:before="100" w:beforeAutospacing="1" w:after="100" w:afterAutospacing="1"/>
              <w:contextualSpacing/>
              <w:jc w:val="center"/>
              <w:rPr>
                <w:color w:val="000000"/>
                <w:sz w:val="17"/>
                <w:szCs w:val="17"/>
              </w:rPr>
            </w:pPr>
            <w:proofErr w:type="spellStart"/>
            <w:r w:rsidRPr="00E30496">
              <w:rPr>
                <w:color w:val="000000"/>
                <w:sz w:val="17"/>
                <w:szCs w:val="17"/>
              </w:rPr>
              <w:t>Ch</w:t>
            </w:r>
            <w:proofErr w:type="spellEnd"/>
            <w:r w:rsidRPr="00E30496">
              <w:rPr>
                <w:color w:val="000000"/>
                <w:sz w:val="17"/>
                <w:szCs w:val="17"/>
              </w:rPr>
              <w:t>: IF and HA positive; Non-</w:t>
            </w:r>
            <w:proofErr w:type="spellStart"/>
            <w:r w:rsidRPr="00E30496">
              <w:rPr>
                <w:color w:val="000000"/>
                <w:sz w:val="17"/>
                <w:szCs w:val="17"/>
              </w:rPr>
              <w:t>Ch</w:t>
            </w:r>
            <w:proofErr w:type="spellEnd"/>
            <w:r w:rsidRPr="00E30496">
              <w:rPr>
                <w:color w:val="000000"/>
                <w:sz w:val="17"/>
                <w:szCs w:val="17"/>
              </w:rPr>
              <w:t>: IF or HA positive, or both negative</w:t>
            </w:r>
          </w:p>
        </w:tc>
        <w:tc>
          <w:tcPr>
            <w:tcW w:w="31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We considered samples with discordant results between IF and IHA as negative.</w:t>
            </w:r>
          </w:p>
        </w:tc>
        <w:tc>
          <w:tcPr>
            <w:tcW w:w="297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Population survey of manual workers in urban areas</w:t>
            </w:r>
          </w:p>
        </w:tc>
      </w:tr>
      <w:tr w:rsidR="00E30496" w:rsidRPr="00E30496" w:rsidTr="00B375D4">
        <w:tc>
          <w:tcPr>
            <w:tcW w:w="13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18. Ramos-</w:t>
            </w:r>
            <w:proofErr w:type="spellStart"/>
            <w:r w:rsidRPr="00E30496">
              <w:rPr>
                <w:color w:val="000000"/>
                <w:sz w:val="17"/>
                <w:szCs w:val="17"/>
              </w:rPr>
              <w:t>Echevarria</w:t>
            </w:r>
            <w:proofErr w:type="spellEnd"/>
            <w:r w:rsidRPr="00E30496">
              <w:rPr>
                <w:color w:val="000000"/>
                <w:sz w:val="17"/>
                <w:szCs w:val="17"/>
              </w:rPr>
              <w:t>, 1992</w:t>
            </w:r>
          </w:p>
        </w:tc>
        <w:tc>
          <w:tcPr>
            <w:tcW w:w="99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18-50</w:t>
            </w:r>
          </w:p>
        </w:tc>
        <w:tc>
          <w:tcPr>
            <w:tcW w:w="90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86%</w:t>
            </w:r>
          </w:p>
        </w:tc>
        <w:tc>
          <w:tcPr>
            <w:tcW w:w="108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Mexico</w:t>
            </w:r>
          </w:p>
        </w:tc>
        <w:tc>
          <w:tcPr>
            <w:tcW w:w="180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1076: 3 </w:t>
            </w:r>
            <w:proofErr w:type="spellStart"/>
            <w:r w:rsidRPr="00E30496">
              <w:rPr>
                <w:color w:val="000000"/>
                <w:sz w:val="17"/>
                <w:szCs w:val="17"/>
              </w:rPr>
              <w:t>chagasic</w:t>
            </w:r>
            <w:proofErr w:type="spellEnd"/>
            <w:r w:rsidRPr="00E30496">
              <w:rPr>
                <w:color w:val="000000"/>
                <w:sz w:val="17"/>
                <w:szCs w:val="17"/>
              </w:rPr>
              <w:t>, 1073 non-</w:t>
            </w:r>
            <w:proofErr w:type="spellStart"/>
            <w:r w:rsidRPr="00E30496">
              <w:rPr>
                <w:color w:val="000000"/>
                <w:sz w:val="17"/>
                <w:szCs w:val="17"/>
              </w:rPr>
              <w:t>chagasic</w:t>
            </w:r>
            <w:proofErr w:type="spellEnd"/>
            <w:r w:rsidRPr="00E30496">
              <w:rPr>
                <w:color w:val="000000"/>
                <w:sz w:val="17"/>
                <w:szCs w:val="17"/>
              </w:rPr>
              <w:t>*</w:t>
            </w:r>
          </w:p>
        </w:tc>
        <w:tc>
          <w:tcPr>
            <w:tcW w:w="2610" w:type="dxa"/>
            <w:vAlign w:val="center"/>
          </w:tcPr>
          <w:p w:rsidR="00E30496" w:rsidRPr="00E30496" w:rsidRDefault="00E30496" w:rsidP="00E30496">
            <w:pPr>
              <w:spacing w:before="100" w:beforeAutospacing="1" w:after="100" w:afterAutospacing="1"/>
              <w:contextualSpacing/>
              <w:jc w:val="center"/>
              <w:rPr>
                <w:color w:val="000000"/>
                <w:sz w:val="17"/>
                <w:szCs w:val="17"/>
              </w:rPr>
            </w:pPr>
            <w:proofErr w:type="spellStart"/>
            <w:r w:rsidRPr="00E30496">
              <w:rPr>
                <w:color w:val="000000"/>
                <w:sz w:val="17"/>
                <w:szCs w:val="17"/>
              </w:rPr>
              <w:t>Ch</w:t>
            </w:r>
            <w:proofErr w:type="spellEnd"/>
            <w:r w:rsidRPr="00E30496">
              <w:rPr>
                <w:color w:val="000000"/>
                <w:sz w:val="17"/>
                <w:szCs w:val="17"/>
              </w:rPr>
              <w:t>: Positive by Dot ELISA, ELISA, and WB; Non-</w:t>
            </w:r>
            <w:proofErr w:type="spellStart"/>
            <w:r w:rsidRPr="00E30496">
              <w:rPr>
                <w:color w:val="000000"/>
                <w:sz w:val="17"/>
                <w:szCs w:val="17"/>
              </w:rPr>
              <w:t>Ch</w:t>
            </w:r>
            <w:proofErr w:type="spellEnd"/>
            <w:r w:rsidRPr="00E30496">
              <w:rPr>
                <w:color w:val="000000"/>
                <w:sz w:val="17"/>
                <w:szCs w:val="17"/>
              </w:rPr>
              <w:t>: Negative by DOT-ELISA or Negative by ELISA or Negative by WB (Not positive by all three)</w:t>
            </w:r>
          </w:p>
        </w:tc>
        <w:tc>
          <w:tcPr>
            <w:tcW w:w="315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Samples initially positive by Dot-ELISA were submitted to ELISA, and if still reactive, they were submitted to WB. Only those that were reactive by all three were considered positive. All others were considered negative. It appears that there were no inconclusive or discordant results, and that they were not excluded from the analysis.</w:t>
            </w:r>
          </w:p>
        </w:tc>
        <w:tc>
          <w:tcPr>
            <w:tcW w:w="2970" w:type="dxa"/>
            <w:vAlign w:val="center"/>
          </w:tcPr>
          <w:p w:rsidR="00E30496" w:rsidRPr="00E30496" w:rsidRDefault="00E30496" w:rsidP="00E30496">
            <w:pPr>
              <w:spacing w:before="100" w:beforeAutospacing="1" w:after="100" w:afterAutospacing="1"/>
              <w:contextualSpacing/>
              <w:jc w:val="center"/>
              <w:rPr>
                <w:color w:val="000000"/>
                <w:sz w:val="17"/>
                <w:szCs w:val="17"/>
              </w:rPr>
            </w:pPr>
            <w:r w:rsidRPr="00E30496">
              <w:rPr>
                <w:color w:val="000000"/>
                <w:sz w:val="17"/>
                <w:szCs w:val="17"/>
              </w:rPr>
              <w:t xml:space="preserve">Other disease: </w:t>
            </w:r>
            <w:proofErr w:type="spellStart"/>
            <w:r w:rsidRPr="00E30496">
              <w:rPr>
                <w:color w:val="000000"/>
                <w:sz w:val="17"/>
                <w:szCs w:val="17"/>
              </w:rPr>
              <w:t>Leishmaniasis</w:t>
            </w:r>
            <w:proofErr w:type="spellEnd"/>
            <w:r w:rsidRPr="00E30496">
              <w:rPr>
                <w:color w:val="000000"/>
                <w:sz w:val="17"/>
                <w:szCs w:val="17"/>
              </w:rPr>
              <w:t xml:space="preserve"> (50), Tuberculosis(10), Cardiomyopathy (32)</w:t>
            </w:r>
          </w:p>
        </w:tc>
      </w:tr>
    </w:tbl>
    <w:p w:rsidR="006069B7" w:rsidRDefault="00746FA1" w:rsidP="00E30496"/>
    <w:p w:rsidR="00E30496" w:rsidRPr="00580861" w:rsidRDefault="00E30496" w:rsidP="00E30496">
      <w:r w:rsidRPr="0027327B">
        <w:rPr>
          <w:sz w:val="18"/>
          <w:szCs w:val="18"/>
        </w:rPr>
        <w:t>*</w:t>
      </w:r>
      <w:r w:rsidRPr="0041158E">
        <w:t xml:space="preserve"> </w:t>
      </w:r>
      <w:r w:rsidRPr="00580861">
        <w:t xml:space="preserve">The above abbreviations are defined as follows: TESA: </w:t>
      </w:r>
      <w:proofErr w:type="spellStart"/>
      <w:r w:rsidRPr="00580861">
        <w:t>Trypomastigote</w:t>
      </w:r>
      <w:proofErr w:type="spellEnd"/>
      <w:r w:rsidRPr="00580861">
        <w:t xml:space="preserve"> excreted-secreted antigen; ELISA: Enzyme-linked </w:t>
      </w:r>
      <w:proofErr w:type="spellStart"/>
      <w:r w:rsidRPr="00580861">
        <w:t>immunosorbent</w:t>
      </w:r>
      <w:proofErr w:type="spellEnd"/>
      <w:r w:rsidRPr="00580861">
        <w:t xml:space="preserve"> assay; EIA: Enzyme immunoassay; IHA: Indirect </w:t>
      </w:r>
      <w:proofErr w:type="spellStart"/>
      <w:r w:rsidRPr="00580861">
        <w:t>hemagglutination</w:t>
      </w:r>
      <w:proofErr w:type="spellEnd"/>
      <w:r w:rsidRPr="00580861">
        <w:t xml:space="preserve"> test; </w:t>
      </w:r>
      <w:proofErr w:type="spellStart"/>
      <w:r w:rsidRPr="00580861">
        <w:t>iIF</w:t>
      </w:r>
      <w:proofErr w:type="spellEnd"/>
      <w:r w:rsidRPr="00580861">
        <w:t xml:space="preserve">: Indirect immunofluorescence assay; IFA: Immunofluorescence Assay; </w:t>
      </w:r>
      <w:proofErr w:type="spellStart"/>
      <w:r w:rsidRPr="00580861">
        <w:t>Ch</w:t>
      </w:r>
      <w:proofErr w:type="spellEnd"/>
      <w:r w:rsidRPr="00580861">
        <w:t xml:space="preserve">: </w:t>
      </w:r>
      <w:proofErr w:type="spellStart"/>
      <w:r w:rsidRPr="00580861">
        <w:t>Chagasic</w:t>
      </w:r>
      <w:proofErr w:type="spellEnd"/>
      <w:r w:rsidRPr="00580861">
        <w:t>; Non-</w:t>
      </w:r>
      <w:proofErr w:type="spellStart"/>
      <w:r w:rsidRPr="00580861">
        <w:t>Ch</w:t>
      </w:r>
      <w:proofErr w:type="spellEnd"/>
      <w:r w:rsidRPr="00580861">
        <w:t xml:space="preserve">: Non </w:t>
      </w:r>
      <w:proofErr w:type="spellStart"/>
      <w:r w:rsidRPr="00580861">
        <w:t>Chagasic</w:t>
      </w:r>
      <w:proofErr w:type="spellEnd"/>
      <w:r w:rsidRPr="00580861">
        <w:t xml:space="preserve">; IND: Indeterminate; RIPA: </w:t>
      </w:r>
      <w:proofErr w:type="spellStart"/>
      <w:r w:rsidRPr="00580861">
        <w:t>Radioimmunoprecipitation</w:t>
      </w:r>
      <w:proofErr w:type="spellEnd"/>
      <w:r w:rsidRPr="00580861">
        <w:t xml:space="preserve"> assay; OD: Optical density; DHA: Direct-</w:t>
      </w:r>
      <w:proofErr w:type="spellStart"/>
      <w:r w:rsidRPr="00580861">
        <w:t>hemagglutination</w:t>
      </w:r>
      <w:proofErr w:type="spellEnd"/>
      <w:r w:rsidRPr="00580861">
        <w:t xml:space="preserve"> test; WB: Western blot; SD: Standard deviation; CSP: </w:t>
      </w:r>
      <w:proofErr w:type="spellStart"/>
      <w:r w:rsidRPr="00580861">
        <w:t>Chagas</w:t>
      </w:r>
      <w:proofErr w:type="spellEnd"/>
      <w:r w:rsidRPr="00580861">
        <w:t xml:space="preserve"> Stat-Pak; </w:t>
      </w:r>
      <w:proofErr w:type="spellStart"/>
      <w:r w:rsidRPr="00580861">
        <w:t>sens</w:t>
      </w:r>
      <w:proofErr w:type="spellEnd"/>
      <w:r w:rsidRPr="00580861">
        <w:t xml:space="preserve">: sensitivity; spec: specificity; LCA: Latent class  analysis </w:t>
      </w:r>
    </w:p>
    <w:p w:rsidR="00E30496" w:rsidRPr="00E30496" w:rsidRDefault="00E30496" w:rsidP="00E30496"/>
    <w:sectPr w:rsidR="00E30496" w:rsidRPr="00E30496" w:rsidSect="00E3049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96"/>
    <w:rsid w:val="00020DBC"/>
    <w:rsid w:val="00160821"/>
    <w:rsid w:val="0046181F"/>
    <w:rsid w:val="00746FA1"/>
    <w:rsid w:val="00D4367A"/>
    <w:rsid w:val="00E3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49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49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Afonso</dc:creator>
  <cp:lastModifiedBy>Anna Afonso</cp:lastModifiedBy>
  <cp:revision>4</cp:revision>
  <dcterms:created xsi:type="dcterms:W3CDTF">2012-09-11T02:02:00Z</dcterms:created>
  <dcterms:modified xsi:type="dcterms:W3CDTF">2012-09-30T18:22:00Z</dcterms:modified>
</cp:coreProperties>
</file>