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7BB" w:rsidRDefault="00DF47BB" w:rsidP="00DF47BB">
      <w:pPr>
        <w:rPr>
          <w:rFonts w:ascii="Arial" w:hAnsi="Arial" w:cs="Arial"/>
          <w:b/>
          <w:sz w:val="22"/>
        </w:rPr>
      </w:pPr>
      <w:r>
        <w:rPr>
          <w:rFonts w:ascii="Arial" w:hAnsi="Arial" w:cs="Arial"/>
          <w:b/>
          <w:sz w:val="22"/>
        </w:rPr>
        <w:t>S</w:t>
      </w:r>
      <w:r w:rsidRPr="004F5C22">
        <w:rPr>
          <w:rFonts w:ascii="Arial" w:hAnsi="Arial" w:cs="Arial"/>
          <w:b/>
          <w:sz w:val="22"/>
        </w:rPr>
        <w:t>2</w:t>
      </w:r>
      <w:r>
        <w:rPr>
          <w:rFonts w:ascii="Arial" w:hAnsi="Arial" w:cs="Arial"/>
          <w:b/>
          <w:sz w:val="22"/>
        </w:rPr>
        <w:t xml:space="preserve"> Text</w:t>
      </w:r>
    </w:p>
    <w:p w:rsidR="00DF47BB" w:rsidRDefault="00DF47BB" w:rsidP="00DF47BB">
      <w:pPr>
        <w:rPr>
          <w:rFonts w:ascii="Arial" w:hAnsi="Arial" w:cs="Arial"/>
          <w:b/>
          <w:sz w:val="22"/>
        </w:rPr>
      </w:pPr>
    </w:p>
    <w:p w:rsidR="00DF47BB" w:rsidRDefault="00DF47BB" w:rsidP="00DF47BB">
      <w:pPr>
        <w:rPr>
          <w:rFonts w:ascii="Arial" w:hAnsi="Arial" w:cs="Arial"/>
          <w:b/>
          <w:sz w:val="22"/>
        </w:rPr>
      </w:pPr>
      <w:r w:rsidRPr="004F5C22">
        <w:rPr>
          <w:rFonts w:ascii="Arial" w:hAnsi="Arial" w:cs="Arial"/>
          <w:b/>
          <w:sz w:val="22"/>
        </w:rPr>
        <w:t>Alternative socioeconomic status measures</w:t>
      </w:r>
    </w:p>
    <w:p w:rsidR="00DF47BB" w:rsidRPr="004F5C22" w:rsidRDefault="00DF47BB" w:rsidP="00DF47BB">
      <w:pPr>
        <w:rPr>
          <w:rFonts w:ascii="Arial" w:hAnsi="Arial" w:cs="Arial"/>
          <w:b/>
          <w:sz w:val="22"/>
        </w:rPr>
      </w:pPr>
    </w:p>
    <w:p w:rsidR="00DF47BB" w:rsidRPr="004F5C22" w:rsidRDefault="00DF47BB" w:rsidP="00DF47BB">
      <w:pPr>
        <w:rPr>
          <w:rFonts w:ascii="Arial" w:eastAsia="Times New Roman" w:hAnsi="Arial" w:cs="Arial"/>
          <w:sz w:val="22"/>
          <w:lang w:eastAsia="es-CL"/>
        </w:rPr>
      </w:pPr>
      <w:r w:rsidRPr="004F5C22">
        <w:rPr>
          <w:rFonts w:ascii="Arial" w:eastAsia="Times New Roman" w:hAnsi="Arial" w:cs="Arial"/>
          <w:sz w:val="22"/>
          <w:lang w:eastAsia="es-CL"/>
        </w:rPr>
        <w:t>A socioeconomic status (SES) index was built using Multiple Correspondence Analysis (MCA) at household level using the ‘</w:t>
      </w:r>
      <w:proofErr w:type="spellStart"/>
      <w:r w:rsidRPr="004F5C22">
        <w:rPr>
          <w:rFonts w:ascii="Arial" w:eastAsia="Times New Roman" w:hAnsi="Arial" w:cs="Arial"/>
          <w:sz w:val="22"/>
          <w:lang w:eastAsia="es-CL"/>
        </w:rPr>
        <w:t>mca</w:t>
      </w:r>
      <w:proofErr w:type="spellEnd"/>
      <w:r w:rsidRPr="004F5C22">
        <w:rPr>
          <w:rFonts w:ascii="Arial" w:eastAsia="Times New Roman" w:hAnsi="Arial" w:cs="Arial"/>
          <w:sz w:val="22"/>
          <w:lang w:eastAsia="es-CL"/>
        </w:rPr>
        <w:t xml:space="preserve">’ command in Stata. The variables included in the analysis were the occupation and education status of the household head and his/her partner, car ownership, number of bedrooms and number of bathrooms per household. Occupation and the highest educational level attained were measured using 12 categories (see </w:t>
      </w:r>
      <w:r>
        <w:rPr>
          <w:rFonts w:ascii="Arial" w:eastAsia="Times New Roman" w:hAnsi="Arial" w:cs="Arial"/>
          <w:sz w:val="22"/>
          <w:lang w:eastAsia="es-CL"/>
        </w:rPr>
        <w:t>below</w:t>
      </w:r>
      <w:r w:rsidRPr="004F5C22">
        <w:rPr>
          <w:rFonts w:ascii="Arial" w:eastAsia="Times New Roman" w:hAnsi="Arial" w:cs="Arial"/>
          <w:sz w:val="22"/>
          <w:lang w:eastAsia="es-CL"/>
        </w:rPr>
        <w:t>). The number of cars, bedrooms and bathrooms were divided by the number of household members, and then categorized in quintiles.</w:t>
      </w:r>
    </w:p>
    <w:p w:rsidR="00DF47BB" w:rsidRPr="004F5C22" w:rsidRDefault="00DF47BB" w:rsidP="00DF47BB">
      <w:pPr>
        <w:rPr>
          <w:rFonts w:ascii="Arial" w:eastAsia="Times New Roman" w:hAnsi="Arial" w:cs="Arial"/>
          <w:sz w:val="22"/>
          <w:lang w:eastAsia="es-CL"/>
        </w:rPr>
      </w:pPr>
    </w:p>
    <w:p w:rsidR="00DF47BB" w:rsidRPr="004F5C22" w:rsidRDefault="00DF47BB" w:rsidP="00DF47BB">
      <w:pPr>
        <w:rPr>
          <w:rFonts w:ascii="Arial" w:eastAsia="Times New Roman" w:hAnsi="Arial" w:cs="Arial"/>
          <w:sz w:val="22"/>
          <w:lang w:eastAsia="es-CL"/>
        </w:rPr>
      </w:pPr>
      <w:r w:rsidRPr="004F5C22">
        <w:rPr>
          <w:rFonts w:ascii="Arial" w:eastAsia="Times New Roman" w:hAnsi="Arial" w:cs="Arial"/>
          <w:sz w:val="22"/>
          <w:lang w:eastAsia="es-CL"/>
        </w:rPr>
        <w:t xml:space="preserve">After running the MCA analysis, a score was estimated using the first principal component or dimension as weight for each household variable. The score was categorized in </w:t>
      </w:r>
      <w:proofErr w:type="spellStart"/>
      <w:r w:rsidRPr="004F5C22">
        <w:rPr>
          <w:rFonts w:ascii="Arial" w:eastAsia="Times New Roman" w:hAnsi="Arial" w:cs="Arial"/>
          <w:sz w:val="22"/>
          <w:lang w:eastAsia="es-CL"/>
        </w:rPr>
        <w:t>tertiles</w:t>
      </w:r>
      <w:proofErr w:type="spellEnd"/>
      <w:r w:rsidRPr="004F5C22">
        <w:rPr>
          <w:rFonts w:ascii="Arial" w:eastAsia="Times New Roman" w:hAnsi="Arial" w:cs="Arial"/>
          <w:sz w:val="22"/>
          <w:lang w:eastAsia="es-CL"/>
        </w:rPr>
        <w:t>. The index showed a high level of correspondence with the original SES clas</w:t>
      </w:r>
      <w:r>
        <w:rPr>
          <w:rFonts w:ascii="Arial" w:eastAsia="Times New Roman" w:hAnsi="Arial" w:cs="Arial"/>
          <w:sz w:val="22"/>
          <w:lang w:eastAsia="es-CL"/>
        </w:rPr>
        <w:t>sification provided by Kantar (</w:t>
      </w:r>
      <w:r>
        <w:rPr>
          <w:rFonts w:ascii="Arial" w:eastAsia="Times New Roman" w:hAnsi="Arial" w:cs="Arial"/>
          <w:sz w:val="22"/>
          <w:lang w:eastAsia="es-CL"/>
        </w:rPr>
        <w:t>S1 Fig</w:t>
      </w:r>
      <w:r w:rsidRPr="004F5C22">
        <w:rPr>
          <w:rFonts w:ascii="Arial" w:eastAsia="Times New Roman" w:hAnsi="Arial" w:cs="Arial"/>
          <w:sz w:val="22"/>
          <w:lang w:eastAsia="es-CL"/>
        </w:rPr>
        <w:t>).</w:t>
      </w:r>
    </w:p>
    <w:p w:rsidR="00DF47BB" w:rsidRPr="004F5C22" w:rsidRDefault="00DF47BB" w:rsidP="00DF47BB">
      <w:pPr>
        <w:rPr>
          <w:rFonts w:ascii="Arial" w:eastAsia="Times New Roman" w:hAnsi="Arial" w:cs="Arial"/>
          <w:sz w:val="22"/>
          <w:lang w:eastAsia="es-CL"/>
        </w:rPr>
      </w:pPr>
    </w:p>
    <w:p w:rsidR="00DF47BB" w:rsidRPr="004F5C22" w:rsidRDefault="00DF47BB" w:rsidP="00DF47BB">
      <w:pPr>
        <w:rPr>
          <w:rFonts w:ascii="Arial" w:eastAsia="Times New Roman" w:hAnsi="Arial" w:cs="Arial"/>
          <w:sz w:val="22"/>
          <w:lang w:eastAsia="es-CL"/>
        </w:rPr>
      </w:pPr>
      <w:r w:rsidRPr="004F5C22">
        <w:rPr>
          <w:rFonts w:ascii="Arial" w:eastAsia="Times New Roman" w:hAnsi="Arial" w:cs="Arial"/>
          <w:sz w:val="22"/>
          <w:lang w:eastAsia="es-CL"/>
        </w:rPr>
        <w:t xml:space="preserve">For a detailed description of MCA and other multivariate methods to build composite socioeconomic measures, see Vyas and </w:t>
      </w:r>
      <w:proofErr w:type="spellStart"/>
      <w:r w:rsidRPr="004F5C22">
        <w:rPr>
          <w:rFonts w:ascii="Arial" w:eastAsia="Times New Roman" w:hAnsi="Arial" w:cs="Arial"/>
          <w:sz w:val="22"/>
          <w:lang w:eastAsia="es-CL"/>
        </w:rPr>
        <w:t>Kumaranayake</w:t>
      </w:r>
      <w:proofErr w:type="spellEnd"/>
      <w:r w:rsidRPr="004F5C22">
        <w:rPr>
          <w:rFonts w:ascii="Arial" w:eastAsia="Times New Roman" w:hAnsi="Arial" w:cs="Arial"/>
          <w:sz w:val="22"/>
          <w:lang w:eastAsia="es-CL"/>
        </w:rPr>
        <w:fldChar w:fldCharType="begin" w:fldLock="1"/>
      </w:r>
      <w:r w:rsidRPr="004F5C22">
        <w:rPr>
          <w:rFonts w:ascii="Arial" w:eastAsia="Times New Roman" w:hAnsi="Arial" w:cs="Arial"/>
          <w:sz w:val="22"/>
          <w:lang w:eastAsia="es-CL"/>
        </w:rPr>
        <w:instrText>ADDIN CSL_CITATION { "citationItems" : [ { "id" : "ITEM-1", "itemData" : { "DOI" : "10.1093/heapol/czl029", "ISSN" : "0268-1080", "PMID" : "17030551", "abstract" : "Theoretically, measures of household wealth can be reflected by income, consumption or expenditure information. However, the collection of accurate income and consumption data requires extensive resources for household surveys. Given the increasingly routine application of principal components analysis (PCA) using asset data in creating socio-economic status (SES) indices, we review how PCA-based indices are constructed, how they can be used, and their validity and limitations. Specifically, issues related to choice of variables, data preparation and problems such as data clustering are addressed. Interpretation of results and methods of classifying households into SES groups are also discussed. PCA has been validated as a method to describe SES differentiation within a population. Issues related to the underlying data will affect PCA and this should be considered when generating and interpreting results.", "author" : [ { "dropping-particle" : "", "family" : "Vyas", "given" : "S.", "non-dropping-particle" : "", "parse-names" : false, "suffix" : "" }, { "dropping-particle" : "", "family" : "Kumaranayake", "given" : "L.", "non-dropping-particle" : "", "parse-names" : false, "suffix" : "" } ], "container-title" : "Health Policy and Planning", "id" : "ITEM-1", "issue" : "6", "issued" : { "date-parts" : [ [ "2006", "8", "30" ] ] }, "page" : "459-468", "title" : "Constructing socio-economic status indices: how to use principal components analysis", "type" : "article-journal", "volume" : "21" }, "uris" : [ "http://www.mendeley.com/documents/?uuid=8dbd2e40-dcb9-3722-a53d-dc28273c2396" ] } ], "mendeley" : { "formattedCitation" : "[1]", "plainTextFormattedCitation" : "[1]", "previouslyFormattedCitation" : "[1]" }, "properties" : { "noteIndex" : 0 }, "schema" : "https://github.com/citation-style-language/schema/raw/master/csl-citation.json" }</w:instrText>
      </w:r>
      <w:r w:rsidRPr="004F5C22">
        <w:rPr>
          <w:rFonts w:ascii="Arial" w:eastAsia="Times New Roman" w:hAnsi="Arial" w:cs="Arial"/>
          <w:sz w:val="22"/>
          <w:lang w:eastAsia="es-CL"/>
        </w:rPr>
        <w:fldChar w:fldCharType="separate"/>
      </w:r>
      <w:r w:rsidRPr="004F5C22">
        <w:rPr>
          <w:rFonts w:ascii="Arial" w:eastAsia="Times New Roman" w:hAnsi="Arial" w:cs="Arial"/>
          <w:noProof/>
          <w:sz w:val="22"/>
          <w:lang w:eastAsia="es-CL"/>
        </w:rPr>
        <w:t>[1]</w:t>
      </w:r>
      <w:r w:rsidRPr="004F5C22">
        <w:rPr>
          <w:rFonts w:ascii="Arial" w:eastAsia="Times New Roman" w:hAnsi="Arial" w:cs="Arial"/>
          <w:sz w:val="22"/>
          <w:lang w:eastAsia="es-CL"/>
        </w:rPr>
        <w:fldChar w:fldCharType="end"/>
      </w:r>
      <w:r w:rsidRPr="004F5C22">
        <w:rPr>
          <w:rFonts w:ascii="Arial" w:eastAsia="Times New Roman" w:hAnsi="Arial" w:cs="Arial"/>
          <w:sz w:val="22"/>
          <w:lang w:eastAsia="es-CL"/>
        </w:rPr>
        <w:t xml:space="preserve"> and </w:t>
      </w:r>
      <w:proofErr w:type="spellStart"/>
      <w:r w:rsidRPr="004F5C22">
        <w:rPr>
          <w:rFonts w:ascii="Arial" w:eastAsia="Times New Roman" w:hAnsi="Arial" w:cs="Arial"/>
          <w:sz w:val="22"/>
          <w:lang w:eastAsia="es-CL"/>
        </w:rPr>
        <w:t>Nardo</w:t>
      </w:r>
      <w:proofErr w:type="spellEnd"/>
      <w:r w:rsidRPr="004F5C22">
        <w:rPr>
          <w:rFonts w:ascii="Arial" w:eastAsia="Times New Roman" w:hAnsi="Arial" w:cs="Arial"/>
          <w:sz w:val="22"/>
          <w:lang w:eastAsia="es-CL"/>
        </w:rPr>
        <w:t xml:space="preserve"> et al. </w:t>
      </w:r>
      <w:r w:rsidRPr="004F5C22">
        <w:rPr>
          <w:rFonts w:ascii="Arial" w:eastAsia="Times New Roman" w:hAnsi="Arial" w:cs="Arial"/>
          <w:sz w:val="22"/>
          <w:lang w:eastAsia="es-CL"/>
        </w:rPr>
        <w:fldChar w:fldCharType="begin" w:fldLock="1"/>
      </w:r>
      <w:r w:rsidRPr="004F5C22">
        <w:rPr>
          <w:rFonts w:ascii="Arial" w:eastAsia="Times New Roman" w:hAnsi="Arial" w:cs="Arial"/>
          <w:sz w:val="22"/>
          <w:lang w:eastAsia="es-CL"/>
        </w:rPr>
        <w:instrText>ADDIN CSL_CITATION { "citationItems" : [ { "id" : "ITEM-1", "itemData" : { "author" : [ { "dropping-particle" : "", "family" : "Nardo", "given" : "Michela", "non-dropping-particle" : "", "parse-names" : false, "suffix" : "" }, { "dropping-particle" : "", "family" : "Saisana", "given" : "Michaela", "non-dropping-particle" : "", "parse-names" : false, "suffix" : "" }, { "dropping-particle" : "", "family" : "Saltelli", "given" : "Andrea", "non-dropping-particle" : "", "parse-names" : false, "suffix" : "" }, { "dropping-particle" : "", "family" : "Tarantola", "given" : "Stefano", "non-dropping-particle" : "", "parse-names" : false, "suffix" : "" }, { "dropping-particle" : "", "family" : "Hoffmann", "given" : "Anders", "non-dropping-particle" : "", "parse-names" : false, "suffix" : "" }, { "dropping-particle" : "", "family" : "Giovannini", "given" : "Enrico", "non-dropping-particle" : "", "parse-names" : false, "suffix" : "" } ], "id" : "ITEM-1", "issued" : { "date-parts" : [ [ "2008" ] ] }, "publisher" : "OECD publishing", "title" : "Handbook on Constructing Composite Indicators: Methodology and User Guide", "type" : "book" }, "uris" : [ "http://www.mendeley.com/documents/?uuid=a3ab6f0e-c913-4892-8c56-df69c4b89343" ] } ], "mendeley" : { "formattedCitation" : "[2]", "plainTextFormattedCitation" : "[2]", "previouslyFormattedCitation" : "[2]" }, "properties" : { "noteIndex" : 0 }, "schema" : "https://github.com/citation-style-language/schema/raw/master/csl-citation.json" }</w:instrText>
      </w:r>
      <w:r w:rsidRPr="004F5C22">
        <w:rPr>
          <w:rFonts w:ascii="Arial" w:eastAsia="Times New Roman" w:hAnsi="Arial" w:cs="Arial"/>
          <w:sz w:val="22"/>
          <w:lang w:eastAsia="es-CL"/>
        </w:rPr>
        <w:fldChar w:fldCharType="separate"/>
      </w:r>
      <w:r w:rsidRPr="004F5C22">
        <w:rPr>
          <w:rFonts w:ascii="Arial" w:eastAsia="Times New Roman" w:hAnsi="Arial" w:cs="Arial"/>
          <w:noProof/>
          <w:sz w:val="22"/>
          <w:lang w:eastAsia="es-CL"/>
        </w:rPr>
        <w:t>[2]</w:t>
      </w:r>
      <w:r w:rsidRPr="004F5C22">
        <w:rPr>
          <w:rFonts w:ascii="Arial" w:eastAsia="Times New Roman" w:hAnsi="Arial" w:cs="Arial"/>
          <w:sz w:val="22"/>
          <w:lang w:eastAsia="es-CL"/>
        </w:rPr>
        <w:fldChar w:fldCharType="end"/>
      </w:r>
      <w:r w:rsidRPr="004F5C22">
        <w:rPr>
          <w:rFonts w:ascii="Arial" w:eastAsia="Times New Roman" w:hAnsi="Arial" w:cs="Arial"/>
          <w:sz w:val="22"/>
          <w:lang w:eastAsia="es-CL"/>
        </w:rPr>
        <w:t>.</w:t>
      </w:r>
    </w:p>
    <w:p w:rsidR="00DF47BB" w:rsidRPr="004F5C22" w:rsidRDefault="00DF47BB" w:rsidP="00DF47BB">
      <w:pPr>
        <w:rPr>
          <w:rFonts w:ascii="Arial" w:eastAsia="Times New Roman" w:hAnsi="Arial" w:cs="Arial"/>
          <w:sz w:val="22"/>
          <w:lang w:eastAsia="es-CL"/>
        </w:rPr>
      </w:pPr>
    </w:p>
    <w:p w:rsidR="00DF47BB" w:rsidRPr="004F5C22" w:rsidRDefault="00DF47BB" w:rsidP="00DF47BB">
      <w:pPr>
        <w:rPr>
          <w:rFonts w:ascii="Arial" w:eastAsia="Times New Roman" w:hAnsi="Arial" w:cs="Arial"/>
          <w:sz w:val="22"/>
          <w:u w:val="single"/>
          <w:lang w:eastAsia="es-CL"/>
        </w:rPr>
      </w:pPr>
      <w:r w:rsidRPr="004F5C22">
        <w:rPr>
          <w:rFonts w:ascii="Arial" w:eastAsia="Times New Roman" w:hAnsi="Arial" w:cs="Arial"/>
          <w:sz w:val="22"/>
          <w:u w:val="single"/>
          <w:lang w:eastAsia="es-CL"/>
        </w:rPr>
        <w:t>Occupational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7579"/>
      </w:tblGrid>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1</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Occasional unskilled work</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2</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 xml:space="preserve">Unskilled work </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3</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Lower managerial, administrative and professional occupations, intermediate occupations, small employers and own account workers, lower supervisory, craft and related occupations, semi routine and routine occupations.</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4</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High managers and administrative occupations in medium or small size firms, or higher professional occupations (doctor, barrister, architect, economist, engineer, agronomist)</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5</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High managers and administrative occupations in large firms</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6</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Homemaker, inactive</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7</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Homemaker, unemployed</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8</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Unemployed</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9</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Pensioner</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10</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Disabled, inactive</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lastRenderedPageBreak/>
              <w:t>11</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Inactive, income based on investments only</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12</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Student, inactive</w:t>
            </w:r>
          </w:p>
        </w:tc>
      </w:tr>
    </w:tbl>
    <w:p w:rsidR="00DF47BB" w:rsidRPr="004F5C22" w:rsidRDefault="00DF47BB" w:rsidP="00DF47BB">
      <w:pPr>
        <w:rPr>
          <w:rFonts w:ascii="Arial" w:eastAsia="Times New Roman" w:hAnsi="Arial" w:cs="Arial"/>
          <w:sz w:val="22"/>
          <w:u w:val="single"/>
          <w:lang w:eastAsia="es-CL"/>
        </w:rPr>
      </w:pPr>
      <w:r w:rsidRPr="004F5C22">
        <w:rPr>
          <w:rFonts w:ascii="Arial" w:eastAsia="Times New Roman" w:hAnsi="Arial" w:cs="Arial"/>
          <w:sz w:val="22"/>
          <w:u w:val="single"/>
          <w:lang w:eastAsia="es-CL"/>
        </w:rPr>
        <w:t>Education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7579"/>
      </w:tblGrid>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bookmarkStart w:id="0" w:name="OLE_LINK7"/>
            <w:bookmarkStart w:id="1" w:name="OLE_LINK8"/>
            <w:r w:rsidRPr="004F5C22">
              <w:rPr>
                <w:rFonts w:ascii="Arial" w:eastAsia="Times New Roman" w:hAnsi="Arial" w:cs="Arial"/>
                <w:lang w:val="en-US" w:eastAsia="es-CL"/>
              </w:rPr>
              <w:t>1</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No formal education</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2</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Adult literacy without formal education</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3</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Incomplete primary education</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4</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Complete primary education</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5</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Incomplete secondary education, scientific-humanistic studies</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6</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Complete secondary education, scientific humanistic studies</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7</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Incomplete secondary education, technical-professional studies</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8</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Complete secondary education, technical-professional studies</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9</w:t>
            </w:r>
          </w:p>
        </w:tc>
        <w:tc>
          <w:tcPr>
            <w:tcW w:w="8019" w:type="dxa"/>
          </w:tcPr>
          <w:p w:rsidR="00DF47BB" w:rsidRPr="004F5C22" w:rsidRDefault="00DF47BB" w:rsidP="00853DE1">
            <w:pPr>
              <w:rPr>
                <w:rFonts w:ascii="Arial" w:eastAsia="Times New Roman" w:hAnsi="Arial" w:cs="Arial"/>
                <w:lang w:val="en-US" w:eastAsia="es-CL"/>
              </w:rPr>
            </w:pPr>
            <w:bookmarkStart w:id="2" w:name="OLE_LINK3"/>
            <w:bookmarkStart w:id="3" w:name="OLE_LINK4"/>
            <w:r w:rsidRPr="004F5C22">
              <w:rPr>
                <w:rFonts w:ascii="Arial" w:eastAsia="Times New Roman" w:hAnsi="Arial" w:cs="Arial"/>
                <w:lang w:val="en-US" w:eastAsia="es-CL"/>
              </w:rPr>
              <w:t>Incomplete higher education</w:t>
            </w:r>
            <w:bookmarkEnd w:id="2"/>
            <w:bookmarkEnd w:id="3"/>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10</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Complete higher education</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11</w:t>
            </w:r>
          </w:p>
        </w:tc>
        <w:tc>
          <w:tcPr>
            <w:tcW w:w="8019" w:type="dxa"/>
          </w:tcPr>
          <w:p w:rsidR="00DF47BB" w:rsidRPr="004F5C22" w:rsidRDefault="00DF47BB" w:rsidP="00853DE1">
            <w:pPr>
              <w:rPr>
                <w:rFonts w:ascii="Arial" w:eastAsia="Times New Roman" w:hAnsi="Arial" w:cs="Arial"/>
                <w:lang w:val="en-US" w:eastAsia="es-CL"/>
              </w:rPr>
            </w:pPr>
            <w:bookmarkStart w:id="4" w:name="OLE_LINK5"/>
            <w:bookmarkStart w:id="5" w:name="OLE_LINK6"/>
            <w:r w:rsidRPr="004F5C22">
              <w:rPr>
                <w:rFonts w:ascii="Arial" w:eastAsia="Times New Roman" w:hAnsi="Arial" w:cs="Arial"/>
                <w:lang w:val="en-US" w:eastAsia="es-CL"/>
              </w:rPr>
              <w:t>Incomplete postgraduate education</w:t>
            </w:r>
            <w:bookmarkEnd w:id="4"/>
            <w:bookmarkEnd w:id="5"/>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12</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Complete postgraduate education</w:t>
            </w:r>
          </w:p>
        </w:tc>
      </w:tr>
      <w:bookmarkEnd w:id="0"/>
      <w:bookmarkEnd w:id="1"/>
    </w:tbl>
    <w:p w:rsidR="00DF47BB" w:rsidRDefault="00DF47BB" w:rsidP="00DF47BB">
      <w:pPr>
        <w:rPr>
          <w:rFonts w:ascii="Arial" w:eastAsia="Times New Roman" w:hAnsi="Arial" w:cs="Arial"/>
          <w:sz w:val="22"/>
          <w:lang w:eastAsia="es-CL"/>
        </w:rPr>
      </w:pPr>
    </w:p>
    <w:p w:rsidR="00DF47BB" w:rsidRPr="004F5C22" w:rsidRDefault="00DF47BB" w:rsidP="00DF47BB">
      <w:pPr>
        <w:rPr>
          <w:rFonts w:ascii="Arial" w:eastAsia="Times New Roman" w:hAnsi="Arial" w:cs="Arial"/>
          <w:sz w:val="22"/>
          <w:u w:val="single"/>
          <w:lang w:eastAsia="es-CL"/>
        </w:rPr>
      </w:pPr>
      <w:r w:rsidRPr="004F5C22">
        <w:rPr>
          <w:rFonts w:ascii="Arial" w:eastAsia="Times New Roman" w:hAnsi="Arial" w:cs="Arial"/>
          <w:sz w:val="22"/>
          <w:u w:val="single"/>
          <w:lang w:eastAsia="es-CL"/>
        </w:rPr>
        <w:t xml:space="preserve">Assets and </w:t>
      </w:r>
      <w:proofErr w:type="spellStart"/>
      <w:r w:rsidRPr="004F5C22">
        <w:rPr>
          <w:rFonts w:ascii="Arial" w:eastAsia="Times New Roman" w:hAnsi="Arial" w:cs="Arial"/>
          <w:sz w:val="22"/>
          <w:u w:val="single"/>
          <w:lang w:eastAsia="es-CL"/>
        </w:rPr>
        <w:t>house</w:t>
      </w:r>
      <w:r>
        <w:rPr>
          <w:rFonts w:ascii="Arial" w:eastAsia="Times New Roman" w:hAnsi="Arial" w:cs="Arial"/>
          <w:sz w:val="22"/>
          <w:u w:val="single"/>
          <w:lang w:eastAsia="es-CL"/>
        </w:rPr>
        <w:t>hould</w:t>
      </w:r>
      <w:proofErr w:type="spellEnd"/>
      <w:r w:rsidRPr="004F5C22">
        <w:rPr>
          <w:rFonts w:ascii="Arial" w:eastAsia="Times New Roman" w:hAnsi="Arial" w:cs="Arial"/>
          <w:sz w:val="22"/>
          <w:u w:val="single"/>
          <w:lang w:eastAsia="es-CL"/>
        </w:rPr>
        <w:t xml:space="preserve">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7585"/>
      </w:tblGrid>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1</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Number of cars</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2</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Number of bathrooms</w:t>
            </w:r>
          </w:p>
        </w:tc>
      </w:tr>
      <w:tr w:rsidR="00DF47BB" w:rsidRPr="004F5C22" w:rsidTr="00853DE1">
        <w:tc>
          <w:tcPr>
            <w:tcW w:w="959" w:type="dxa"/>
          </w:tcPr>
          <w:p w:rsidR="00DF47BB" w:rsidRPr="004F5C22" w:rsidRDefault="00DF47BB" w:rsidP="00853DE1">
            <w:pPr>
              <w:jc w:val="center"/>
              <w:rPr>
                <w:rFonts w:ascii="Arial" w:eastAsia="Times New Roman" w:hAnsi="Arial" w:cs="Arial"/>
                <w:lang w:val="en-US" w:eastAsia="es-CL"/>
              </w:rPr>
            </w:pPr>
            <w:r w:rsidRPr="004F5C22">
              <w:rPr>
                <w:rFonts w:ascii="Arial" w:eastAsia="Times New Roman" w:hAnsi="Arial" w:cs="Arial"/>
                <w:lang w:val="en-US" w:eastAsia="es-CL"/>
              </w:rPr>
              <w:t>3</w:t>
            </w:r>
          </w:p>
        </w:tc>
        <w:tc>
          <w:tcPr>
            <w:tcW w:w="8019" w:type="dxa"/>
          </w:tcPr>
          <w:p w:rsidR="00DF47BB" w:rsidRPr="004F5C22" w:rsidRDefault="00DF47BB" w:rsidP="00853DE1">
            <w:pPr>
              <w:rPr>
                <w:rFonts w:ascii="Arial" w:eastAsia="Times New Roman" w:hAnsi="Arial" w:cs="Arial"/>
                <w:lang w:val="en-US" w:eastAsia="es-CL"/>
              </w:rPr>
            </w:pPr>
            <w:r w:rsidRPr="004F5C22">
              <w:rPr>
                <w:rFonts w:ascii="Arial" w:eastAsia="Times New Roman" w:hAnsi="Arial" w:cs="Arial"/>
                <w:lang w:val="en-US" w:eastAsia="es-CL"/>
              </w:rPr>
              <w:t>Number of bedrooms</w:t>
            </w:r>
          </w:p>
        </w:tc>
      </w:tr>
    </w:tbl>
    <w:p w:rsidR="00DF47BB" w:rsidRDefault="00DF47BB" w:rsidP="00DF47BB">
      <w:pPr>
        <w:rPr>
          <w:rFonts w:ascii="Arial" w:eastAsia="Times New Roman" w:hAnsi="Arial" w:cs="Arial"/>
          <w:b/>
          <w:sz w:val="22"/>
          <w:lang w:eastAsia="es-CL"/>
        </w:rPr>
      </w:pPr>
    </w:p>
    <w:p w:rsidR="00DF47BB" w:rsidRPr="00DF47BB" w:rsidRDefault="00DF47BB" w:rsidP="00DF47BB">
      <w:pPr>
        <w:rPr>
          <w:rFonts w:ascii="Arial" w:eastAsia="Times New Roman" w:hAnsi="Arial" w:cs="Arial"/>
          <w:b/>
          <w:sz w:val="22"/>
          <w:lang w:eastAsia="es-CL"/>
        </w:rPr>
      </w:pPr>
      <w:r>
        <w:rPr>
          <w:rFonts w:ascii="Arial" w:eastAsia="Times New Roman" w:hAnsi="Arial" w:cs="Arial"/>
          <w:b/>
          <w:sz w:val="22"/>
          <w:lang w:eastAsia="es-CL"/>
        </w:rPr>
        <w:t>Reference</w:t>
      </w:r>
    </w:p>
    <w:p w:rsidR="00DF47BB" w:rsidRPr="004F5C22" w:rsidRDefault="00DF47BB" w:rsidP="00DF47BB">
      <w:pPr>
        <w:autoSpaceDE w:val="0"/>
        <w:autoSpaceDN w:val="0"/>
        <w:adjustRightInd w:val="0"/>
        <w:rPr>
          <w:rFonts w:ascii="Arial" w:hAnsi="Arial" w:cs="Arial"/>
          <w:noProof/>
          <w:sz w:val="22"/>
        </w:rPr>
      </w:pPr>
      <w:r w:rsidRPr="004F5C22">
        <w:rPr>
          <w:rFonts w:ascii="Arial" w:eastAsia="Times New Roman" w:hAnsi="Arial" w:cs="Arial"/>
          <w:sz w:val="22"/>
          <w:lang w:eastAsia="es-CL"/>
        </w:rPr>
        <w:fldChar w:fldCharType="begin" w:fldLock="1"/>
      </w:r>
      <w:r w:rsidRPr="004F5C22">
        <w:rPr>
          <w:rFonts w:ascii="Arial" w:eastAsia="Times New Roman" w:hAnsi="Arial" w:cs="Arial"/>
          <w:sz w:val="22"/>
          <w:lang w:eastAsia="es-CL"/>
        </w:rPr>
        <w:instrText xml:space="preserve">ADDIN Mendeley Bibliography CSL_BIBLIOGRAPHY </w:instrText>
      </w:r>
      <w:r w:rsidRPr="004F5C22">
        <w:rPr>
          <w:rFonts w:ascii="Arial" w:eastAsia="Times New Roman" w:hAnsi="Arial" w:cs="Arial"/>
          <w:sz w:val="22"/>
          <w:lang w:eastAsia="es-CL"/>
        </w:rPr>
        <w:fldChar w:fldCharType="separate"/>
      </w:r>
      <w:r w:rsidRPr="004F5C22">
        <w:rPr>
          <w:rFonts w:ascii="Arial" w:hAnsi="Arial" w:cs="Arial"/>
          <w:noProof/>
          <w:sz w:val="22"/>
        </w:rPr>
        <w:t xml:space="preserve">1. Vyas S, Kumaranayake L. Constructing socio-economic status indices: how to use principal components analysis. Health Policy Plan. 2006;21:459–68. </w:t>
      </w:r>
    </w:p>
    <w:p w:rsidR="00DF47BB" w:rsidRPr="004F5C22" w:rsidRDefault="00DF47BB" w:rsidP="00DF47BB">
      <w:pPr>
        <w:autoSpaceDE w:val="0"/>
        <w:autoSpaceDN w:val="0"/>
        <w:adjustRightInd w:val="0"/>
        <w:rPr>
          <w:rFonts w:ascii="Arial" w:hAnsi="Arial" w:cs="Arial"/>
          <w:noProof/>
          <w:sz w:val="22"/>
        </w:rPr>
      </w:pPr>
      <w:r w:rsidRPr="004F5C22">
        <w:rPr>
          <w:rFonts w:ascii="Arial" w:hAnsi="Arial" w:cs="Arial"/>
          <w:noProof/>
          <w:sz w:val="22"/>
        </w:rPr>
        <w:t xml:space="preserve">2. Nardo M, Saisana M, Saltelli A, Tarantola S, Hoffmann A, Giovannini E. Handbook on Constructing Composite Indicators: Methodology and User Guide. OECD publishing; 2008. </w:t>
      </w:r>
    </w:p>
    <w:p w:rsidR="00594DB7" w:rsidRDefault="00DF47BB" w:rsidP="00DF47BB">
      <w:r w:rsidRPr="004F5C22">
        <w:rPr>
          <w:rFonts w:ascii="Arial" w:eastAsia="Times New Roman" w:hAnsi="Arial" w:cs="Arial"/>
          <w:sz w:val="22"/>
          <w:lang w:eastAsia="es-CL"/>
        </w:rPr>
        <w:fldChar w:fldCharType="end"/>
      </w:r>
      <w:bookmarkStart w:id="6" w:name="_GoBack"/>
      <w:bookmarkEnd w:id="6"/>
    </w:p>
    <w:sectPr w:rsidR="00594DB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FFB" w:rsidRDefault="007C3FFB" w:rsidP="000C6C65">
      <w:r>
        <w:separator/>
      </w:r>
    </w:p>
  </w:endnote>
  <w:endnote w:type="continuationSeparator" w:id="0">
    <w:p w:rsidR="007C3FFB" w:rsidRDefault="007C3FFB" w:rsidP="000C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3807"/>
      <w:docPartObj>
        <w:docPartGallery w:val="Page Numbers (Bottom of Page)"/>
        <w:docPartUnique/>
      </w:docPartObj>
    </w:sdtPr>
    <w:sdtEndPr>
      <w:rPr>
        <w:noProof/>
      </w:rPr>
    </w:sdtEndPr>
    <w:sdtContent>
      <w:p w:rsidR="000C6C65" w:rsidRDefault="000C6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C6C65" w:rsidRDefault="000C6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FFB" w:rsidRDefault="007C3FFB" w:rsidP="000C6C65">
      <w:r>
        <w:separator/>
      </w:r>
    </w:p>
  </w:footnote>
  <w:footnote w:type="continuationSeparator" w:id="0">
    <w:p w:rsidR="007C3FFB" w:rsidRDefault="007C3FFB" w:rsidP="000C6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BB"/>
    <w:rsid w:val="000C6C65"/>
    <w:rsid w:val="00594DB7"/>
    <w:rsid w:val="007C3FFB"/>
    <w:rsid w:val="00DF4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DFC5"/>
  <w15:chartTrackingRefBased/>
  <w15:docId w15:val="{51B4190C-2E27-44EA-BCA0-8D898EE6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7B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7BB"/>
    <w:rPr>
      <w:rFonts w:eastAsiaTheme="minorHAnsi"/>
      <w:kern w:val="0"/>
      <w:sz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C65"/>
    <w:pPr>
      <w:tabs>
        <w:tab w:val="center" w:pos="4252"/>
        <w:tab w:val="right" w:pos="8504"/>
      </w:tabs>
    </w:pPr>
  </w:style>
  <w:style w:type="character" w:customStyle="1" w:styleId="HeaderChar">
    <w:name w:val="Header Char"/>
    <w:basedOn w:val="DefaultParagraphFont"/>
    <w:link w:val="Header"/>
    <w:uiPriority w:val="99"/>
    <w:rsid w:val="000C6C65"/>
  </w:style>
  <w:style w:type="paragraph" w:styleId="Footer">
    <w:name w:val="footer"/>
    <w:basedOn w:val="Normal"/>
    <w:link w:val="FooterChar"/>
    <w:uiPriority w:val="99"/>
    <w:unhideWhenUsed/>
    <w:rsid w:val="000C6C65"/>
    <w:pPr>
      <w:tabs>
        <w:tab w:val="center" w:pos="4252"/>
        <w:tab w:val="right" w:pos="8504"/>
      </w:tabs>
    </w:pPr>
  </w:style>
  <w:style w:type="character" w:customStyle="1" w:styleId="FooterChar">
    <w:name w:val="Footer Char"/>
    <w:basedOn w:val="DefaultParagraphFont"/>
    <w:link w:val="Footer"/>
    <w:uiPriority w:val="99"/>
    <w:rsid w:val="000C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Ryota Nakamura</dc:creator>
  <cp:keywords/>
  <dc:description/>
  <cp:lastModifiedBy>Ryota Nakamura</cp:lastModifiedBy>
  <cp:revision>2</cp:revision>
  <dcterms:created xsi:type="dcterms:W3CDTF">2018-03-27T11:51:00Z</dcterms:created>
  <dcterms:modified xsi:type="dcterms:W3CDTF">2018-03-27T11:52:00Z</dcterms:modified>
</cp:coreProperties>
</file>