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03C2" w14:textId="2AC28C10" w:rsidR="004756F3" w:rsidRPr="00F9439A" w:rsidRDefault="00194DAD" w:rsidP="00EB7C89">
      <w:pPr>
        <w:rPr>
          <w:b/>
        </w:rPr>
      </w:pPr>
      <w:r w:rsidRPr="00F9439A">
        <w:rPr>
          <w:b/>
        </w:rPr>
        <w:t>Adherence to Analysis Protocol</w:t>
      </w:r>
    </w:p>
    <w:p w14:paraId="6706A936" w14:textId="77777777" w:rsidR="00820A11" w:rsidRPr="00EB7C89" w:rsidRDefault="00820A11" w:rsidP="00EB7C89">
      <w:pPr>
        <w:rPr>
          <w:sz w:val="22"/>
          <w:szCs w:val="22"/>
        </w:rPr>
      </w:pPr>
    </w:p>
    <w:p w14:paraId="4812F996" w14:textId="346001A4" w:rsidR="00820A11" w:rsidRPr="00EB7C89" w:rsidRDefault="00E7435F" w:rsidP="00EB7C89">
      <w:pPr>
        <w:rPr>
          <w:sz w:val="22"/>
          <w:szCs w:val="22"/>
        </w:rPr>
      </w:pPr>
      <w:r w:rsidRPr="00EB7C89">
        <w:rPr>
          <w:sz w:val="22"/>
          <w:szCs w:val="22"/>
        </w:rPr>
        <w:t>Suppor</w:t>
      </w:r>
      <w:bookmarkStart w:id="0" w:name="_GoBack"/>
      <w:bookmarkEnd w:id="0"/>
      <w:r w:rsidRPr="00EB7C89">
        <w:rPr>
          <w:sz w:val="22"/>
          <w:szCs w:val="22"/>
        </w:rPr>
        <w:t>ting information for</w:t>
      </w:r>
      <w:r w:rsidR="00820A11" w:rsidRPr="00EB7C89">
        <w:rPr>
          <w:sz w:val="22"/>
          <w:szCs w:val="22"/>
        </w:rPr>
        <w:t>:</w:t>
      </w:r>
    </w:p>
    <w:p w14:paraId="3439A3A9" w14:textId="77777777" w:rsidR="00820A11" w:rsidRPr="00EB7C89" w:rsidRDefault="00820A11" w:rsidP="00EB7C89">
      <w:pPr>
        <w:rPr>
          <w:b/>
          <w:sz w:val="22"/>
          <w:szCs w:val="22"/>
        </w:rPr>
      </w:pPr>
    </w:p>
    <w:p w14:paraId="01189C6A" w14:textId="77777777" w:rsidR="00EB7C89" w:rsidRPr="00EB7C89" w:rsidRDefault="00EB7C89" w:rsidP="00EB7C89">
      <w:pPr>
        <w:rPr>
          <w:rFonts w:cs="Times New Roman"/>
          <w:b/>
          <w:sz w:val="22"/>
          <w:szCs w:val="22"/>
          <w:u w:val="single"/>
          <w:shd w:val="clear" w:color="auto" w:fill="FFFFFF"/>
        </w:rPr>
      </w:pPr>
      <w:r w:rsidRPr="00EB7C89">
        <w:rPr>
          <w:rFonts w:cs="Times New Roman"/>
          <w:b/>
          <w:sz w:val="22"/>
          <w:szCs w:val="22"/>
          <w:shd w:val="clear" w:color="auto" w:fill="FFFFFF"/>
        </w:rPr>
        <w:t>Early losses from care and treatment guidelines for people living with HIV in Cape Town South Africa: a retrospective cohort study</w:t>
      </w:r>
    </w:p>
    <w:p w14:paraId="7D450E09" w14:textId="77777777" w:rsidR="00EB7C89" w:rsidRPr="00EB7C89" w:rsidRDefault="00EB7C89" w:rsidP="00EB7C89">
      <w:pPr>
        <w:rPr>
          <w:rFonts w:cs="Times New Roman"/>
          <w:sz w:val="22"/>
          <w:szCs w:val="22"/>
        </w:rPr>
      </w:pPr>
      <w:r w:rsidRPr="00EB7C89">
        <w:rPr>
          <w:rFonts w:eastAsia="Times New Roman" w:cs="Times New Roman"/>
          <w:sz w:val="22"/>
          <w:szCs w:val="22"/>
        </w:rPr>
        <w:t xml:space="preserve">Ingrid T </w:t>
      </w:r>
      <w:proofErr w:type="gramStart"/>
      <w:r w:rsidRPr="00EB7C89">
        <w:rPr>
          <w:rFonts w:eastAsia="Times New Roman" w:cs="Times New Roman"/>
          <w:sz w:val="22"/>
          <w:szCs w:val="22"/>
        </w:rPr>
        <w:t>Katz,*</w:t>
      </w:r>
      <w:proofErr w:type="gramEnd"/>
      <w:r w:rsidRPr="00EB7C89">
        <w:rPr>
          <w:rFonts w:eastAsia="Times New Roman" w:cs="Times New Roman"/>
          <w:sz w:val="22"/>
          <w:szCs w:val="22"/>
          <w:vertAlign w:val="superscript"/>
        </w:rPr>
        <w:t>1,2,3</w:t>
      </w:r>
      <w:r w:rsidRPr="00EB7C89">
        <w:rPr>
          <w:rFonts w:eastAsia="Times New Roman" w:cs="Times New Roman"/>
          <w:sz w:val="22"/>
          <w:szCs w:val="22"/>
        </w:rPr>
        <w:t xml:space="preserve">  </w:t>
      </w:r>
      <w:r w:rsidRPr="00EB7C89">
        <w:rPr>
          <w:rFonts w:cs="Times New Roman"/>
          <w:sz w:val="22"/>
          <w:szCs w:val="22"/>
        </w:rPr>
        <w:t>Richard Kaplan,</w:t>
      </w:r>
      <w:r w:rsidRPr="00EB7C89">
        <w:rPr>
          <w:rFonts w:cs="Times New Roman"/>
          <w:sz w:val="22"/>
          <w:szCs w:val="22"/>
          <w:vertAlign w:val="superscript"/>
        </w:rPr>
        <w:t>4</w:t>
      </w:r>
      <w:r w:rsidRPr="00EB7C89">
        <w:rPr>
          <w:rFonts w:cs="Times New Roman"/>
          <w:sz w:val="22"/>
          <w:szCs w:val="22"/>
        </w:rPr>
        <w:t xml:space="preserve">  Garrett Fitzmaurice,</w:t>
      </w:r>
      <w:r w:rsidRPr="00EB7C89">
        <w:rPr>
          <w:rFonts w:cs="Times New Roman"/>
          <w:sz w:val="22"/>
          <w:szCs w:val="22"/>
          <w:vertAlign w:val="superscript"/>
        </w:rPr>
        <w:t>5,6</w:t>
      </w:r>
      <w:r w:rsidRPr="00EB7C89">
        <w:rPr>
          <w:rFonts w:cs="Times New Roman"/>
          <w:sz w:val="22"/>
          <w:szCs w:val="22"/>
        </w:rPr>
        <w:t xml:space="preserve">  Dominick Leone,</w:t>
      </w:r>
      <w:r w:rsidRPr="00EB7C89">
        <w:rPr>
          <w:rFonts w:cs="Times New Roman"/>
          <w:sz w:val="22"/>
          <w:szCs w:val="22"/>
          <w:vertAlign w:val="superscript"/>
        </w:rPr>
        <w:t>7</w:t>
      </w:r>
      <w:r w:rsidRPr="00EB7C89">
        <w:rPr>
          <w:rFonts w:cs="Times New Roman"/>
          <w:sz w:val="22"/>
          <w:szCs w:val="22"/>
        </w:rPr>
        <w:t xml:space="preserve">  </w:t>
      </w:r>
      <w:r w:rsidRPr="00EB7C89">
        <w:rPr>
          <w:rFonts w:cs="Times New Roman"/>
          <w:sz w:val="22"/>
          <w:szCs w:val="22"/>
          <w:shd w:val="clear" w:color="auto" w:fill="FFFFFF"/>
        </w:rPr>
        <w:t>David R. Bangsberg,</w:t>
      </w:r>
      <w:r w:rsidRPr="00EB7C89">
        <w:rPr>
          <w:rFonts w:cs="Times New Roman"/>
          <w:sz w:val="22"/>
          <w:szCs w:val="22"/>
          <w:shd w:val="clear" w:color="auto" w:fill="FFFFFF"/>
          <w:vertAlign w:val="superscript"/>
        </w:rPr>
        <w:t>8</w:t>
      </w:r>
      <w:r w:rsidRPr="00EB7C89">
        <w:rPr>
          <w:rFonts w:cs="Times New Roman"/>
          <w:sz w:val="22"/>
          <w:szCs w:val="22"/>
          <w:shd w:val="clear" w:color="auto" w:fill="FFFFFF"/>
        </w:rPr>
        <w:t xml:space="preserve">  Linda-Gail Bekker</w:t>
      </w:r>
      <w:r w:rsidRPr="00EB7C89">
        <w:rPr>
          <w:rFonts w:cs="Times New Roman"/>
          <w:sz w:val="22"/>
          <w:szCs w:val="22"/>
        </w:rPr>
        <w:t>,</w:t>
      </w:r>
      <w:r w:rsidRPr="00EB7C89">
        <w:rPr>
          <w:rFonts w:cs="Times New Roman"/>
          <w:sz w:val="22"/>
          <w:szCs w:val="22"/>
          <w:shd w:val="clear" w:color="auto" w:fill="FFFFFF"/>
          <w:vertAlign w:val="superscript"/>
        </w:rPr>
        <w:t>4</w:t>
      </w:r>
      <w:r w:rsidRPr="00EB7C89">
        <w:rPr>
          <w:rFonts w:cs="Times New Roman"/>
          <w:sz w:val="22"/>
          <w:szCs w:val="22"/>
          <w:shd w:val="clear" w:color="auto" w:fill="FFFFFF"/>
        </w:rPr>
        <w:t xml:space="preserve">  Catherine Orrell</w:t>
      </w:r>
      <w:r w:rsidRPr="00EB7C89">
        <w:rPr>
          <w:rFonts w:cs="Times New Roman"/>
          <w:sz w:val="22"/>
          <w:szCs w:val="22"/>
        </w:rPr>
        <w:t>,</w:t>
      </w:r>
      <w:r w:rsidRPr="00EB7C89">
        <w:rPr>
          <w:rFonts w:cs="Times New Roman"/>
          <w:sz w:val="22"/>
          <w:szCs w:val="22"/>
          <w:vertAlign w:val="superscript"/>
        </w:rPr>
        <w:t>4</w:t>
      </w:r>
      <w:r w:rsidRPr="00EB7C89">
        <w:rPr>
          <w:rFonts w:cs="Times New Roman"/>
          <w:sz w:val="22"/>
          <w:szCs w:val="22"/>
        </w:rPr>
        <w:t xml:space="preserve"> </w:t>
      </w:r>
    </w:p>
    <w:p w14:paraId="39BB6CFD" w14:textId="77777777" w:rsidR="00820A11" w:rsidRPr="00EB7C89" w:rsidRDefault="00820A11" w:rsidP="00EB7C89">
      <w:pPr>
        <w:ind w:left="360"/>
        <w:rPr>
          <w:b/>
          <w:sz w:val="22"/>
          <w:szCs w:val="22"/>
        </w:rPr>
      </w:pPr>
    </w:p>
    <w:p w14:paraId="7E33DD6E" w14:textId="77777777" w:rsidR="00EB7C89" w:rsidRPr="00EB7C89" w:rsidRDefault="00EB7C89" w:rsidP="00EB7C89">
      <w:pPr>
        <w:rPr>
          <w:rFonts w:cs="Times New Roman"/>
          <w:sz w:val="22"/>
          <w:szCs w:val="22"/>
        </w:rPr>
      </w:pPr>
      <w:r w:rsidRPr="00EB7C89">
        <w:rPr>
          <w:rFonts w:cs="Times New Roman"/>
          <w:sz w:val="22"/>
          <w:szCs w:val="22"/>
          <w:vertAlign w:val="superscript"/>
        </w:rPr>
        <w:t>1</w:t>
      </w:r>
      <w:r w:rsidRPr="00EB7C89">
        <w:rPr>
          <w:rFonts w:cs="Times New Roman"/>
          <w:sz w:val="22"/>
          <w:szCs w:val="22"/>
        </w:rPr>
        <w:t xml:space="preserve"> Department of Medicine, Brigham and Women’s Hospital, Boston, Massachusetts, United States of America; </w:t>
      </w:r>
    </w:p>
    <w:p w14:paraId="26C2C47E" w14:textId="77777777" w:rsidR="00EB7C89" w:rsidRPr="00EB7C89" w:rsidRDefault="00EB7C89" w:rsidP="00EB7C89">
      <w:pPr>
        <w:rPr>
          <w:rFonts w:cs="Times New Roman"/>
          <w:sz w:val="22"/>
          <w:szCs w:val="22"/>
        </w:rPr>
      </w:pPr>
      <w:r w:rsidRPr="00EB7C89">
        <w:rPr>
          <w:rFonts w:cs="Times New Roman"/>
          <w:sz w:val="22"/>
          <w:szCs w:val="22"/>
          <w:vertAlign w:val="superscript"/>
        </w:rPr>
        <w:t>2</w:t>
      </w:r>
      <w:r w:rsidRPr="00EB7C89">
        <w:rPr>
          <w:rFonts w:eastAsia="Times New Roman" w:cs="Times New Roman"/>
          <w:sz w:val="22"/>
          <w:szCs w:val="22"/>
        </w:rPr>
        <w:t xml:space="preserve"> Massachusetts General Hospital, Center for Global Health, Boston, Massachusetts, USA;</w:t>
      </w:r>
      <w:r w:rsidRPr="00EB7C89">
        <w:rPr>
          <w:rFonts w:cs="Times New Roman"/>
          <w:sz w:val="22"/>
          <w:szCs w:val="22"/>
        </w:rPr>
        <w:br/>
      </w:r>
      <w:r w:rsidRPr="00EB7C89">
        <w:rPr>
          <w:rFonts w:cs="Times New Roman"/>
          <w:sz w:val="22"/>
          <w:szCs w:val="22"/>
          <w:vertAlign w:val="superscript"/>
        </w:rPr>
        <w:t>3</w:t>
      </w:r>
      <w:r w:rsidRPr="00EB7C89">
        <w:rPr>
          <w:rFonts w:cs="Times New Roman"/>
          <w:sz w:val="22"/>
          <w:szCs w:val="22"/>
        </w:rPr>
        <w:t xml:space="preserve"> Harvard Medical School, Boston, Massachusetts, United States of America;</w:t>
      </w:r>
    </w:p>
    <w:p w14:paraId="18F8CF3F" w14:textId="77777777" w:rsidR="00EB7C89" w:rsidRPr="00EB7C89" w:rsidRDefault="00EB7C89" w:rsidP="00EB7C89">
      <w:pPr>
        <w:rPr>
          <w:rFonts w:cs="Times New Roman"/>
          <w:sz w:val="22"/>
          <w:szCs w:val="22"/>
        </w:rPr>
      </w:pPr>
      <w:r w:rsidRPr="00EB7C89">
        <w:rPr>
          <w:rFonts w:cs="Times New Roman"/>
          <w:sz w:val="22"/>
          <w:szCs w:val="22"/>
          <w:vertAlign w:val="superscript"/>
        </w:rPr>
        <w:t>4</w:t>
      </w:r>
      <w:r w:rsidRPr="00EB7C89">
        <w:rPr>
          <w:rFonts w:cs="Times New Roman"/>
          <w:sz w:val="22"/>
          <w:szCs w:val="22"/>
        </w:rPr>
        <w:t xml:space="preserve"> Desmond Tutu HIV Centre, University of Cape Town Medical School, Cape Town, South Africa;</w:t>
      </w:r>
    </w:p>
    <w:p w14:paraId="1C336394" w14:textId="77777777" w:rsidR="00EB7C89" w:rsidRPr="00EB7C89" w:rsidRDefault="00EB7C89" w:rsidP="00EB7C89">
      <w:pPr>
        <w:rPr>
          <w:rFonts w:cs="Times New Roman"/>
          <w:sz w:val="22"/>
          <w:szCs w:val="22"/>
        </w:rPr>
      </w:pPr>
      <w:r w:rsidRPr="00EB7C89">
        <w:rPr>
          <w:rFonts w:cs="Times New Roman"/>
          <w:sz w:val="22"/>
          <w:szCs w:val="22"/>
          <w:vertAlign w:val="superscript"/>
        </w:rPr>
        <w:t xml:space="preserve">5 </w:t>
      </w:r>
      <w:r w:rsidRPr="00EB7C89">
        <w:rPr>
          <w:rFonts w:cs="Times New Roman"/>
          <w:sz w:val="22"/>
          <w:szCs w:val="22"/>
        </w:rPr>
        <w:t>Department of Biostatistics, Harvard School of Public Health, Boston, Massachusetts, USA;</w:t>
      </w:r>
    </w:p>
    <w:p w14:paraId="7A7FE760" w14:textId="77777777" w:rsidR="00EB7C89" w:rsidRPr="00EB7C89" w:rsidRDefault="00EB7C89" w:rsidP="00EB7C89">
      <w:pPr>
        <w:autoSpaceDE w:val="0"/>
        <w:autoSpaceDN w:val="0"/>
        <w:adjustRightInd w:val="0"/>
        <w:rPr>
          <w:rFonts w:cs="Times New Roman"/>
          <w:sz w:val="22"/>
          <w:szCs w:val="22"/>
        </w:rPr>
      </w:pPr>
      <w:r w:rsidRPr="00EB7C89">
        <w:rPr>
          <w:rFonts w:cs="Times New Roman"/>
          <w:sz w:val="22"/>
          <w:szCs w:val="22"/>
          <w:vertAlign w:val="superscript"/>
        </w:rPr>
        <w:t>6</w:t>
      </w:r>
      <w:r w:rsidRPr="00EB7C89">
        <w:rPr>
          <w:rFonts w:cs="Times New Roman"/>
          <w:sz w:val="22"/>
          <w:szCs w:val="22"/>
        </w:rPr>
        <w:t xml:space="preserve"> Laboratory for Psychiatric Biostatistics, McLean Hospital, Belmont, United States;</w:t>
      </w:r>
    </w:p>
    <w:p w14:paraId="17DC3A13" w14:textId="77777777" w:rsidR="00EB7C89" w:rsidRPr="00EB7C89" w:rsidRDefault="00EB7C89" w:rsidP="00EB7C89">
      <w:pPr>
        <w:rPr>
          <w:rFonts w:cs="Times New Roman"/>
          <w:sz w:val="22"/>
          <w:szCs w:val="22"/>
          <w:shd w:val="clear" w:color="auto" w:fill="FFFFFF"/>
        </w:rPr>
      </w:pPr>
      <w:r w:rsidRPr="00EB7C89">
        <w:rPr>
          <w:rFonts w:cs="Times New Roman"/>
          <w:sz w:val="22"/>
          <w:szCs w:val="22"/>
          <w:vertAlign w:val="superscript"/>
        </w:rPr>
        <w:t>7</w:t>
      </w:r>
      <w:r w:rsidRPr="00EB7C89">
        <w:rPr>
          <w:rFonts w:cs="Times New Roman"/>
          <w:sz w:val="22"/>
          <w:szCs w:val="22"/>
        </w:rPr>
        <w:t xml:space="preserve"> </w:t>
      </w:r>
      <w:proofErr w:type="spellStart"/>
      <w:r w:rsidRPr="00EB7C89">
        <w:rPr>
          <w:rFonts w:cs="Times New Roman"/>
          <w:sz w:val="22"/>
          <w:szCs w:val="22"/>
        </w:rPr>
        <w:t>Ragon</w:t>
      </w:r>
      <w:proofErr w:type="spellEnd"/>
      <w:r w:rsidRPr="00EB7C89">
        <w:rPr>
          <w:rFonts w:cs="Times New Roman"/>
          <w:sz w:val="22"/>
          <w:szCs w:val="22"/>
        </w:rPr>
        <w:t xml:space="preserve"> Institute, Massachusetts General Hospital, Massachusetts Institute of Technology, and Harvard University, Boston, </w:t>
      </w:r>
      <w:r w:rsidRPr="00EB7C89">
        <w:rPr>
          <w:rFonts w:cs="Times New Roman"/>
          <w:sz w:val="22"/>
          <w:szCs w:val="22"/>
          <w:shd w:val="clear" w:color="auto" w:fill="FFFFFF"/>
        </w:rPr>
        <w:t>United States;</w:t>
      </w:r>
    </w:p>
    <w:p w14:paraId="76ACA977" w14:textId="77777777" w:rsidR="00EB7C89" w:rsidRPr="00EB7C89" w:rsidRDefault="00EB7C89" w:rsidP="00EB7C89">
      <w:pPr>
        <w:rPr>
          <w:rFonts w:cs="Times New Roman"/>
          <w:sz w:val="22"/>
          <w:szCs w:val="22"/>
        </w:rPr>
      </w:pPr>
      <w:r w:rsidRPr="00EB7C89">
        <w:rPr>
          <w:rFonts w:cs="Times New Roman"/>
          <w:sz w:val="22"/>
          <w:szCs w:val="22"/>
          <w:vertAlign w:val="superscript"/>
        </w:rPr>
        <w:t>8</w:t>
      </w:r>
      <w:r w:rsidRPr="00EB7C89">
        <w:rPr>
          <w:rFonts w:cs="Times New Roman"/>
          <w:sz w:val="22"/>
          <w:szCs w:val="22"/>
          <w:shd w:val="clear" w:color="auto" w:fill="FFFFFF"/>
        </w:rPr>
        <w:t xml:space="preserve"> Oregon Health &amp; Science University-Portland State University School of Public Health, Portland, United States</w:t>
      </w:r>
    </w:p>
    <w:p w14:paraId="445EBC01" w14:textId="77777777" w:rsidR="00EB7C89" w:rsidRPr="00EB7C89" w:rsidRDefault="00EB7C89" w:rsidP="00EB7C89">
      <w:pPr>
        <w:rPr>
          <w:rStyle w:val="Hyperlink"/>
          <w:sz w:val="22"/>
          <w:szCs w:val="22"/>
        </w:rPr>
      </w:pPr>
      <w:r w:rsidRPr="00EB7C89">
        <w:rPr>
          <w:rFonts w:cs="Times New Roman"/>
          <w:sz w:val="22"/>
          <w:szCs w:val="22"/>
        </w:rPr>
        <w:t>*</w:t>
      </w:r>
      <w:hyperlink r:id="rId8" w:history="1">
        <w:r w:rsidRPr="00EB7C89">
          <w:rPr>
            <w:rStyle w:val="Hyperlink"/>
            <w:sz w:val="22"/>
            <w:szCs w:val="22"/>
          </w:rPr>
          <w:t>ikatz2@partners.org</w:t>
        </w:r>
      </w:hyperlink>
    </w:p>
    <w:p w14:paraId="1AFDC763" w14:textId="77777777" w:rsidR="00820A11" w:rsidRPr="00EB7C89" w:rsidRDefault="00820A11" w:rsidP="00EB7C89">
      <w:pPr>
        <w:rPr>
          <w:b/>
          <w:sz w:val="22"/>
          <w:szCs w:val="22"/>
        </w:rPr>
      </w:pPr>
    </w:p>
    <w:p w14:paraId="12B0FA8E" w14:textId="77777777" w:rsidR="00EB7C89" w:rsidRPr="00F9439A" w:rsidRDefault="008354B8" w:rsidP="00EB7C89">
      <w:pPr>
        <w:pStyle w:val="ListParagraph"/>
        <w:numPr>
          <w:ilvl w:val="0"/>
          <w:numId w:val="4"/>
        </w:numPr>
      </w:pPr>
      <w:r w:rsidRPr="00F9439A">
        <w:t>No prospective protocol was published or registered</w:t>
      </w:r>
      <w:r w:rsidR="00EB7C89" w:rsidRPr="00F9439A">
        <w:t xml:space="preserve"> for this observational study. We did, however, follow</w:t>
      </w:r>
      <w:r w:rsidRPr="00F9439A">
        <w:t xml:space="preserve"> a clear analysis plan, as described in the methods section, and did not deviate from this plan.</w:t>
      </w:r>
    </w:p>
    <w:p w14:paraId="7D1BC35D" w14:textId="59E59A95" w:rsidR="008354B8" w:rsidRPr="00F9439A" w:rsidRDefault="008354B8" w:rsidP="00EB7C89">
      <w:pPr>
        <w:pStyle w:val="ListParagraph"/>
        <w:numPr>
          <w:ilvl w:val="0"/>
          <w:numId w:val="4"/>
        </w:numPr>
      </w:pPr>
      <w:r w:rsidRPr="00F9439A">
        <w:t xml:space="preserve">The inclusion/exclusion criteria for the study were established at the outset and were not changed. The study included </w:t>
      </w:r>
      <w:r w:rsidR="00F9439A">
        <w:t xml:space="preserve">all </w:t>
      </w:r>
      <w:r w:rsidR="00EB7C89" w:rsidRPr="00F9439A">
        <w:rPr>
          <w:rFonts w:cs="Times New Roman"/>
          <w:shd w:val="clear" w:color="auto" w:fill="FFFFFF"/>
        </w:rPr>
        <w:t xml:space="preserve">ART-naïve patients aged ≥18 years who </w:t>
      </w:r>
      <w:r w:rsidR="00F9439A">
        <w:rPr>
          <w:rFonts w:cs="Times New Roman"/>
          <w:shd w:val="clear" w:color="auto" w:fill="FFFFFF"/>
        </w:rPr>
        <w:t xml:space="preserve">were accessing care at </w:t>
      </w:r>
      <w:r w:rsidR="00F9439A">
        <w:rPr>
          <w:rFonts w:cs="Times New Roman"/>
        </w:rPr>
        <w:t>the Department of Health</w:t>
      </w:r>
      <w:r w:rsidR="00F9439A" w:rsidRPr="00871F91">
        <w:rPr>
          <w:rFonts w:cs="Times New Roman"/>
        </w:rPr>
        <w:t xml:space="preserve"> Community Health Center</w:t>
      </w:r>
      <w:r w:rsidR="00F9439A" w:rsidRPr="00953879">
        <w:rPr>
          <w:rFonts w:cs="Times New Roman"/>
        </w:rPr>
        <w:t xml:space="preserve"> in Gugulethu Township, South Africa</w:t>
      </w:r>
      <w:r w:rsidR="00F9439A">
        <w:rPr>
          <w:rFonts w:cs="Times New Roman"/>
        </w:rPr>
        <w:t>. We restricted our analyses to the period be</w:t>
      </w:r>
      <w:r w:rsidR="00EB7C89" w:rsidRPr="00F9439A">
        <w:rPr>
          <w:rFonts w:cs="Times New Roman"/>
          <w:shd w:val="clear" w:color="auto" w:fill="FFFFFF"/>
        </w:rPr>
        <w:t>tween January 2009 and December 2013</w:t>
      </w:r>
      <w:r w:rsidR="00F9439A">
        <w:rPr>
          <w:rFonts w:cs="Times New Roman"/>
          <w:shd w:val="clear" w:color="auto" w:fill="FFFFFF"/>
        </w:rPr>
        <w:t xml:space="preserve"> to assess the impact of programmatic expansion on outcomes</w:t>
      </w:r>
      <w:r w:rsidR="00EB7C89" w:rsidRPr="00F9439A">
        <w:rPr>
          <w:rFonts w:cs="Times New Roman"/>
          <w:shd w:val="clear" w:color="auto" w:fill="FFFFFF"/>
        </w:rPr>
        <w:t>. Women who were pregnant were excluded from this dataset</w:t>
      </w:r>
      <w:r w:rsidR="00BC0A95">
        <w:rPr>
          <w:rFonts w:cs="Times New Roman"/>
          <w:shd w:val="clear" w:color="auto" w:fill="FFFFFF"/>
        </w:rPr>
        <w:t>.</w:t>
      </w:r>
    </w:p>
    <w:p w14:paraId="7E4C3883" w14:textId="77777777" w:rsidR="00EB7C89" w:rsidRPr="00F9439A" w:rsidRDefault="00EB7C89" w:rsidP="00EB7C89">
      <w:pPr>
        <w:pStyle w:val="ListParagraph"/>
        <w:numPr>
          <w:ilvl w:val="0"/>
          <w:numId w:val="4"/>
        </w:numPr>
        <w:rPr>
          <w:rFonts w:cs="Times New Roman"/>
        </w:rPr>
      </w:pPr>
      <w:r w:rsidRPr="00F9439A">
        <w:rPr>
          <w:rFonts w:cs="Times New Roman"/>
        </w:rPr>
        <w:t xml:space="preserve">Our definitions </w:t>
      </w:r>
      <w:r w:rsidRPr="00F9439A">
        <w:rPr>
          <w:rFonts w:cs="Times New Roman"/>
        </w:rPr>
        <w:t>were established at the</w:t>
      </w:r>
      <w:r w:rsidRPr="00F9439A">
        <w:rPr>
          <w:rFonts w:cs="Times New Roman"/>
        </w:rPr>
        <w:t xml:space="preserve"> outset</w:t>
      </w:r>
      <w:r w:rsidRPr="00F9439A">
        <w:rPr>
          <w:rFonts w:cs="Times New Roman"/>
        </w:rPr>
        <w:t xml:space="preserve"> and were not changed. Specifically,</w:t>
      </w:r>
      <w:r w:rsidRPr="00F9439A">
        <w:rPr>
          <w:rFonts w:cs="Times New Roman"/>
        </w:rPr>
        <w:t xml:space="preserve"> we defined “early mortality” as death from all causes prior to starting ART, or death within the first 16 weeks on treatment. Pre-ART losses was defined as attrition between the time of learning ART eligibility, and entering care. Early losses were defined as early discontinuation of treatment (within the first 16 weeks in care). We used World Health Organization(WHO) clinical staging and immunological classification of HIV infection to assess disease status. </w:t>
      </w:r>
    </w:p>
    <w:p w14:paraId="1CE342CA" w14:textId="04A5E7E1" w:rsidR="00F9439A" w:rsidRPr="00F9439A" w:rsidRDefault="008354B8" w:rsidP="00F9439A">
      <w:pPr>
        <w:pStyle w:val="ListParagraph"/>
        <w:numPr>
          <w:ilvl w:val="0"/>
          <w:numId w:val="4"/>
        </w:numPr>
        <w:rPr>
          <w:rFonts w:cs="Times New Roman"/>
        </w:rPr>
      </w:pPr>
      <w:r w:rsidRPr="00F9439A">
        <w:t xml:space="preserve">The </w:t>
      </w:r>
      <w:r w:rsidR="00DB08D0" w:rsidRPr="00F9439A">
        <w:t>data collection plan was pre-specifi</w:t>
      </w:r>
      <w:r w:rsidR="00BC0A95">
        <w:t>ed from the outset and was</w:t>
      </w:r>
      <w:r w:rsidR="00DB08D0" w:rsidRPr="00F9439A">
        <w:t xml:space="preserve"> not altered. Specifically, the d</w:t>
      </w:r>
      <w:r w:rsidR="00EB7C89" w:rsidRPr="00F9439A">
        <w:t>ata were abstracted from electronic records and paper charts and included baseline CD4</w:t>
      </w:r>
      <w:r w:rsidR="00EB7C89" w:rsidRPr="00F9439A">
        <w:rPr>
          <w:vertAlign w:val="superscript"/>
        </w:rPr>
        <w:t>+</w:t>
      </w:r>
      <w:r w:rsidR="00EB7C89" w:rsidRPr="00F9439A">
        <w:t xml:space="preserve">, age at referral WHO stage, decision-making regarding ART initiation, and early treatment outcome (up to 16 weeks on ART). WHO stage was used as a proxy measure of baseline disease severity, where </w:t>
      </w:r>
      <w:r w:rsidR="00EB7C89" w:rsidRPr="00F9439A">
        <w:lastRenderedPageBreak/>
        <w:t xml:space="preserve">those with stage 1 are predominantly asymptomatic and those with stage 4 demonstrate more pronounced symptoms. </w:t>
      </w:r>
    </w:p>
    <w:p w14:paraId="7EDDD348" w14:textId="1C6FB66D" w:rsidR="00F9439A" w:rsidRPr="00BC0A95" w:rsidRDefault="00F9439A" w:rsidP="00F9439A">
      <w:pPr>
        <w:numPr>
          <w:ilvl w:val="0"/>
          <w:numId w:val="4"/>
        </w:numPr>
        <w:rPr>
          <w:rFonts w:cs="Times New Roman"/>
        </w:rPr>
      </w:pPr>
      <w:r w:rsidRPr="00F9439A">
        <w:t>S</w:t>
      </w:r>
      <w:r w:rsidR="00DB08D0" w:rsidRPr="00F9439A">
        <w:t xml:space="preserve">tatistical analyses were determined at the outset and were not changed. </w:t>
      </w:r>
      <w:r w:rsidRPr="00F9439A">
        <w:t>We</w:t>
      </w:r>
      <w:r w:rsidR="00BC0A95">
        <w:t xml:space="preserve"> planned to </w:t>
      </w:r>
      <w:r w:rsidRPr="00BC0A95">
        <w:rPr>
          <w:rFonts w:cs="Times New Roman"/>
        </w:rPr>
        <w:t xml:space="preserve">assess </w:t>
      </w:r>
      <w:r w:rsidRPr="00BC0A95">
        <w:rPr>
          <w:rFonts w:cs="Times New Roman"/>
          <w:bCs/>
          <w:shd w:val="clear" w:color="auto" w:fill="FFFFFF"/>
        </w:rPr>
        <w:t xml:space="preserve">the association of South Africa’s HIV treatment eligibility guidelines with pre-ART attrition </w:t>
      </w:r>
      <w:r w:rsidR="00BC0A95">
        <w:rPr>
          <w:rFonts w:cs="Times New Roman"/>
          <w:bCs/>
          <w:shd w:val="clear" w:color="auto" w:fill="FFFFFF"/>
        </w:rPr>
        <w:t xml:space="preserve">and </w:t>
      </w:r>
      <w:r w:rsidRPr="00BC0A95">
        <w:rPr>
          <w:rFonts w:cs="Times New Roman"/>
          <w:bCs/>
          <w:shd w:val="clear" w:color="auto" w:fill="FFFFFF"/>
        </w:rPr>
        <w:t xml:space="preserve">with early losses from care (&lt;16 weeks). </w:t>
      </w:r>
      <w:r w:rsidRPr="00BC0A95">
        <w:rPr>
          <w:rFonts w:cs="Times New Roman"/>
        </w:rPr>
        <w:t>We hypothesized that increasing the CD4</w:t>
      </w:r>
      <w:r w:rsidRPr="00BC0A95">
        <w:rPr>
          <w:rFonts w:cs="Times New Roman"/>
          <w:vertAlign w:val="superscript"/>
        </w:rPr>
        <w:t>+</w:t>
      </w:r>
      <w:r w:rsidRPr="00BC0A95">
        <w:rPr>
          <w:rFonts w:cs="Times New Roman"/>
        </w:rPr>
        <w:t xml:space="preserve"> threshold to access ART would increase pre-treatment and early losses. The rational for this hypothesis is due to healthy cohort effects, and/or programmatic shifts resulting in expanded clinics with higher patient to nurse ratio, resulting in a “crowding effect.”  </w:t>
      </w:r>
      <w:r w:rsidR="00BC0A95" w:rsidRPr="00BC0A95">
        <w:rPr>
          <w:rFonts w:cs="Times New Roman"/>
        </w:rPr>
        <w:t>We also assessed</w:t>
      </w:r>
      <w:r w:rsidR="00BC0A95" w:rsidRPr="00BC0A95">
        <w:rPr>
          <w:rFonts w:cs="Times New Roman"/>
        </w:rPr>
        <w:t xml:space="preserve"> mortality pre- and post-ART initiation, adjusting for relevant baseline covariates, including calendar period of enrollment</w:t>
      </w:r>
      <w:r w:rsidR="00BC0A95" w:rsidRPr="00BC0A95">
        <w:rPr>
          <w:rFonts w:cs="Times New Roman"/>
        </w:rPr>
        <w:t>.</w:t>
      </w:r>
      <w:r w:rsidR="00BC0A95" w:rsidRPr="00BC0A95">
        <w:rPr>
          <w:rFonts w:cs="Times New Roman"/>
        </w:rPr>
        <w:t xml:space="preserve"> </w:t>
      </w:r>
    </w:p>
    <w:p w14:paraId="13725239" w14:textId="2F543371" w:rsidR="00EB7C89" w:rsidRPr="00F9439A" w:rsidRDefault="00F9439A" w:rsidP="00EB7C89">
      <w:pPr>
        <w:numPr>
          <w:ilvl w:val="0"/>
          <w:numId w:val="4"/>
        </w:numPr>
      </w:pPr>
      <w:r w:rsidRPr="00F9439A">
        <w:t xml:space="preserve">Our methods for calculating </w:t>
      </w:r>
      <w:r w:rsidR="00BC0A95">
        <w:t xml:space="preserve">early losses from care pre- and post-policy change </w:t>
      </w:r>
      <w:r w:rsidRPr="00F9439A">
        <w:t xml:space="preserve">were determined at the outset and were </w:t>
      </w:r>
      <w:r w:rsidRPr="00F9439A">
        <w:t>not changed. Specifically, d</w:t>
      </w:r>
      <w:r w:rsidRPr="00F9439A">
        <w:rPr>
          <w:rFonts w:cs="Times New Roman"/>
        </w:rPr>
        <w:t>emographic and clinical factors were compared in a bivariate analysis of pre-and-post policy change using chi-square to identify potentially confounding covariates. Baseline age was calculated from date of birth, if available, and entry into the clinical cohort. In the bivariate analysis, CD4</w:t>
      </w:r>
      <w:r w:rsidRPr="00F9439A">
        <w:rPr>
          <w:rFonts w:cs="Times New Roman"/>
          <w:vertAlign w:val="superscript"/>
        </w:rPr>
        <w:t>+</w:t>
      </w:r>
      <w:r w:rsidRPr="00F9439A">
        <w:rPr>
          <w:rFonts w:cs="Times New Roman"/>
        </w:rPr>
        <w:t xml:space="preserve"> cell count among the earlier cohort was compared to those entering in the later cohort, using a Wilcoxon Rank Sum. In the logistic regression models, CD4</w:t>
      </w:r>
      <w:r w:rsidRPr="00F9439A">
        <w:rPr>
          <w:rFonts w:cs="Times New Roman"/>
          <w:vertAlign w:val="superscript"/>
        </w:rPr>
        <w:t>+</w:t>
      </w:r>
      <w:r w:rsidRPr="00F9439A">
        <w:rPr>
          <w:rFonts w:cs="Times New Roman"/>
        </w:rPr>
        <w:t xml:space="preserve"> cell count was dichotomized to ≥200 and &lt;200 based on the clinical definition of an AIDS diagnosis. We used p&lt;.20 to identify any potential confounders, and logistic regression models were then used to estimate the adjusted risk of early loss (&lt;16 weeks) from care controlling for age, baseline CD4</w:t>
      </w:r>
      <w:r w:rsidRPr="00F9439A">
        <w:rPr>
          <w:rFonts w:cs="Times New Roman"/>
          <w:vertAlign w:val="superscript"/>
        </w:rPr>
        <w:t xml:space="preserve">+ </w:t>
      </w:r>
      <w:r w:rsidRPr="00F9439A">
        <w:rPr>
          <w:rFonts w:cs="Times New Roman"/>
        </w:rPr>
        <w:t xml:space="preserve">cell count, and WHO stage. Multiple Logistic regression was used to estimate the risk of early losses, and mortality pre- and post-ART initiation, adjusting for relevant baseline covariates, including calendar period of enrollment which was included as a key variable of interest in this model. Post-hoc, relative goodness of fit of the logistic model was verified using a log-likelihood ratio to estimate a chi-square. Final models were checked using standard regression diagnostics for logistic regression. Wald confidence limits were used for all multivariate models. </w:t>
      </w:r>
    </w:p>
    <w:p w14:paraId="381B7943" w14:textId="3E942C3E" w:rsidR="00BC0A95" w:rsidRPr="008354B8" w:rsidRDefault="00BC0A95" w:rsidP="00BC0A95">
      <w:pPr>
        <w:numPr>
          <w:ilvl w:val="0"/>
          <w:numId w:val="4"/>
        </w:numPr>
        <w:rPr>
          <w:rFonts w:ascii="Cambria" w:hAnsi="Cambria"/>
        </w:rPr>
      </w:pPr>
      <w:r w:rsidRPr="00D42AB1">
        <w:rPr>
          <w:rFonts w:ascii="Cambria" w:hAnsi="Cambria"/>
        </w:rPr>
        <w:t>Our outcomes –</w:t>
      </w:r>
      <w:r>
        <w:rPr>
          <w:rFonts w:ascii="Cambria" w:hAnsi="Cambria"/>
        </w:rPr>
        <w:t xml:space="preserve"> pre-ART attrition from care,</w:t>
      </w:r>
      <w:r w:rsidRPr="00D42AB1">
        <w:rPr>
          <w:rFonts w:ascii="Cambria" w:hAnsi="Cambria"/>
        </w:rPr>
        <w:t xml:space="preserve"> </w:t>
      </w:r>
      <w:r>
        <w:rPr>
          <w:rFonts w:ascii="Cambria" w:hAnsi="Cambria"/>
        </w:rPr>
        <w:t>early losses, and mortality pre- and post-ART initiation</w:t>
      </w:r>
      <w:r w:rsidRPr="00D42AB1">
        <w:rPr>
          <w:rFonts w:ascii="Cambria" w:hAnsi="Cambria"/>
        </w:rPr>
        <w:t>–</w:t>
      </w:r>
      <w:r>
        <w:rPr>
          <w:rFonts w:ascii="Cambria" w:hAnsi="Cambria"/>
        </w:rPr>
        <w:t xml:space="preserve"> were determined at the outset and were not altered.</w:t>
      </w:r>
    </w:p>
    <w:sectPr w:rsidR="00BC0A95" w:rsidRPr="008354B8" w:rsidSect="00AE7B13">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EFDE5" w14:textId="77777777" w:rsidR="00661954" w:rsidRDefault="00661954" w:rsidP="00820A11">
      <w:r>
        <w:separator/>
      </w:r>
    </w:p>
  </w:endnote>
  <w:endnote w:type="continuationSeparator" w:id="0">
    <w:p w14:paraId="7470DFE9" w14:textId="77777777" w:rsidR="00661954" w:rsidRDefault="00661954" w:rsidP="00820A11">
      <w:r>
        <w:continuationSeparator/>
      </w:r>
    </w:p>
  </w:endnote>
  <w:endnote w:type="continuationNotice" w:id="1">
    <w:p w14:paraId="395FDD58" w14:textId="77777777" w:rsidR="00661954" w:rsidRDefault="00661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C542" w14:textId="77777777" w:rsidR="00E7435F" w:rsidRDefault="00E7435F" w:rsidP="001E4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E3102" w14:textId="77777777" w:rsidR="00E7435F" w:rsidRDefault="00E74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E8F4B" w14:textId="38489CC2" w:rsidR="00E7435F" w:rsidRDefault="00E7435F" w:rsidP="001E4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A95">
      <w:rPr>
        <w:rStyle w:val="PageNumber"/>
        <w:noProof/>
      </w:rPr>
      <w:t>1</w:t>
    </w:r>
    <w:r>
      <w:rPr>
        <w:rStyle w:val="PageNumber"/>
      </w:rPr>
      <w:fldChar w:fldCharType="end"/>
    </w:r>
  </w:p>
  <w:p w14:paraId="285344AE" w14:textId="77777777" w:rsidR="00E7435F" w:rsidRDefault="00E74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50EDC" w14:textId="77777777" w:rsidR="00661954" w:rsidRDefault="00661954" w:rsidP="00820A11">
      <w:r>
        <w:separator/>
      </w:r>
    </w:p>
  </w:footnote>
  <w:footnote w:type="continuationSeparator" w:id="0">
    <w:p w14:paraId="2361DBA6" w14:textId="77777777" w:rsidR="00661954" w:rsidRDefault="00661954" w:rsidP="00820A11">
      <w:r>
        <w:continuationSeparator/>
      </w:r>
    </w:p>
  </w:footnote>
  <w:footnote w:type="continuationNotice" w:id="1">
    <w:p w14:paraId="7A0CC2F5" w14:textId="77777777" w:rsidR="00661954" w:rsidRDefault="006619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AEE0" w14:textId="77777777" w:rsidR="00E7435F" w:rsidRDefault="00E74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08BA"/>
    <w:multiLevelType w:val="hybridMultilevel"/>
    <w:tmpl w:val="B1D6D32E"/>
    <w:lvl w:ilvl="0" w:tplc="3DBCCD40">
      <w:start w:val="1"/>
      <w:numFmt w:val="upp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84F87"/>
    <w:multiLevelType w:val="hybridMultilevel"/>
    <w:tmpl w:val="7F4C1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D74F73"/>
    <w:multiLevelType w:val="hybridMultilevel"/>
    <w:tmpl w:val="B1D6D32E"/>
    <w:lvl w:ilvl="0" w:tplc="3DBCCD40">
      <w:start w:val="1"/>
      <w:numFmt w:val="upp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963F4"/>
    <w:multiLevelType w:val="hybridMultilevel"/>
    <w:tmpl w:val="C6B0C562"/>
    <w:lvl w:ilvl="0" w:tplc="4D2026A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F3"/>
    <w:rsid w:val="000C5CFC"/>
    <w:rsid w:val="001258F9"/>
    <w:rsid w:val="0016025C"/>
    <w:rsid w:val="00194DAD"/>
    <w:rsid w:val="001E4437"/>
    <w:rsid w:val="00206BEF"/>
    <w:rsid w:val="00263D53"/>
    <w:rsid w:val="00290F72"/>
    <w:rsid w:val="002B37DE"/>
    <w:rsid w:val="003A7B9C"/>
    <w:rsid w:val="003F404C"/>
    <w:rsid w:val="003F56D7"/>
    <w:rsid w:val="004756F3"/>
    <w:rsid w:val="004B1D91"/>
    <w:rsid w:val="004E4E3C"/>
    <w:rsid w:val="005B5284"/>
    <w:rsid w:val="00625EF6"/>
    <w:rsid w:val="00661954"/>
    <w:rsid w:val="006F0F6A"/>
    <w:rsid w:val="007477F8"/>
    <w:rsid w:val="007872A0"/>
    <w:rsid w:val="00795771"/>
    <w:rsid w:val="00820A11"/>
    <w:rsid w:val="00831EB8"/>
    <w:rsid w:val="008354B8"/>
    <w:rsid w:val="00886C59"/>
    <w:rsid w:val="008F6134"/>
    <w:rsid w:val="00964E04"/>
    <w:rsid w:val="009F2ECE"/>
    <w:rsid w:val="00A341E5"/>
    <w:rsid w:val="00A87421"/>
    <w:rsid w:val="00AE7B13"/>
    <w:rsid w:val="00BC0A95"/>
    <w:rsid w:val="00BD3D20"/>
    <w:rsid w:val="00BD70B0"/>
    <w:rsid w:val="00C7361F"/>
    <w:rsid w:val="00CB28F0"/>
    <w:rsid w:val="00CC2E6E"/>
    <w:rsid w:val="00CE7C81"/>
    <w:rsid w:val="00D24176"/>
    <w:rsid w:val="00DA587D"/>
    <w:rsid w:val="00DB08D0"/>
    <w:rsid w:val="00E7435F"/>
    <w:rsid w:val="00EB7C89"/>
    <w:rsid w:val="00EC00E3"/>
    <w:rsid w:val="00F266FC"/>
    <w:rsid w:val="00F272C0"/>
    <w:rsid w:val="00F33213"/>
    <w:rsid w:val="00F6115C"/>
    <w:rsid w:val="00F9439A"/>
    <w:rsid w:val="00FA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35C73"/>
  <w14:defaultImageDpi w14:val="300"/>
  <w15:docId w15:val="{50C0D862-E092-48CC-9B56-21EFE7D4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7C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EB7C89"/>
    <w:pPr>
      <w:keepNext/>
      <w:keepLines/>
      <w:spacing w:before="200" w:line="276" w:lineRule="auto"/>
      <w:outlineLvl w:val="2"/>
    </w:pPr>
    <w:rPr>
      <w:rFonts w:asciiTheme="majorHAnsi" w:eastAsiaTheme="majorEastAsia" w:hAnsiTheme="majorHAnsi" w:cstheme="majorBidi"/>
      <w:b/>
      <w:bCs/>
      <w:color w:val="4F81BD" w:themeColor="accent1"/>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7F8"/>
    <w:rPr>
      <w:rFonts w:ascii="Lucida Grande" w:hAnsi="Lucida Grande" w:cs="Lucida Grande"/>
      <w:sz w:val="18"/>
      <w:szCs w:val="18"/>
    </w:rPr>
  </w:style>
  <w:style w:type="paragraph" w:styleId="Footer">
    <w:name w:val="footer"/>
    <w:basedOn w:val="Normal"/>
    <w:link w:val="FooterChar"/>
    <w:uiPriority w:val="99"/>
    <w:unhideWhenUsed/>
    <w:rsid w:val="00820A11"/>
    <w:pPr>
      <w:tabs>
        <w:tab w:val="center" w:pos="4320"/>
        <w:tab w:val="right" w:pos="8640"/>
      </w:tabs>
    </w:pPr>
  </w:style>
  <w:style w:type="character" w:customStyle="1" w:styleId="FooterChar">
    <w:name w:val="Footer Char"/>
    <w:basedOn w:val="DefaultParagraphFont"/>
    <w:link w:val="Footer"/>
    <w:uiPriority w:val="99"/>
    <w:rsid w:val="00820A11"/>
  </w:style>
  <w:style w:type="character" w:styleId="PageNumber">
    <w:name w:val="page number"/>
    <w:basedOn w:val="DefaultParagraphFont"/>
    <w:uiPriority w:val="99"/>
    <w:semiHidden/>
    <w:unhideWhenUsed/>
    <w:rsid w:val="00820A11"/>
  </w:style>
  <w:style w:type="paragraph" w:styleId="ListParagraph">
    <w:name w:val="List Paragraph"/>
    <w:basedOn w:val="Normal"/>
    <w:uiPriority w:val="34"/>
    <w:qFormat/>
    <w:rsid w:val="00820A11"/>
    <w:pPr>
      <w:ind w:left="720"/>
      <w:contextualSpacing/>
    </w:pPr>
  </w:style>
  <w:style w:type="character" w:styleId="Hyperlink">
    <w:name w:val="Hyperlink"/>
    <w:basedOn w:val="DefaultParagraphFont"/>
    <w:uiPriority w:val="99"/>
    <w:unhideWhenUsed/>
    <w:rsid w:val="00820A11"/>
    <w:rPr>
      <w:color w:val="0000FF" w:themeColor="hyperlink"/>
      <w:u w:val="single"/>
    </w:rPr>
  </w:style>
  <w:style w:type="character" w:styleId="CommentReference">
    <w:name w:val="annotation reference"/>
    <w:basedOn w:val="DefaultParagraphFont"/>
    <w:uiPriority w:val="99"/>
    <w:semiHidden/>
    <w:unhideWhenUsed/>
    <w:rsid w:val="00DA587D"/>
    <w:rPr>
      <w:sz w:val="16"/>
      <w:szCs w:val="16"/>
    </w:rPr>
  </w:style>
  <w:style w:type="paragraph" w:styleId="CommentText">
    <w:name w:val="annotation text"/>
    <w:basedOn w:val="Normal"/>
    <w:link w:val="CommentTextChar"/>
    <w:uiPriority w:val="99"/>
    <w:semiHidden/>
    <w:unhideWhenUsed/>
    <w:rsid w:val="00DA587D"/>
    <w:rPr>
      <w:sz w:val="20"/>
      <w:szCs w:val="20"/>
    </w:rPr>
  </w:style>
  <w:style w:type="character" w:customStyle="1" w:styleId="CommentTextChar">
    <w:name w:val="Comment Text Char"/>
    <w:basedOn w:val="DefaultParagraphFont"/>
    <w:link w:val="CommentText"/>
    <w:uiPriority w:val="99"/>
    <w:semiHidden/>
    <w:rsid w:val="00DA587D"/>
    <w:rPr>
      <w:sz w:val="20"/>
      <w:szCs w:val="20"/>
    </w:rPr>
  </w:style>
  <w:style w:type="paragraph" w:styleId="CommentSubject">
    <w:name w:val="annotation subject"/>
    <w:basedOn w:val="CommentText"/>
    <w:next w:val="CommentText"/>
    <w:link w:val="CommentSubjectChar"/>
    <w:uiPriority w:val="99"/>
    <w:semiHidden/>
    <w:unhideWhenUsed/>
    <w:rsid w:val="00DA587D"/>
    <w:rPr>
      <w:b/>
      <w:bCs/>
    </w:rPr>
  </w:style>
  <w:style w:type="character" w:customStyle="1" w:styleId="CommentSubjectChar">
    <w:name w:val="Comment Subject Char"/>
    <w:basedOn w:val="CommentTextChar"/>
    <w:link w:val="CommentSubject"/>
    <w:uiPriority w:val="99"/>
    <w:semiHidden/>
    <w:rsid w:val="00DA587D"/>
    <w:rPr>
      <w:b/>
      <w:bCs/>
      <w:sz w:val="20"/>
      <w:szCs w:val="20"/>
    </w:rPr>
  </w:style>
  <w:style w:type="paragraph" w:styleId="Header">
    <w:name w:val="header"/>
    <w:basedOn w:val="Normal"/>
    <w:link w:val="HeaderChar"/>
    <w:uiPriority w:val="99"/>
    <w:unhideWhenUsed/>
    <w:rsid w:val="00DA587D"/>
    <w:pPr>
      <w:tabs>
        <w:tab w:val="center" w:pos="4320"/>
        <w:tab w:val="right" w:pos="8640"/>
      </w:tabs>
    </w:pPr>
  </w:style>
  <w:style w:type="character" w:customStyle="1" w:styleId="HeaderChar">
    <w:name w:val="Header Char"/>
    <w:basedOn w:val="DefaultParagraphFont"/>
    <w:link w:val="Header"/>
    <w:uiPriority w:val="99"/>
    <w:rsid w:val="00DA587D"/>
  </w:style>
  <w:style w:type="character" w:customStyle="1" w:styleId="Heading2Char">
    <w:name w:val="Heading 2 Char"/>
    <w:basedOn w:val="DefaultParagraphFont"/>
    <w:link w:val="Heading2"/>
    <w:uiPriority w:val="9"/>
    <w:rsid w:val="00EB7C89"/>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EB7C89"/>
    <w:rPr>
      <w:rFonts w:asciiTheme="majorHAnsi" w:eastAsiaTheme="majorEastAsia" w:hAnsiTheme="majorHAnsi" w:cstheme="majorBidi"/>
      <w:b/>
      <w:bCs/>
      <w:color w:val="4F81BD" w:themeColor="accent1"/>
      <w:sz w:val="22"/>
      <w:lang w:eastAsia="ja-JP"/>
    </w:rPr>
  </w:style>
  <w:style w:type="paragraph" w:styleId="NormalWeb">
    <w:name w:val="Normal (Web)"/>
    <w:basedOn w:val="Normal"/>
    <w:link w:val="NormalWebChar"/>
    <w:uiPriority w:val="99"/>
    <w:rsid w:val="00EB7C89"/>
    <w:pPr>
      <w:autoSpaceDE w:val="0"/>
      <w:autoSpaceDN w:val="0"/>
      <w:adjustRightInd w:val="0"/>
      <w:spacing w:before="100" w:beforeAutospacing="1" w:after="100" w:afterAutospacing="1" w:line="276" w:lineRule="auto"/>
    </w:pPr>
    <w:rPr>
      <w:rFonts w:ascii="Calibri" w:eastAsia="Calibri" w:hAnsi="Calibri" w:cs="Calibri"/>
      <w:sz w:val="22"/>
      <w:szCs w:val="22"/>
    </w:rPr>
  </w:style>
  <w:style w:type="character" w:customStyle="1" w:styleId="NormalWebChar">
    <w:name w:val="Normal (Web) Char"/>
    <w:basedOn w:val="DefaultParagraphFont"/>
    <w:link w:val="NormalWeb"/>
    <w:uiPriority w:val="99"/>
    <w:rsid w:val="00EB7C89"/>
    <w:rPr>
      <w:rFonts w:ascii="Calibri" w:eastAsia="Calibri" w:hAnsi="Calibri" w:cs="Calibri"/>
      <w:sz w:val="22"/>
      <w:szCs w:val="22"/>
    </w:rPr>
  </w:style>
  <w:style w:type="paragraph" w:customStyle="1" w:styleId="p">
    <w:name w:val="p"/>
    <w:basedOn w:val="Normal"/>
    <w:rsid w:val="00EB7C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atz2@partn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5741-45F4-4A06-BC92-F398146E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Bor</dc:creator>
  <cp:keywords/>
  <dc:description/>
  <cp:lastModifiedBy>Ingrid Katz</cp:lastModifiedBy>
  <cp:revision>3</cp:revision>
  <dcterms:created xsi:type="dcterms:W3CDTF">2017-10-09T15:03:00Z</dcterms:created>
  <dcterms:modified xsi:type="dcterms:W3CDTF">2017-10-09T15:32:00Z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jacob.bor@gmail.com@www.mendeley.com</vt:lpwstr>
  </property>
  <property fmtid="{D5CDD505-2E9C-101B-9397-08002B2CF9AE}" pid="4" name="Mendeley Citation Style_1">
    <vt:lpwstr>http://www.zotero.org/styles/plos-medicine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http://www.zotero.org/styles/plos-medicine</vt:lpwstr>
  </property>
  <property fmtid="{D5CDD505-2E9C-101B-9397-08002B2CF9AE}" pid="22" name="Mendeley Recent Style Name 8_1">
    <vt:lpwstr>PLOS Medicine</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