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FCF" w:rsidRPr="00D54FCF" w:rsidRDefault="00D54FCF" w:rsidP="00D54FCF">
      <w:pPr>
        <w:spacing w:after="0" w:line="240" w:lineRule="auto"/>
        <w:rPr>
          <w:rFonts w:ascii="Times New Roman" w:eastAsia="Calibri" w:hAnsi="Times New Roman" w:cs="Times New Roman"/>
          <w:sz w:val="24"/>
        </w:rPr>
      </w:pPr>
      <w:r w:rsidRPr="00D54FCF">
        <w:rPr>
          <w:rFonts w:ascii="Times New Roman" w:eastAsia="Calibri" w:hAnsi="Times New Roman" w:cs="Times New Roman"/>
          <w:sz w:val="24"/>
        </w:rPr>
        <w:t>S4 Table. Unadjusted association between living with a parent with a given chronic condition and having that same or another chronic condition (n=1660)</w:t>
      </w:r>
    </w:p>
    <w:tbl>
      <w:tblPr>
        <w:tblW w:w="0" w:type="auto"/>
        <w:jc w:val="center"/>
        <w:tblCellMar>
          <w:left w:w="0" w:type="dxa"/>
          <w:right w:w="0" w:type="dxa"/>
        </w:tblCellMar>
        <w:tblLook w:val="0000" w:firstRow="0" w:lastRow="0" w:firstColumn="0" w:lastColumn="0" w:noHBand="0" w:noVBand="0"/>
      </w:tblPr>
      <w:tblGrid>
        <w:gridCol w:w="2447"/>
        <w:gridCol w:w="1191"/>
        <w:gridCol w:w="536"/>
        <w:gridCol w:w="1183"/>
        <w:gridCol w:w="519"/>
        <w:gridCol w:w="1306"/>
        <w:gridCol w:w="576"/>
        <w:gridCol w:w="1234"/>
        <w:gridCol w:w="534"/>
        <w:gridCol w:w="1183"/>
        <w:gridCol w:w="534"/>
        <w:gridCol w:w="1183"/>
        <w:gridCol w:w="534"/>
      </w:tblGrid>
      <w:tr w:rsidR="0000776C" w:rsidRPr="0000776C" w:rsidTr="0000776C">
        <w:tblPrEx>
          <w:tblCellMar>
            <w:top w:w="0" w:type="dxa"/>
            <w:left w:w="0" w:type="dxa"/>
            <w:bottom w:w="0" w:type="dxa"/>
            <w:right w:w="0" w:type="dxa"/>
          </w:tblCellMar>
        </w:tblPrEx>
        <w:trPr>
          <w:cantSplit/>
          <w:tblHeader/>
          <w:jc w:val="center"/>
        </w:trPr>
        <w:tc>
          <w:tcPr>
            <w:tcW w:w="0" w:type="auto"/>
            <w:tcBorders>
              <w:top w:val="single" w:sz="4" w:space="0" w:color="000000"/>
              <w:left w:val="nil"/>
              <w:bottom w:val="nil"/>
              <w:right w:val="nil"/>
            </w:tcBorders>
            <w:shd w:val="clear" w:color="auto" w:fill="FFFFFF"/>
            <w:tcMar>
              <w:left w:w="67" w:type="dxa"/>
              <w:right w:w="67" w:type="dxa"/>
            </w:tcMar>
            <w:vAlign w:val="bottom"/>
          </w:tcPr>
          <w:p w:rsidR="0000776C" w:rsidRPr="0000776C" w:rsidRDefault="0000776C" w:rsidP="0000776C">
            <w:pPr>
              <w:pStyle w:val="NoSpacing"/>
              <w:rPr>
                <w:rFonts w:ascii="Times New Roman" w:hAnsi="Times New Roman" w:cs="Times New Roman"/>
              </w:rPr>
            </w:pPr>
          </w:p>
        </w:tc>
        <w:tc>
          <w:tcPr>
            <w:tcW w:w="0" w:type="auto"/>
            <w:gridSpan w:val="12"/>
            <w:tcBorders>
              <w:top w:val="single" w:sz="4" w:space="0" w:color="000000"/>
              <w:left w:val="nil"/>
              <w:bottom w:val="nil"/>
              <w:right w:val="nil"/>
            </w:tcBorders>
            <w:shd w:val="clear" w:color="auto" w:fill="FFFFFF"/>
            <w:tcMar>
              <w:left w:w="67" w:type="dxa"/>
              <w:right w:w="67" w:type="dxa"/>
            </w:tcMar>
            <w:vAlign w:val="bottom"/>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Relative odds of chronic condition in adult child</w:t>
            </w:r>
          </w:p>
        </w:tc>
      </w:tr>
      <w:tr w:rsidR="0000776C" w:rsidRPr="0000776C" w:rsidTr="0000776C">
        <w:tblPrEx>
          <w:tblCellMar>
            <w:top w:w="0" w:type="dxa"/>
            <w:left w:w="0" w:type="dxa"/>
            <w:bottom w:w="0" w:type="dxa"/>
            <w:right w:w="0" w:type="dxa"/>
          </w:tblCellMar>
        </w:tblPrEx>
        <w:trPr>
          <w:cantSplit/>
          <w:tblHeader/>
          <w:jc w:val="center"/>
        </w:trPr>
        <w:tc>
          <w:tcPr>
            <w:tcW w:w="0" w:type="auto"/>
            <w:tcBorders>
              <w:top w:val="nil"/>
              <w:left w:val="nil"/>
              <w:bottom w:val="nil"/>
              <w:right w:val="nil"/>
            </w:tcBorders>
            <w:shd w:val="clear" w:color="auto" w:fill="FFFFFF"/>
            <w:tcMar>
              <w:left w:w="67" w:type="dxa"/>
              <w:right w:w="67" w:type="dxa"/>
            </w:tcMar>
            <w:vAlign w:val="bottom"/>
          </w:tcPr>
          <w:p w:rsidR="0000776C" w:rsidRPr="0000776C" w:rsidRDefault="0000776C" w:rsidP="0000776C">
            <w:pPr>
              <w:pStyle w:val="NoSpacing"/>
              <w:rPr>
                <w:rFonts w:ascii="Times New Roman" w:hAnsi="Times New Roman" w:cs="Times New Roman"/>
              </w:rPr>
            </w:pPr>
          </w:p>
        </w:tc>
        <w:tc>
          <w:tcPr>
            <w:tcW w:w="0" w:type="auto"/>
            <w:gridSpan w:val="2"/>
            <w:tcBorders>
              <w:top w:val="nil"/>
              <w:left w:val="nil"/>
              <w:bottom w:val="nil"/>
              <w:right w:val="nil"/>
            </w:tcBorders>
            <w:shd w:val="clear" w:color="auto" w:fill="FFFFFF"/>
            <w:tcMar>
              <w:left w:w="67" w:type="dxa"/>
              <w:right w:w="67" w:type="dxa"/>
            </w:tcMar>
            <w:vAlign w:val="bottom"/>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Any chronic condition</w:t>
            </w:r>
          </w:p>
        </w:tc>
        <w:tc>
          <w:tcPr>
            <w:tcW w:w="0" w:type="auto"/>
            <w:gridSpan w:val="2"/>
            <w:tcBorders>
              <w:top w:val="nil"/>
              <w:left w:val="nil"/>
              <w:bottom w:val="nil"/>
              <w:right w:val="nil"/>
            </w:tcBorders>
            <w:shd w:val="clear" w:color="auto" w:fill="FFFFFF"/>
            <w:tcMar>
              <w:left w:w="67" w:type="dxa"/>
              <w:right w:w="67" w:type="dxa"/>
            </w:tcMar>
            <w:vAlign w:val="bottom"/>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Diabetes</w:t>
            </w:r>
          </w:p>
        </w:tc>
        <w:tc>
          <w:tcPr>
            <w:tcW w:w="0" w:type="auto"/>
            <w:gridSpan w:val="2"/>
            <w:tcBorders>
              <w:top w:val="nil"/>
              <w:left w:val="nil"/>
              <w:bottom w:val="nil"/>
              <w:right w:val="nil"/>
            </w:tcBorders>
            <w:shd w:val="clear" w:color="auto" w:fill="FFFFFF"/>
            <w:tcMar>
              <w:left w:w="67" w:type="dxa"/>
              <w:right w:w="67" w:type="dxa"/>
            </w:tcMar>
            <w:vAlign w:val="bottom"/>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Common mental disorder</w:t>
            </w:r>
          </w:p>
        </w:tc>
        <w:tc>
          <w:tcPr>
            <w:tcW w:w="0" w:type="auto"/>
            <w:gridSpan w:val="2"/>
            <w:tcBorders>
              <w:top w:val="nil"/>
              <w:left w:val="nil"/>
              <w:bottom w:val="nil"/>
              <w:right w:val="nil"/>
            </w:tcBorders>
            <w:shd w:val="clear" w:color="auto" w:fill="FFFFFF"/>
            <w:tcMar>
              <w:left w:w="67" w:type="dxa"/>
              <w:right w:w="67" w:type="dxa"/>
            </w:tcMar>
            <w:vAlign w:val="bottom"/>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Hypertension</w:t>
            </w:r>
          </w:p>
        </w:tc>
        <w:tc>
          <w:tcPr>
            <w:tcW w:w="0" w:type="auto"/>
            <w:gridSpan w:val="2"/>
            <w:tcBorders>
              <w:top w:val="nil"/>
              <w:left w:val="nil"/>
              <w:bottom w:val="nil"/>
              <w:right w:val="nil"/>
            </w:tcBorders>
            <w:shd w:val="clear" w:color="auto" w:fill="FFFFFF"/>
            <w:tcMar>
              <w:left w:w="67" w:type="dxa"/>
              <w:right w:w="67" w:type="dxa"/>
            </w:tcMar>
            <w:vAlign w:val="bottom"/>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Obesity</w:t>
            </w:r>
          </w:p>
        </w:tc>
        <w:tc>
          <w:tcPr>
            <w:tcW w:w="0" w:type="auto"/>
            <w:gridSpan w:val="2"/>
            <w:tcBorders>
              <w:top w:val="nil"/>
              <w:left w:val="nil"/>
              <w:bottom w:val="nil"/>
              <w:right w:val="nil"/>
            </w:tcBorders>
            <w:shd w:val="clear" w:color="auto" w:fill="FFFFFF"/>
            <w:tcMar>
              <w:left w:w="67" w:type="dxa"/>
              <w:right w:w="67" w:type="dxa"/>
            </w:tcMar>
            <w:vAlign w:val="bottom"/>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High cholesterol</w:t>
            </w:r>
          </w:p>
        </w:tc>
      </w:tr>
      <w:tr w:rsidR="0000776C" w:rsidRPr="0000776C" w:rsidTr="0000776C">
        <w:tblPrEx>
          <w:tblCellMar>
            <w:top w:w="0" w:type="dxa"/>
            <w:left w:w="0" w:type="dxa"/>
            <w:bottom w:w="0" w:type="dxa"/>
            <w:right w:w="0" w:type="dxa"/>
          </w:tblCellMar>
        </w:tblPrEx>
        <w:trPr>
          <w:cantSplit/>
          <w:tblHeader/>
          <w:jc w:val="center"/>
        </w:trPr>
        <w:tc>
          <w:tcPr>
            <w:tcW w:w="0" w:type="auto"/>
            <w:tcBorders>
              <w:top w:val="nil"/>
              <w:left w:val="nil"/>
              <w:bottom w:val="single" w:sz="4" w:space="0" w:color="000000"/>
              <w:right w:val="nil"/>
            </w:tcBorders>
            <w:shd w:val="clear" w:color="auto" w:fill="FFFFFF"/>
            <w:tcMar>
              <w:left w:w="67" w:type="dxa"/>
              <w:right w:w="67" w:type="dxa"/>
            </w:tcMar>
            <w:vAlign w:val="bottom"/>
          </w:tcPr>
          <w:p w:rsidR="0000776C" w:rsidRPr="0000776C" w:rsidRDefault="0000776C" w:rsidP="0000776C">
            <w:pPr>
              <w:pStyle w:val="NoSpacing"/>
              <w:rPr>
                <w:rFonts w:ascii="Times New Roman" w:eastAsia="Times New Roman" w:hAnsi="Times New Roman" w:cs="Times New Roman"/>
                <w:bCs/>
                <w:sz w:val="24"/>
                <w:szCs w:val="24"/>
              </w:rPr>
            </w:pPr>
            <w:r w:rsidRPr="0000776C">
              <w:rPr>
                <w:rFonts w:ascii="Times New Roman" w:eastAsia="Times New Roman" w:hAnsi="Times New Roman" w:cs="Times New Roman"/>
                <w:bCs/>
                <w:sz w:val="24"/>
                <w:szCs w:val="24"/>
              </w:rPr>
              <w:t>Parents’ chronic condition status</w:t>
            </w:r>
          </w:p>
          <w:p w:rsidR="0000776C" w:rsidRPr="0000776C" w:rsidRDefault="0000776C" w:rsidP="0000776C">
            <w:pPr>
              <w:pStyle w:val="NoSpacing"/>
              <w:rPr>
                <w:rFonts w:ascii="Times New Roman" w:hAnsi="Times New Roman" w:cs="Times New Roman"/>
              </w:rPr>
            </w:pPr>
            <w:r w:rsidRPr="0000776C">
              <w:rPr>
                <w:rFonts w:ascii="Times New Roman" w:eastAsia="Times New Roman" w:hAnsi="Times New Roman" w:cs="Times New Roman"/>
                <w:bCs/>
                <w:sz w:val="24"/>
                <w:szCs w:val="24"/>
              </w:rPr>
              <w:t>(exposure)</w:t>
            </w:r>
          </w:p>
        </w:tc>
        <w:tc>
          <w:tcPr>
            <w:tcW w:w="0" w:type="auto"/>
            <w:tcBorders>
              <w:top w:val="nil"/>
              <w:left w:val="nil"/>
              <w:bottom w:val="single" w:sz="4" w:space="0" w:color="000000"/>
              <w:right w:val="nil"/>
            </w:tcBorders>
            <w:shd w:val="clear" w:color="auto" w:fill="FFFFFF"/>
            <w:tcMar>
              <w:left w:w="67" w:type="dxa"/>
              <w:right w:w="67" w:type="dxa"/>
            </w:tcMar>
            <w:vAlign w:val="bottom"/>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OR (95% CI)</w:t>
            </w:r>
          </w:p>
        </w:tc>
        <w:tc>
          <w:tcPr>
            <w:tcW w:w="0" w:type="auto"/>
            <w:tcBorders>
              <w:top w:val="nil"/>
              <w:left w:val="nil"/>
              <w:bottom w:val="single" w:sz="4" w:space="0" w:color="000000"/>
              <w:right w:val="nil"/>
            </w:tcBorders>
            <w:shd w:val="clear" w:color="auto" w:fill="FFFFFF"/>
            <w:tcMar>
              <w:left w:w="67" w:type="dxa"/>
              <w:right w:w="67" w:type="dxa"/>
            </w:tcMar>
            <w:vAlign w:val="bottom"/>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p</w:t>
            </w:r>
          </w:p>
        </w:tc>
        <w:tc>
          <w:tcPr>
            <w:tcW w:w="0" w:type="auto"/>
            <w:tcBorders>
              <w:top w:val="nil"/>
              <w:left w:val="nil"/>
              <w:bottom w:val="single" w:sz="4" w:space="0" w:color="000000"/>
              <w:right w:val="nil"/>
            </w:tcBorders>
            <w:shd w:val="clear" w:color="auto" w:fill="FFFFFF"/>
            <w:tcMar>
              <w:left w:w="67" w:type="dxa"/>
              <w:right w:w="67" w:type="dxa"/>
            </w:tcMar>
            <w:vAlign w:val="bottom"/>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OR (95% CI)</w:t>
            </w:r>
          </w:p>
        </w:tc>
        <w:tc>
          <w:tcPr>
            <w:tcW w:w="0" w:type="auto"/>
            <w:tcBorders>
              <w:top w:val="nil"/>
              <w:left w:val="nil"/>
              <w:bottom w:val="single" w:sz="4" w:space="0" w:color="000000"/>
              <w:right w:val="nil"/>
            </w:tcBorders>
            <w:shd w:val="clear" w:color="auto" w:fill="FFFFFF"/>
            <w:tcMar>
              <w:left w:w="67" w:type="dxa"/>
              <w:right w:w="67" w:type="dxa"/>
            </w:tcMar>
            <w:vAlign w:val="bottom"/>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p</w:t>
            </w:r>
          </w:p>
        </w:tc>
        <w:tc>
          <w:tcPr>
            <w:tcW w:w="0" w:type="auto"/>
            <w:tcBorders>
              <w:top w:val="nil"/>
              <w:left w:val="nil"/>
              <w:bottom w:val="single" w:sz="4" w:space="0" w:color="000000"/>
              <w:right w:val="nil"/>
            </w:tcBorders>
            <w:shd w:val="clear" w:color="auto" w:fill="FFFFFF"/>
            <w:tcMar>
              <w:left w:w="67" w:type="dxa"/>
              <w:right w:w="67" w:type="dxa"/>
            </w:tcMar>
            <w:vAlign w:val="bottom"/>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OR (95% CI)</w:t>
            </w:r>
          </w:p>
        </w:tc>
        <w:tc>
          <w:tcPr>
            <w:tcW w:w="0" w:type="auto"/>
            <w:tcBorders>
              <w:top w:val="nil"/>
              <w:left w:val="nil"/>
              <w:bottom w:val="single" w:sz="4" w:space="0" w:color="000000"/>
              <w:right w:val="nil"/>
            </w:tcBorders>
            <w:shd w:val="clear" w:color="auto" w:fill="FFFFFF"/>
            <w:tcMar>
              <w:left w:w="67" w:type="dxa"/>
              <w:right w:w="67" w:type="dxa"/>
            </w:tcMar>
            <w:vAlign w:val="bottom"/>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p</w:t>
            </w:r>
          </w:p>
        </w:tc>
        <w:tc>
          <w:tcPr>
            <w:tcW w:w="0" w:type="auto"/>
            <w:tcBorders>
              <w:top w:val="nil"/>
              <w:left w:val="nil"/>
              <w:bottom w:val="single" w:sz="4" w:space="0" w:color="000000"/>
              <w:right w:val="nil"/>
            </w:tcBorders>
            <w:shd w:val="clear" w:color="auto" w:fill="FFFFFF"/>
            <w:tcMar>
              <w:left w:w="67" w:type="dxa"/>
              <w:right w:w="67" w:type="dxa"/>
            </w:tcMar>
            <w:vAlign w:val="bottom"/>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OR (95% CI)</w:t>
            </w:r>
          </w:p>
        </w:tc>
        <w:tc>
          <w:tcPr>
            <w:tcW w:w="0" w:type="auto"/>
            <w:tcBorders>
              <w:top w:val="nil"/>
              <w:left w:val="nil"/>
              <w:bottom w:val="single" w:sz="4" w:space="0" w:color="000000"/>
              <w:right w:val="nil"/>
            </w:tcBorders>
            <w:shd w:val="clear" w:color="auto" w:fill="FFFFFF"/>
            <w:tcMar>
              <w:left w:w="67" w:type="dxa"/>
              <w:right w:w="67" w:type="dxa"/>
            </w:tcMar>
            <w:vAlign w:val="bottom"/>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p</w:t>
            </w:r>
          </w:p>
        </w:tc>
        <w:tc>
          <w:tcPr>
            <w:tcW w:w="0" w:type="auto"/>
            <w:tcBorders>
              <w:top w:val="nil"/>
              <w:left w:val="nil"/>
              <w:bottom w:val="single" w:sz="4" w:space="0" w:color="000000"/>
              <w:right w:val="nil"/>
            </w:tcBorders>
            <w:shd w:val="clear" w:color="auto" w:fill="FFFFFF"/>
            <w:tcMar>
              <w:left w:w="67" w:type="dxa"/>
              <w:right w:w="67" w:type="dxa"/>
            </w:tcMar>
            <w:vAlign w:val="bottom"/>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OR (95% CI)</w:t>
            </w:r>
          </w:p>
        </w:tc>
        <w:tc>
          <w:tcPr>
            <w:tcW w:w="0" w:type="auto"/>
            <w:tcBorders>
              <w:top w:val="nil"/>
              <w:left w:val="nil"/>
              <w:bottom w:val="single" w:sz="4" w:space="0" w:color="000000"/>
              <w:right w:val="nil"/>
            </w:tcBorders>
            <w:shd w:val="clear" w:color="auto" w:fill="FFFFFF"/>
            <w:tcMar>
              <w:left w:w="67" w:type="dxa"/>
              <w:right w:w="67" w:type="dxa"/>
            </w:tcMar>
            <w:vAlign w:val="bottom"/>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p</w:t>
            </w:r>
          </w:p>
        </w:tc>
        <w:tc>
          <w:tcPr>
            <w:tcW w:w="0" w:type="auto"/>
            <w:tcBorders>
              <w:top w:val="nil"/>
              <w:left w:val="nil"/>
              <w:bottom w:val="single" w:sz="4" w:space="0" w:color="000000"/>
              <w:right w:val="nil"/>
            </w:tcBorders>
            <w:shd w:val="clear" w:color="auto" w:fill="FFFFFF"/>
            <w:tcMar>
              <w:left w:w="67" w:type="dxa"/>
              <w:right w:w="67" w:type="dxa"/>
            </w:tcMar>
            <w:vAlign w:val="bottom"/>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OR (95% CI)</w:t>
            </w:r>
          </w:p>
        </w:tc>
        <w:tc>
          <w:tcPr>
            <w:tcW w:w="0" w:type="auto"/>
            <w:tcBorders>
              <w:top w:val="nil"/>
              <w:left w:val="nil"/>
              <w:bottom w:val="single" w:sz="4" w:space="0" w:color="000000"/>
              <w:right w:val="nil"/>
            </w:tcBorders>
            <w:shd w:val="clear" w:color="auto" w:fill="FFFFFF"/>
            <w:tcMar>
              <w:left w:w="67" w:type="dxa"/>
              <w:right w:w="67" w:type="dxa"/>
            </w:tcMar>
            <w:vAlign w:val="bottom"/>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p</w:t>
            </w:r>
          </w:p>
        </w:tc>
      </w:tr>
      <w:tr w:rsidR="0000776C" w:rsidRPr="0000776C" w:rsidTr="0000776C">
        <w:tblPrEx>
          <w:tblCellMar>
            <w:top w:w="0" w:type="dxa"/>
            <w:left w:w="0" w:type="dxa"/>
            <w:bottom w:w="0" w:type="dxa"/>
            <w:right w:w="0" w:type="dxa"/>
          </w:tblCellMar>
        </w:tblPrEx>
        <w:trPr>
          <w:cantSplit/>
          <w:jc w:val="center"/>
        </w:trPr>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rPr>
                <w:rFonts w:ascii="Times New Roman" w:hAnsi="Times New Roman" w:cs="Times New Roman"/>
              </w:rPr>
            </w:pPr>
            <w:r w:rsidRPr="0000776C">
              <w:rPr>
                <w:rFonts w:ascii="Times New Roman" w:hAnsi="Times New Roman" w:cs="Times New Roman"/>
              </w:rPr>
              <w:t>Any chronic condition</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1.27 (0.98-1.64)</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0.08</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0.77 (0.50-1.18)</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0.23</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1.25 (0.72-2.17)</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0.43</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1.53 (1.10-2.13)</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0.01</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1.75 (0.90-3.42)</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0.10</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1.71 (0.86-3.40)</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0.13</w:t>
            </w:r>
          </w:p>
        </w:tc>
      </w:tr>
      <w:tr w:rsidR="0000776C" w:rsidRPr="0000776C" w:rsidTr="0000776C">
        <w:tblPrEx>
          <w:tblCellMar>
            <w:top w:w="0" w:type="dxa"/>
            <w:left w:w="0" w:type="dxa"/>
            <w:bottom w:w="0" w:type="dxa"/>
            <w:right w:w="0" w:type="dxa"/>
          </w:tblCellMar>
        </w:tblPrEx>
        <w:trPr>
          <w:cantSplit/>
          <w:jc w:val="center"/>
        </w:trPr>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rPr>
                <w:rFonts w:ascii="Times New Roman" w:hAnsi="Times New Roman" w:cs="Times New Roman"/>
              </w:rPr>
            </w:pPr>
            <w:r w:rsidRPr="0000776C">
              <w:rPr>
                <w:rFonts w:ascii="Times New Roman" w:hAnsi="Times New Roman" w:cs="Times New Roman"/>
              </w:rPr>
              <w:t>Diabetes</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1.55 (1.09-2.22)</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0.02</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0.64 (0.33-1.24)</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0.19</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1.22 (0.59-2.52)</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0.58</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2.12 (1.39-3.23)</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&lt;.01</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1.78 (0.86-3.69)</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0.12</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1.59 (0.66-3.80)</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0.30</w:t>
            </w:r>
          </w:p>
        </w:tc>
      </w:tr>
      <w:tr w:rsidR="0000776C" w:rsidRPr="0000776C" w:rsidTr="0000776C">
        <w:tblPrEx>
          <w:tblCellMar>
            <w:top w:w="0" w:type="dxa"/>
            <w:left w:w="0" w:type="dxa"/>
            <w:bottom w:w="0" w:type="dxa"/>
            <w:right w:w="0" w:type="dxa"/>
          </w:tblCellMar>
        </w:tblPrEx>
        <w:trPr>
          <w:cantSplit/>
          <w:jc w:val="center"/>
        </w:trPr>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rPr>
                <w:rFonts w:ascii="Times New Roman" w:hAnsi="Times New Roman" w:cs="Times New Roman"/>
              </w:rPr>
            </w:pPr>
            <w:r w:rsidRPr="0000776C">
              <w:rPr>
                <w:rFonts w:ascii="Times New Roman" w:hAnsi="Times New Roman" w:cs="Times New Roman"/>
              </w:rPr>
              <w:t>Common mental disorder</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1.42 (1.02-1.99)</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0.04</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1.29 (0.63-2.62)</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0.48</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2.30 (1.41-3.76)</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&lt;.01</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1.27 (0.79-2.04)</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0.32</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0.89 (0.43-1.86)</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0.76</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0.59 (0.25-1.38)</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0.23</w:t>
            </w:r>
          </w:p>
        </w:tc>
      </w:tr>
      <w:tr w:rsidR="0000776C" w:rsidRPr="0000776C" w:rsidTr="0000776C">
        <w:tblPrEx>
          <w:tblCellMar>
            <w:top w:w="0" w:type="dxa"/>
            <w:left w:w="0" w:type="dxa"/>
            <w:bottom w:w="0" w:type="dxa"/>
            <w:right w:w="0" w:type="dxa"/>
          </w:tblCellMar>
        </w:tblPrEx>
        <w:trPr>
          <w:cantSplit/>
          <w:jc w:val="center"/>
        </w:trPr>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rPr>
                <w:rFonts w:ascii="Times New Roman" w:hAnsi="Times New Roman" w:cs="Times New Roman"/>
              </w:rPr>
            </w:pPr>
            <w:r w:rsidRPr="0000776C">
              <w:rPr>
                <w:rFonts w:ascii="Times New Roman" w:hAnsi="Times New Roman" w:cs="Times New Roman"/>
              </w:rPr>
              <w:t>Hypertension</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1.43 (1.13-1.82)</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&lt;.01</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0.67 (0.45-1.02)</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0.06</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1.41 (0.87-2.30)</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0.17</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1.77 (1.31-2.40)</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&lt;.01</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1.80 (1.01-3.21)</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0.05</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1.79 (0.95-3.37)</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0.07</w:t>
            </w:r>
          </w:p>
        </w:tc>
      </w:tr>
      <w:tr w:rsidR="0000776C" w:rsidRPr="0000776C" w:rsidTr="0000776C">
        <w:tblPrEx>
          <w:tblCellMar>
            <w:top w:w="0" w:type="dxa"/>
            <w:left w:w="0" w:type="dxa"/>
            <w:bottom w:w="0" w:type="dxa"/>
            <w:right w:w="0" w:type="dxa"/>
          </w:tblCellMar>
        </w:tblPrEx>
        <w:trPr>
          <w:cantSplit/>
          <w:jc w:val="center"/>
        </w:trPr>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rPr>
                <w:rFonts w:ascii="Times New Roman" w:hAnsi="Times New Roman" w:cs="Times New Roman"/>
              </w:rPr>
            </w:pPr>
            <w:r w:rsidRPr="0000776C">
              <w:rPr>
                <w:rFonts w:ascii="Times New Roman" w:hAnsi="Times New Roman" w:cs="Times New Roman"/>
              </w:rPr>
              <w:t>Obesity</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1.28 (0.92-1.79)</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0.15</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0.50 (0.26-0.96)</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0.04</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0.92 (0.50-1.69)</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0.78</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1.15 (0.74-1.78)</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0.54</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5.12 (2.81-9.34)</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&lt;.01</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1.57 (0.64-3.87)</w:t>
            </w:r>
          </w:p>
        </w:tc>
        <w:tc>
          <w:tcPr>
            <w:tcW w:w="0" w:type="auto"/>
            <w:tcBorders>
              <w:top w:val="nil"/>
              <w:left w:val="nil"/>
              <w:bottom w:val="nil"/>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0.33</w:t>
            </w:r>
          </w:p>
        </w:tc>
      </w:tr>
      <w:tr w:rsidR="0000776C" w:rsidRPr="0000776C" w:rsidTr="0000776C">
        <w:tblPrEx>
          <w:tblCellMar>
            <w:top w:w="0" w:type="dxa"/>
            <w:left w:w="0" w:type="dxa"/>
            <w:bottom w:w="0" w:type="dxa"/>
            <w:right w:w="0" w:type="dxa"/>
          </w:tblCellMar>
        </w:tblPrEx>
        <w:trPr>
          <w:cantSplit/>
          <w:jc w:val="center"/>
        </w:trPr>
        <w:tc>
          <w:tcPr>
            <w:tcW w:w="0" w:type="auto"/>
            <w:tcBorders>
              <w:top w:val="nil"/>
              <w:left w:val="nil"/>
              <w:bottom w:val="single" w:sz="4" w:space="0" w:color="000000"/>
              <w:right w:val="nil"/>
            </w:tcBorders>
            <w:shd w:val="clear" w:color="auto" w:fill="FFFFFF"/>
            <w:tcMar>
              <w:left w:w="67" w:type="dxa"/>
              <w:right w:w="67" w:type="dxa"/>
            </w:tcMar>
          </w:tcPr>
          <w:p w:rsidR="0000776C" w:rsidRPr="0000776C" w:rsidRDefault="0000776C" w:rsidP="0000776C">
            <w:pPr>
              <w:pStyle w:val="NoSpacing"/>
              <w:rPr>
                <w:rFonts w:ascii="Times New Roman" w:hAnsi="Times New Roman" w:cs="Times New Roman"/>
              </w:rPr>
            </w:pPr>
            <w:r w:rsidRPr="0000776C">
              <w:rPr>
                <w:rFonts w:ascii="Times New Roman" w:hAnsi="Times New Roman" w:cs="Times New Roman"/>
              </w:rPr>
              <w:t>High cholesterol</w:t>
            </w:r>
          </w:p>
        </w:tc>
        <w:tc>
          <w:tcPr>
            <w:tcW w:w="0" w:type="auto"/>
            <w:tcBorders>
              <w:top w:val="nil"/>
              <w:left w:val="nil"/>
              <w:bottom w:val="single" w:sz="4" w:space="0" w:color="000000"/>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1.21 (0.82-1.80)</w:t>
            </w:r>
          </w:p>
        </w:tc>
        <w:tc>
          <w:tcPr>
            <w:tcW w:w="0" w:type="auto"/>
            <w:tcBorders>
              <w:top w:val="nil"/>
              <w:left w:val="nil"/>
              <w:bottom w:val="single" w:sz="4" w:space="0" w:color="000000"/>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0.34</w:t>
            </w:r>
          </w:p>
        </w:tc>
        <w:tc>
          <w:tcPr>
            <w:tcW w:w="0" w:type="auto"/>
            <w:tcBorders>
              <w:top w:val="nil"/>
              <w:left w:val="nil"/>
              <w:bottom w:val="single" w:sz="4" w:space="0" w:color="000000"/>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1.61 (0.88-2.94)</w:t>
            </w:r>
          </w:p>
        </w:tc>
        <w:tc>
          <w:tcPr>
            <w:tcW w:w="0" w:type="auto"/>
            <w:tcBorders>
              <w:top w:val="nil"/>
              <w:left w:val="nil"/>
              <w:bottom w:val="single" w:sz="4" w:space="0" w:color="000000"/>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0.12</w:t>
            </w:r>
          </w:p>
        </w:tc>
        <w:tc>
          <w:tcPr>
            <w:tcW w:w="0" w:type="auto"/>
            <w:tcBorders>
              <w:top w:val="nil"/>
              <w:left w:val="nil"/>
              <w:bottom w:val="single" w:sz="4" w:space="0" w:color="000000"/>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1.11 (0.53-2.31)</w:t>
            </w:r>
          </w:p>
        </w:tc>
        <w:tc>
          <w:tcPr>
            <w:tcW w:w="0" w:type="auto"/>
            <w:tcBorders>
              <w:top w:val="nil"/>
              <w:left w:val="nil"/>
              <w:bottom w:val="single" w:sz="4" w:space="0" w:color="000000"/>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0.79</w:t>
            </w:r>
          </w:p>
        </w:tc>
        <w:tc>
          <w:tcPr>
            <w:tcW w:w="0" w:type="auto"/>
            <w:tcBorders>
              <w:top w:val="nil"/>
              <w:left w:val="nil"/>
              <w:bottom w:val="single" w:sz="4" w:space="0" w:color="000000"/>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0.99 (0.58-1.68)</w:t>
            </w:r>
          </w:p>
        </w:tc>
        <w:tc>
          <w:tcPr>
            <w:tcW w:w="0" w:type="auto"/>
            <w:tcBorders>
              <w:top w:val="nil"/>
              <w:left w:val="nil"/>
              <w:bottom w:val="single" w:sz="4" w:space="0" w:color="000000"/>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0.97</w:t>
            </w:r>
          </w:p>
        </w:tc>
        <w:tc>
          <w:tcPr>
            <w:tcW w:w="0" w:type="auto"/>
            <w:tcBorders>
              <w:top w:val="nil"/>
              <w:left w:val="nil"/>
              <w:bottom w:val="single" w:sz="4" w:space="0" w:color="000000"/>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1.01 (0.35-2.94)</w:t>
            </w:r>
          </w:p>
        </w:tc>
        <w:tc>
          <w:tcPr>
            <w:tcW w:w="0" w:type="auto"/>
            <w:tcBorders>
              <w:top w:val="nil"/>
              <w:left w:val="nil"/>
              <w:bottom w:val="single" w:sz="4" w:space="0" w:color="000000"/>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0.99</w:t>
            </w:r>
          </w:p>
        </w:tc>
        <w:tc>
          <w:tcPr>
            <w:tcW w:w="0" w:type="auto"/>
            <w:tcBorders>
              <w:top w:val="nil"/>
              <w:left w:val="nil"/>
              <w:bottom w:val="single" w:sz="4" w:space="0" w:color="000000"/>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2.74 (1.27-5.90)</w:t>
            </w:r>
          </w:p>
        </w:tc>
        <w:tc>
          <w:tcPr>
            <w:tcW w:w="0" w:type="auto"/>
            <w:tcBorders>
              <w:top w:val="nil"/>
              <w:left w:val="nil"/>
              <w:bottom w:val="single" w:sz="4" w:space="0" w:color="000000"/>
              <w:right w:val="nil"/>
            </w:tcBorders>
            <w:shd w:val="clear" w:color="auto" w:fill="FFFFFF"/>
            <w:tcMar>
              <w:left w:w="67" w:type="dxa"/>
              <w:right w:w="67" w:type="dxa"/>
            </w:tcMar>
          </w:tcPr>
          <w:p w:rsidR="0000776C" w:rsidRPr="0000776C" w:rsidRDefault="0000776C" w:rsidP="0000776C">
            <w:pPr>
              <w:pStyle w:val="NoSpacing"/>
              <w:jc w:val="center"/>
              <w:rPr>
                <w:rFonts w:ascii="Times New Roman" w:hAnsi="Times New Roman" w:cs="Times New Roman"/>
              </w:rPr>
            </w:pPr>
            <w:r w:rsidRPr="0000776C">
              <w:rPr>
                <w:rFonts w:ascii="Times New Roman" w:hAnsi="Times New Roman" w:cs="Times New Roman"/>
              </w:rPr>
              <w:t>&lt;.01</w:t>
            </w:r>
          </w:p>
        </w:tc>
      </w:tr>
    </w:tbl>
    <w:p w:rsidR="00D54FCF" w:rsidRDefault="00D54FCF" w:rsidP="00D54FCF">
      <w:pPr>
        <w:spacing w:after="0" w:line="240" w:lineRule="auto"/>
        <w:rPr>
          <w:rFonts w:ascii="Times New Roman" w:eastAsia="Calibri" w:hAnsi="Times New Roman" w:cs="Times New Roman"/>
          <w:sz w:val="24"/>
        </w:rPr>
      </w:pPr>
    </w:p>
    <w:p w:rsidR="00992F48" w:rsidRDefault="00D54FCF">
      <w:bookmarkStart w:id="0" w:name="_GoBack"/>
      <w:bookmarkEnd w:id="0"/>
      <w:r w:rsidRPr="00D54FCF">
        <w:rPr>
          <w:rFonts w:ascii="Times New Roman" w:eastAsia="Calibri" w:hAnsi="Times New Roman" w:cs="Times New Roman"/>
          <w:sz w:val="24"/>
          <w:lang w:val="en-IN"/>
        </w:rPr>
        <w:t>Notes: Data from 1660 parents and co-residing adult children in 1199 households contributed to each model. Chronic conditions were defined as follows: diabetes, fasting plasma glucose≥126 mg/</w:t>
      </w:r>
      <w:proofErr w:type="spellStart"/>
      <w:r w:rsidRPr="00D54FCF">
        <w:rPr>
          <w:rFonts w:ascii="Times New Roman" w:eastAsia="Calibri" w:hAnsi="Times New Roman" w:cs="Times New Roman"/>
          <w:sz w:val="24"/>
          <w:lang w:val="en-IN"/>
        </w:rPr>
        <w:t>dL</w:t>
      </w:r>
      <w:proofErr w:type="spellEnd"/>
      <w:r w:rsidRPr="00D54FCF">
        <w:rPr>
          <w:rFonts w:ascii="Times New Roman" w:eastAsia="Calibri" w:hAnsi="Times New Roman" w:cs="Times New Roman"/>
          <w:sz w:val="24"/>
          <w:lang w:val="en-IN"/>
        </w:rPr>
        <w:t xml:space="preserve"> or taking medication; common mental disorder, General Health Questionnaire score ≥ 12; hypertension, blood pressure  ≥ 140/90 mmHg or taking medication; obesity, body mass index ≥30 kg/m</w:t>
      </w:r>
      <w:r w:rsidRPr="00D54FCF">
        <w:rPr>
          <w:rFonts w:ascii="Times New Roman" w:eastAsia="Calibri" w:hAnsi="Times New Roman" w:cs="Times New Roman"/>
          <w:sz w:val="24"/>
          <w:vertAlign w:val="superscript"/>
          <w:lang w:val="en-IN"/>
        </w:rPr>
        <w:t>2</w:t>
      </w:r>
      <w:r w:rsidRPr="00D54FCF">
        <w:rPr>
          <w:rFonts w:ascii="Times New Roman" w:eastAsia="Calibri" w:hAnsi="Times New Roman" w:cs="Times New Roman"/>
          <w:sz w:val="24"/>
          <w:lang w:val="en-IN"/>
        </w:rPr>
        <w:t>; high cholesterol, total blood cholesterol ≥ 240 mg/</w:t>
      </w:r>
      <w:proofErr w:type="spellStart"/>
      <w:r w:rsidRPr="00D54FCF">
        <w:rPr>
          <w:rFonts w:ascii="Times New Roman" w:eastAsia="Calibri" w:hAnsi="Times New Roman" w:cs="Times New Roman"/>
          <w:sz w:val="24"/>
          <w:lang w:val="en-IN"/>
        </w:rPr>
        <w:t>dL</w:t>
      </w:r>
      <w:proofErr w:type="spellEnd"/>
      <w:r w:rsidRPr="00D54FCF">
        <w:rPr>
          <w:rFonts w:ascii="Times New Roman" w:eastAsia="Calibri" w:hAnsi="Times New Roman" w:cs="Times New Roman"/>
          <w:sz w:val="24"/>
          <w:lang w:val="en-IN"/>
        </w:rPr>
        <w:t xml:space="preserve"> or taking medication. Parental chronic conditions status was coded as positive if one or both parents had the condition. The diagonal cells show the odds ratios for the same condition and the off-diagonal cells show the odds ratios for differing conditions between the parent and the adult child. Data from Madhya Pradesh were excluded from the common mental disorder analyses.</w:t>
      </w:r>
    </w:p>
    <w:sectPr w:rsidR="00992F48" w:rsidSect="00D54F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CF"/>
    <w:rsid w:val="0000776C"/>
    <w:rsid w:val="00354057"/>
    <w:rsid w:val="00845A1C"/>
    <w:rsid w:val="00992F48"/>
    <w:rsid w:val="00D54FCF"/>
    <w:rsid w:val="00E26521"/>
    <w:rsid w:val="00EE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84B9"/>
  <w15:chartTrackingRefBased/>
  <w15:docId w15:val="{62E06A9D-B2C1-4492-A2DB-D7247B2D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52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92F48"/>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Shivani A</dc:creator>
  <cp:keywords/>
  <dc:description/>
  <cp:lastModifiedBy>Patel, Shivani A</cp:lastModifiedBy>
  <cp:revision>2</cp:revision>
  <dcterms:created xsi:type="dcterms:W3CDTF">2017-08-15T13:05:00Z</dcterms:created>
  <dcterms:modified xsi:type="dcterms:W3CDTF">2017-09-05T20:17:00Z</dcterms:modified>
</cp:coreProperties>
</file>