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4" w:rsidRDefault="00F72316">
      <w:pPr>
        <w:pStyle w:val="Heading1"/>
        <w:spacing w:line="480" w:lineRule="auto"/>
        <w:contextualSpacing w:val="0"/>
      </w:pPr>
      <w:bookmarkStart w:id="0" w:name="_xs8mk5mck4c" w:colFirst="0" w:colLast="0"/>
      <w:bookmarkEnd w:id="0"/>
      <w:r>
        <w:t>S4 Fig</w:t>
      </w:r>
    </w:p>
    <w:p w:rsidR="00DB5F34" w:rsidRDefault="00F72316">
      <w:pPr>
        <w:pStyle w:val="Heading2"/>
        <w:spacing w:line="480" w:lineRule="auto"/>
        <w:contextualSpacing w:val="0"/>
      </w:pPr>
      <w:bookmarkStart w:id="1" w:name="_nmgtdu3tmaeb" w:colFirst="0" w:colLast="0"/>
      <w:bookmarkEnd w:id="1"/>
      <w:r>
        <w:t>S4A Fig</w:t>
      </w:r>
    </w:p>
    <w:p w:rsidR="00DB5F34" w:rsidRDefault="00F72316">
      <w:pPr>
        <w:pStyle w:val="normal0"/>
        <w:spacing w:line="480" w:lineRule="auto"/>
        <w:rPr>
          <w:sz w:val="21"/>
          <w:szCs w:val="21"/>
          <w:highlight w:val="white"/>
        </w:rPr>
      </w:pPr>
      <w:r>
        <w:rPr>
          <w:noProof/>
        </w:rPr>
        <w:drawing>
          <wp:inline distT="19050" distB="19050" distL="19050" distR="19050">
            <wp:extent cx="3810000" cy="3784600"/>
            <wp:effectExtent l="0" t="0" r="0" b="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8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F34" w:rsidRDefault="00F72316">
      <w:pPr>
        <w:pStyle w:val="normal0"/>
        <w:spacing w:line="480" w:lineRule="auto"/>
      </w:pPr>
      <w:r>
        <w:t xml:space="preserve">PD-L1 IC staining as reported by the sponsor in the published study </w:t>
      </w:r>
      <w:hyperlink r:id="rId5">
        <w:r>
          <w:t>(2)</w:t>
        </w:r>
      </w:hyperlink>
      <w:r>
        <w:t xml:space="preserve"> and outcome in our cohort were significantly associated in this sub-study (</w:t>
      </w:r>
      <w:hyperlink r:id="rId6">
        <w:r>
          <w:t>n=29, Spearman rho=0.48 p=0.0083</w:t>
        </w:r>
      </w:hyperlink>
      <w:r>
        <w:t>).</w:t>
      </w:r>
    </w:p>
    <w:p w:rsidR="00DB5F34" w:rsidRDefault="00DB5F34">
      <w:pPr>
        <w:pStyle w:val="normal0"/>
        <w:spacing w:line="480" w:lineRule="auto"/>
      </w:pPr>
    </w:p>
    <w:p w:rsidR="00DB5F34" w:rsidRDefault="00DB5F34">
      <w:pPr>
        <w:pStyle w:val="normal0"/>
        <w:spacing w:line="480" w:lineRule="auto"/>
      </w:pPr>
    </w:p>
    <w:p w:rsidR="00DB5F34" w:rsidRDefault="00F72316">
      <w:pPr>
        <w:pStyle w:val="normal0"/>
      </w:pPr>
      <w:r>
        <w:br w:type="page"/>
      </w:r>
    </w:p>
    <w:p w:rsidR="00DB5F34" w:rsidRDefault="00DB5F34">
      <w:pPr>
        <w:pStyle w:val="normal0"/>
        <w:spacing w:line="480" w:lineRule="auto"/>
      </w:pPr>
    </w:p>
    <w:p w:rsidR="00DB5F34" w:rsidRDefault="00F72316">
      <w:pPr>
        <w:pStyle w:val="Heading2"/>
        <w:spacing w:line="480" w:lineRule="auto"/>
        <w:contextualSpacing w:val="0"/>
      </w:pPr>
      <w:bookmarkStart w:id="2" w:name="_uwpy8wgfa613" w:colFirst="0" w:colLast="0"/>
      <w:bookmarkEnd w:id="2"/>
      <w:r>
        <w:t>S4B Fig</w:t>
      </w:r>
    </w:p>
    <w:p w:rsidR="00DB5F34" w:rsidRDefault="00F72316">
      <w:pPr>
        <w:pStyle w:val="normal0"/>
        <w:spacing w:line="480" w:lineRule="auto"/>
      </w:pPr>
      <w:r>
        <w:rPr>
          <w:noProof/>
        </w:rPr>
        <w:drawing>
          <wp:inline distT="19050" distB="19050" distL="19050" distR="19050">
            <wp:extent cx="4000500" cy="388620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88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F34" w:rsidRDefault="00F72316">
      <w:pPr>
        <w:pStyle w:val="normal0"/>
        <w:spacing w:line="480" w:lineRule="auto"/>
      </w:pPr>
      <w:proofErr w:type="spellStart"/>
      <w:r>
        <w:t>ImmuneScore</w:t>
      </w:r>
      <w:proofErr w:type="spellEnd"/>
      <w:r>
        <w:t xml:space="preserve"> was associated with TIL proportion (</w:t>
      </w:r>
      <w:hyperlink r:id="rId8">
        <w:r>
          <w:t>n=24, Spearman rho=0.47 p=0.022</w:t>
        </w:r>
      </w:hyperlink>
      <w:r>
        <w:t>).</w:t>
      </w:r>
    </w:p>
    <w:p w:rsidR="00DB5F34" w:rsidRDefault="00F72316">
      <w:pPr>
        <w:pStyle w:val="Heading2"/>
        <w:spacing w:line="480" w:lineRule="auto"/>
        <w:contextualSpacing w:val="0"/>
      </w:pPr>
      <w:bookmarkStart w:id="3" w:name="_d0vjoztrflov" w:colFirst="0" w:colLast="0"/>
      <w:bookmarkEnd w:id="3"/>
      <w:r>
        <w:lastRenderedPageBreak/>
        <w:t>S4C Fig</w:t>
      </w:r>
    </w:p>
    <w:p w:rsidR="00DB5F34" w:rsidRDefault="00F72316">
      <w:pPr>
        <w:pStyle w:val="normal0"/>
        <w:spacing w:line="480" w:lineRule="auto"/>
      </w:pPr>
      <w:r>
        <w:rPr>
          <w:noProof/>
        </w:rPr>
        <w:drawing>
          <wp:inline distT="19050" distB="19050" distL="19050" distR="19050">
            <wp:extent cx="4089400" cy="375920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F34" w:rsidRDefault="00F72316">
      <w:pPr>
        <w:pStyle w:val="normal0"/>
        <w:spacing w:line="480" w:lineRule="auto"/>
      </w:pPr>
      <w:r>
        <w:t xml:space="preserve">There was no association between </w:t>
      </w:r>
      <w:proofErr w:type="spellStart"/>
      <w:r>
        <w:t>ImmuneScore</w:t>
      </w:r>
      <w:proofErr w:type="spellEnd"/>
      <w:r>
        <w:t xml:space="preserve"> and </w:t>
      </w:r>
      <w:r>
        <w:t xml:space="preserve">DCB (DCB, </w:t>
      </w:r>
      <w:hyperlink r:id="rId10">
        <w:r>
          <w:t>764.37 (range -1195.08-1509.65)</w:t>
        </w:r>
      </w:hyperlink>
      <w:r>
        <w:rPr>
          <w:highlight w:val="white"/>
        </w:rPr>
        <w:t xml:space="preserve">; no DCB </w:t>
      </w:r>
      <w:hyperlink r:id="rId11">
        <w:r>
          <w:rPr>
            <w:highlight w:val="white"/>
          </w:rPr>
          <w:t>263.49 (range -1100.78-1734.28)</w:t>
        </w:r>
      </w:hyperlink>
      <w:r>
        <w:rPr>
          <w:highlight w:val="white"/>
        </w:rPr>
        <w:t xml:space="preserve"> (</w:t>
      </w:r>
      <w:hyperlink r:id="rId12">
        <w:r>
          <w:rPr>
            <w:highlight w:val="white"/>
          </w:rPr>
          <w:t>n=26, Mann-Whitney p=0.33</w:t>
        </w:r>
      </w:hyperlink>
      <w:r>
        <w:t>).</w:t>
      </w:r>
    </w:p>
    <w:p w:rsidR="00DB5F34" w:rsidRDefault="00DB5F34">
      <w:pPr>
        <w:pStyle w:val="Heading2"/>
        <w:spacing w:line="480" w:lineRule="auto"/>
        <w:contextualSpacing w:val="0"/>
      </w:pPr>
      <w:bookmarkStart w:id="4" w:name="_g04pv9lmghcj" w:colFirst="0" w:colLast="0"/>
      <w:bookmarkEnd w:id="4"/>
    </w:p>
    <w:p w:rsidR="00DB5F34" w:rsidRDefault="00F72316">
      <w:pPr>
        <w:pStyle w:val="normal0"/>
      </w:pPr>
      <w:r>
        <w:br w:type="page"/>
      </w:r>
    </w:p>
    <w:p w:rsidR="00DB5F34" w:rsidRDefault="00DB5F34">
      <w:pPr>
        <w:pStyle w:val="Heading2"/>
        <w:spacing w:line="480" w:lineRule="auto"/>
        <w:contextualSpacing w:val="0"/>
      </w:pPr>
      <w:bookmarkStart w:id="5" w:name="_6g0y9pf78sos" w:colFirst="0" w:colLast="0"/>
      <w:bookmarkEnd w:id="5"/>
    </w:p>
    <w:p w:rsidR="00DB5F34" w:rsidRDefault="00F72316">
      <w:pPr>
        <w:pStyle w:val="Heading2"/>
        <w:spacing w:line="480" w:lineRule="auto"/>
        <w:contextualSpacing w:val="0"/>
      </w:pPr>
      <w:bookmarkStart w:id="6" w:name="_g1cf468ws1cn" w:colFirst="0" w:colLast="0"/>
      <w:bookmarkEnd w:id="6"/>
      <w:r>
        <w:t>S4D Fig</w:t>
      </w:r>
    </w:p>
    <w:p w:rsidR="00DB5F34" w:rsidRDefault="00F72316">
      <w:pPr>
        <w:pStyle w:val="normal0"/>
        <w:spacing w:line="480" w:lineRule="auto"/>
      </w:pPr>
      <w:r>
        <w:rPr>
          <w:noProof/>
        </w:rPr>
        <w:drawing>
          <wp:inline distT="19050" distB="19050" distL="19050" distR="19050">
            <wp:extent cx="2501900" cy="25908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F34" w:rsidRDefault="00F72316">
      <w:pPr>
        <w:pStyle w:val="normal0"/>
        <w:spacing w:line="480" w:lineRule="auto"/>
      </w:pPr>
      <w:r>
        <w:t>PD-L1 expression as measured by RNA-seq was not associated with PD-L1 IC level (</w:t>
      </w:r>
      <w:hyperlink r:id="rId14">
        <w:r>
          <w:t>n=26, Spearman rho=0.045 p=0.83</w:t>
        </w:r>
      </w:hyperlink>
      <w:r>
        <w:t>). Tumor cell PD-L1 staining was not available.</w:t>
      </w: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Default="00F72316">
      <w:pPr>
        <w:pStyle w:val="normal0"/>
        <w:spacing w:line="480" w:lineRule="auto"/>
      </w:pPr>
    </w:p>
    <w:p w:rsidR="00F72316" w:rsidRPr="00F72316" w:rsidRDefault="00F72316">
      <w:pPr>
        <w:pStyle w:val="normal0"/>
        <w:spacing w:line="480" w:lineRule="auto"/>
        <w:rPr>
          <w:sz w:val="32"/>
          <w:szCs w:val="32"/>
        </w:rPr>
      </w:pPr>
      <w:r w:rsidRPr="00F72316">
        <w:rPr>
          <w:sz w:val="32"/>
          <w:szCs w:val="32"/>
        </w:rPr>
        <w:lastRenderedPageBreak/>
        <w:t>S4E Fig</w:t>
      </w:r>
    </w:p>
    <w:p w:rsidR="00DB5F34" w:rsidRDefault="00F72316">
      <w:pPr>
        <w:pStyle w:val="Heading2"/>
        <w:spacing w:line="480" w:lineRule="auto"/>
        <w:contextualSpacing w:val="0"/>
      </w:pPr>
      <w:bookmarkStart w:id="7" w:name="_jtidg5kutgag" w:colFirst="0" w:colLast="0"/>
      <w:bookmarkEnd w:id="7"/>
      <w:r>
        <w:rPr>
          <w:noProof/>
        </w:rPr>
        <w:drawing>
          <wp:inline distT="19050" distB="19050" distL="19050" distR="19050">
            <wp:extent cx="4216400" cy="201930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4216400" cy="201930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4216400" cy="20193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F34" w:rsidRDefault="00F72316" w:rsidP="00F72316">
      <w:pPr>
        <w:pStyle w:val="normal0"/>
        <w:spacing w:line="480" w:lineRule="auto"/>
      </w:pPr>
      <w:r>
        <w:t xml:space="preserve">HLA Class I expression was not associated with DCB (HLA-A: </w:t>
      </w:r>
      <w:hyperlink r:id="rId18">
        <w:r>
          <w:t>n=26, Mann-Whitney p=0.26</w:t>
        </w:r>
      </w:hyperlink>
      <w:r>
        <w:t xml:space="preserve">, HLA-B: </w:t>
      </w:r>
      <w:hyperlink r:id="rId19">
        <w:r>
          <w:t>n=26, Mann-Whitney p=0.36</w:t>
        </w:r>
      </w:hyperlink>
      <w:r>
        <w:t xml:space="preserve">, HLA-C: </w:t>
      </w:r>
      <w:hyperlink r:id="rId20">
        <w:r>
          <w:t>n=26, Mann-Whitney p=0.24</w:t>
        </w:r>
      </w:hyperlink>
      <w:r>
        <w:t>).</w:t>
      </w:r>
      <w:bookmarkStart w:id="8" w:name="_d2d081mfz61e" w:colFirst="0" w:colLast="0"/>
      <w:bookmarkEnd w:id="8"/>
    </w:p>
    <w:p w:rsidR="00DB5F34" w:rsidRDefault="00F72316">
      <w:pPr>
        <w:pStyle w:val="normal0"/>
      </w:pPr>
      <w:r>
        <w:br w:type="page"/>
      </w:r>
    </w:p>
    <w:p w:rsidR="00DB5F34" w:rsidRDefault="00DB5F34">
      <w:pPr>
        <w:pStyle w:val="Heading2"/>
        <w:spacing w:line="480" w:lineRule="auto"/>
        <w:contextualSpacing w:val="0"/>
      </w:pPr>
      <w:bookmarkStart w:id="9" w:name="_sejiw5u6eg93" w:colFirst="0" w:colLast="0"/>
      <w:bookmarkEnd w:id="9"/>
    </w:p>
    <w:p w:rsidR="00DB5F34" w:rsidRDefault="00F72316">
      <w:pPr>
        <w:pStyle w:val="Heading2"/>
        <w:spacing w:line="480" w:lineRule="auto"/>
        <w:contextualSpacing w:val="0"/>
      </w:pPr>
      <w:bookmarkStart w:id="10" w:name="_efqdbecsvlco" w:colFirst="0" w:colLast="0"/>
      <w:bookmarkEnd w:id="10"/>
      <w:r>
        <w:t>S4F Fig</w:t>
      </w:r>
    </w:p>
    <w:p w:rsidR="00DB5F34" w:rsidRDefault="00F72316">
      <w:pPr>
        <w:pStyle w:val="normal0"/>
        <w:spacing w:line="480" w:lineRule="auto"/>
      </w:pPr>
      <w:r>
        <w:rPr>
          <w:noProof/>
        </w:rPr>
        <w:drawing>
          <wp:inline distT="19050" distB="19050" distL="19050" distR="19050">
            <wp:extent cx="2349500" cy="6261100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626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F34" w:rsidRDefault="00F72316">
      <w:pPr>
        <w:pStyle w:val="normal0"/>
      </w:pPr>
      <w:r>
        <w:t xml:space="preserve">Expression of other inhibitory markers, in particular </w:t>
      </w:r>
      <w:r>
        <w:rPr>
          <w:i/>
        </w:rPr>
        <w:t>HAVCR2</w:t>
      </w:r>
      <w:r>
        <w:t xml:space="preserve"> (also known as </w:t>
      </w:r>
      <w:r>
        <w:rPr>
          <w:i/>
        </w:rPr>
        <w:t>TIM-3</w:t>
      </w:r>
      <w:r>
        <w:t>) was higher in DCB patients in the IC2 group.</w:t>
      </w:r>
      <w:r>
        <w:br w:type="page"/>
      </w:r>
    </w:p>
    <w:p w:rsidR="00DB5F34" w:rsidRDefault="00DB5F34">
      <w:pPr>
        <w:pStyle w:val="normal0"/>
        <w:spacing w:line="480" w:lineRule="auto"/>
      </w:pPr>
    </w:p>
    <w:p w:rsidR="00DB5F34" w:rsidRDefault="00F72316">
      <w:pPr>
        <w:pStyle w:val="Heading2"/>
        <w:spacing w:line="480" w:lineRule="auto"/>
        <w:contextualSpacing w:val="0"/>
      </w:pPr>
      <w:bookmarkStart w:id="11" w:name="_s6favgoim584" w:colFirst="0" w:colLast="0"/>
      <w:bookmarkEnd w:id="11"/>
      <w:r>
        <w:t>S4G Fig</w:t>
      </w:r>
    </w:p>
    <w:p w:rsidR="00DB5F34" w:rsidRDefault="00F72316">
      <w:pPr>
        <w:pStyle w:val="normal0"/>
        <w:spacing w:line="480" w:lineRule="auto"/>
      </w:pPr>
      <w:r>
        <w:rPr>
          <w:noProof/>
        </w:rPr>
        <w:drawing>
          <wp:inline distT="19050" distB="19050" distL="19050" distR="19050">
            <wp:extent cx="3670300" cy="37846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78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F34" w:rsidRDefault="00F72316">
      <w:pPr>
        <w:pStyle w:val="normal0"/>
        <w:spacing w:line="480" w:lineRule="auto"/>
      </w:pPr>
      <w:r>
        <w:t>No association was found between TCGA RNA Subtype and response in this sub-study (</w:t>
      </w:r>
      <w:hyperlink r:id="rId23">
        <w:r>
          <w:t>n=20, Fis</w:t>
        </w:r>
        <w:r>
          <w:t>her's Exact p=0.36</w:t>
        </w:r>
      </w:hyperlink>
      <w:r>
        <w:t>).</w:t>
      </w:r>
    </w:p>
    <w:sectPr w:rsidR="00DB5F34" w:rsidSect="00DB5F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B5F34"/>
    <w:rsid w:val="00DB5F34"/>
    <w:rsid w:val="00F7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B5F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B5F3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B5F3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B5F3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B5F3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B5F3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5F34"/>
  </w:style>
  <w:style w:type="paragraph" w:styleId="Title">
    <w:name w:val="Title"/>
    <w:basedOn w:val="normal0"/>
    <w:next w:val="normal0"/>
    <w:rsid w:val="00DB5F3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B5F3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ammerlab/bladder-analyses/blob/master/analyses/notebooks/ESTIMATE%20immune%20score.ipynb?hyper=estimate_tcellfraction_spearmanr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ithub.com/hammerlab/bladder-analyses/blob/master/analyses/notebooks/Kallisto%2BTximport%20HLA%20Expression.ipynb?hyper=HLA-A_mw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hyperlink" Target="https://github.com/hammerlab/bladder-analyses/blob/master/analyses/notebooks/ESTIMATE%20immune%20score.ipynb?hyper=estimate_immune_score_mw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github.com/hammerlab/bladder-analyses/blob/master/analyses/notebooks/Kallisto%2BTximport%20HLA%20Expression.ipynb?hyper=HLA-C_mw" TargetMode="External"/><Relationship Id="rId1" Type="http://schemas.openxmlformats.org/officeDocument/2006/relationships/styles" Target="styles.xml"/><Relationship Id="rId6" Type="http://schemas.openxmlformats.org/officeDocument/2006/relationships/hyperlink" Target="https://github.com/hammerlab/bladder-analyses/blob/master/analyses/notebooks/PD-L1%20vs.%20Benefit.ipynb?hyper=pdl1_any_vs_benefit_spearmanr" TargetMode="External"/><Relationship Id="rId11" Type="http://schemas.openxmlformats.org/officeDocument/2006/relationships/hyperlink" Target="https://github.com/hammerlab/bladder-analyses/blob/master/analyses/notebooks/ESTIMATE%20immune%20score.ipynb?hyper=estimate_immune_score_no_benefi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perpile.com/c/QI3NxB/AkjR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github.com/hammerlab/bladder-analyses/blob/master/analyses/notebooks/TCGA%20RNA%20Subtypes%20vs.%20Benefit.ipynb?hyper=four_clusters_fisher" TargetMode="External"/><Relationship Id="rId10" Type="http://schemas.openxmlformats.org/officeDocument/2006/relationships/hyperlink" Target="https://github.com/hammerlab/bladder-analyses/blob/master/analyses/notebooks/ESTIMATE%20immune%20score.ipynb?hyper=estimate_immune_score_benefit" TargetMode="External"/><Relationship Id="rId19" Type="http://schemas.openxmlformats.org/officeDocument/2006/relationships/hyperlink" Target="https://github.com/hammerlab/bladder-analyses/blob/master/analyses/notebooks/Kallisto%2BTximport%20HLA%20Expression.ipynb?hyper=HLA-B_m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github.com/hammerlab/bladder-analyses/blob/master/analyses/notebooks/Kallisto%2BTximport%20Exhaustion%20Markers.ipynb?hyper=tumor_pdl1_vs_ic_level_spearmanr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410</Words>
  <Characters>2341</Characters>
  <Application>Microsoft Office Word</Application>
  <DocSecurity>0</DocSecurity>
  <Lines>19</Lines>
  <Paragraphs>5</Paragraphs>
  <ScaleCrop>false</ScaleCrop>
  <Company>MSKCC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snyderca</cp:lastModifiedBy>
  <cp:revision>2</cp:revision>
  <dcterms:created xsi:type="dcterms:W3CDTF">2017-04-14T22:54:00Z</dcterms:created>
  <dcterms:modified xsi:type="dcterms:W3CDTF">2017-04-14T22:55:00Z</dcterms:modified>
</cp:coreProperties>
</file>