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spacing w:line="480" w:lineRule="auto"/>
        <w:contextualSpacing w:val="0"/>
        <w:rPr/>
      </w:pPr>
      <w:bookmarkStart w:colFirst="0" w:colLast="0" w:name="_po498cggavxy" w:id="0"/>
      <w:bookmarkEnd w:id="0"/>
      <w:r w:rsidDel="00000000" w:rsidR="00000000" w:rsidRPr="00000000">
        <w:rPr>
          <w:rtl w:val="0"/>
        </w:rPr>
        <w:t xml:space="preserve">S2 Table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0"/>
        <w:gridCol w:w="1780"/>
        <w:gridCol w:w="3280"/>
        <w:gridCol w:w="3200"/>
        <w:tblGridChange w:id="0">
          <w:tblGrid>
            <w:gridCol w:w="1100"/>
            <w:gridCol w:w="1780"/>
            <w:gridCol w:w="3280"/>
            <w:gridCol w:w="3200"/>
          </w:tblGrid>
        </w:tblGridChange>
      </w:tblGrid>
      <w:tr>
        <w:trPr>
          <w:trHeight w:val="580" w:hRule="atLeast"/>
        </w:trP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Metric</w:t>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PD-L1 Expression</w:t>
              <w:br w:type="textWrapping"/>
              <w:t xml:space="preserve">(IC group)</w:t>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HR for Progression or Mortality</w:t>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HR for Mortality</w:t>
              <w:br w:type="textWrapping"/>
            </w:r>
          </w:p>
        </w:tc>
      </w:tr>
      <w:tr>
        <w:trPr>
          <w:trHeight w:val="420" w:hRule="atLeast"/>
        </w:trPr>
        <w:tc>
          <w:tcPr>
            <w:gridSpan w:val="4"/>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Intercept</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IC0</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r w:rsidDel="00000000" w:rsidR="00000000" w:rsidRPr="00000000">
              <w:rPr>
                <w:sz w:val="16"/>
                <w:szCs w:val="16"/>
                <w:rtl w:val="0"/>
              </w:rPr>
              <w:t xml:space="preserve">(base group)</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r w:rsidDel="00000000" w:rsidR="00000000" w:rsidRPr="00000000">
              <w:rPr>
                <w:sz w:val="16"/>
                <w:szCs w:val="16"/>
                <w:rtl w:val="0"/>
              </w:rPr>
              <w:t xml:space="preserve">(base group)</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IC1</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5">
              <w:r w:rsidDel="00000000" w:rsidR="00000000" w:rsidRPr="00000000">
                <w:rPr>
                  <w:sz w:val="16"/>
                  <w:szCs w:val="16"/>
                  <w:rtl w:val="0"/>
                </w:rPr>
                <w:t xml:space="preserve">HR=0.29, 95% CI (0.079, 1.36)</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color w:val="cc0099"/>
                <w:sz w:val="16"/>
                <w:szCs w:val="16"/>
              </w:rPr>
            </w:pPr>
            <w:hyperlink r:id="rId6">
              <w:r w:rsidDel="00000000" w:rsidR="00000000" w:rsidRPr="00000000">
                <w:rPr>
                  <w:sz w:val="16"/>
                  <w:szCs w:val="16"/>
                  <w:rtl w:val="0"/>
                </w:rPr>
                <w:t xml:space="preserve">HR=0.23, 95% CI (0.054, 1.10)</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IC2</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7">
              <w:r w:rsidDel="00000000" w:rsidR="00000000" w:rsidRPr="00000000">
                <w:rPr>
                  <w:sz w:val="16"/>
                  <w:szCs w:val="16"/>
                  <w:rtl w:val="0"/>
                </w:rPr>
                <w:t xml:space="preserve">HR=0.083, 95% CI (0.0087, 0.55)</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8">
              <w:r w:rsidDel="00000000" w:rsidR="00000000" w:rsidRPr="00000000">
                <w:rPr>
                  <w:sz w:val="16"/>
                  <w:szCs w:val="16"/>
                  <w:rtl w:val="0"/>
                </w:rPr>
                <w:t xml:space="preserve">HR=0.023, 95% CI (0.00047, 0.30)</w:t>
              </w:r>
            </w:hyperlink>
            <w:r w:rsidDel="00000000" w:rsidR="00000000" w:rsidRPr="00000000">
              <w:rPr>
                <w:rtl w:val="0"/>
              </w:rPr>
            </w:r>
          </w:p>
        </w:tc>
      </w:tr>
      <w:tr>
        <w:trPr>
          <w:trHeight w:val="340" w:hRule="atLeast"/>
        </w:trPr>
        <w:tc>
          <w:tcPr>
            <w:gridSpan w:val="4"/>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Liver Metastasis</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IC0</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9">
              <w:r w:rsidDel="00000000" w:rsidR="00000000" w:rsidRPr="00000000">
                <w:rPr>
                  <w:sz w:val="16"/>
                  <w:szCs w:val="16"/>
                  <w:rtl w:val="0"/>
                </w:rPr>
                <w:t xml:space="preserve">HR=4.17, 95% CI (0.53, 33.98)</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0">
              <w:r w:rsidDel="00000000" w:rsidR="00000000" w:rsidRPr="00000000">
                <w:rPr>
                  <w:sz w:val="16"/>
                  <w:szCs w:val="16"/>
                  <w:rtl w:val="0"/>
                </w:rPr>
                <w:t xml:space="preserve">HR=4.78, 95% CI (0.58, 53.10)</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IC1</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1">
              <w:r w:rsidDel="00000000" w:rsidR="00000000" w:rsidRPr="00000000">
                <w:rPr>
                  <w:sz w:val="16"/>
                  <w:szCs w:val="16"/>
                  <w:rtl w:val="0"/>
                </w:rPr>
                <w:t xml:space="preserve">HR=4.27, 95% CI (1.15, 15.08)</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2">
              <w:r w:rsidDel="00000000" w:rsidR="00000000" w:rsidRPr="00000000">
                <w:rPr>
                  <w:sz w:val="16"/>
                  <w:szCs w:val="16"/>
                  <w:rtl w:val="0"/>
                </w:rPr>
                <w:t xml:space="preserve">HR=4.11, 95% CI (0.91, 16.01)</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IC2</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3">
              <w:r w:rsidDel="00000000" w:rsidR="00000000" w:rsidRPr="00000000">
                <w:rPr>
                  <w:sz w:val="16"/>
                  <w:szCs w:val="16"/>
                  <w:rtl w:val="0"/>
                </w:rPr>
                <w:t xml:space="preserve">HR=3.80, 95% CI (0.79, 22.70)</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4">
              <w:r w:rsidDel="00000000" w:rsidR="00000000" w:rsidRPr="00000000">
                <w:rPr>
                  <w:sz w:val="16"/>
                  <w:szCs w:val="16"/>
                  <w:rtl w:val="0"/>
                </w:rPr>
                <w:t xml:space="preserve">HR=3.73, 95% CI (0.61, 24.52)</w:t>
              </w:r>
            </w:hyperlink>
            <w:r w:rsidDel="00000000" w:rsidR="00000000" w:rsidRPr="00000000">
              <w:rPr>
                <w:rtl w:val="0"/>
              </w:rPr>
            </w:r>
          </w:p>
        </w:tc>
      </w:tr>
      <w:tr>
        <w:trPr>
          <w:trHeight w:val="420" w:hRule="atLeast"/>
        </w:trPr>
        <w:tc>
          <w:tcPr>
            <w:gridSpan w:val="4"/>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log(# Missense SNV / MB)</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IC0</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5">
              <w:r w:rsidDel="00000000" w:rsidR="00000000" w:rsidRPr="00000000">
                <w:rPr>
                  <w:sz w:val="16"/>
                  <w:szCs w:val="16"/>
                  <w:rtl w:val="0"/>
                </w:rPr>
                <w:t xml:space="preserve">HR=1.00, 95% CI (0.49, 2.37)</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6">
              <w:r w:rsidDel="00000000" w:rsidR="00000000" w:rsidRPr="00000000">
                <w:rPr>
                  <w:sz w:val="16"/>
                  <w:szCs w:val="16"/>
                  <w:rtl w:val="0"/>
                </w:rPr>
                <w:t xml:space="preserve">HR=1.26, 95% CI (0.60, 3.19)</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IC1</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7">
              <w:r w:rsidDel="00000000" w:rsidR="00000000" w:rsidRPr="00000000">
                <w:rPr>
                  <w:sz w:val="16"/>
                  <w:szCs w:val="16"/>
                  <w:rtl w:val="0"/>
                </w:rPr>
                <w:t xml:space="preserve">HR=0.76, 95% CI (0.50, 1.16)</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8">
              <w:r w:rsidDel="00000000" w:rsidR="00000000" w:rsidRPr="00000000">
                <w:rPr>
                  <w:sz w:val="16"/>
                  <w:szCs w:val="16"/>
                  <w:rtl w:val="0"/>
                </w:rPr>
                <w:t xml:space="preserve">HR=0.83, 95% CI (0.50, 1.28)</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IC2</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19">
              <w:r w:rsidDel="00000000" w:rsidR="00000000" w:rsidRPr="00000000">
                <w:rPr>
                  <w:sz w:val="16"/>
                  <w:szCs w:val="16"/>
                  <w:rtl w:val="0"/>
                </w:rPr>
                <w:t xml:space="preserve">HR=0.53, 95% CI (0.33, 0.83)</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0">
              <w:r w:rsidDel="00000000" w:rsidR="00000000" w:rsidRPr="00000000">
                <w:rPr>
                  <w:sz w:val="16"/>
                  <w:szCs w:val="16"/>
                  <w:rtl w:val="0"/>
                </w:rPr>
                <w:t xml:space="preserve">HR=0.56, 95% CI (0.33, 1.00)</w:t>
              </w:r>
            </w:hyperlink>
            <w:r w:rsidDel="00000000" w:rsidR="00000000" w:rsidRPr="00000000">
              <w:rPr>
                <w:rtl w:val="0"/>
              </w:rPr>
            </w:r>
          </w:p>
        </w:tc>
      </w:tr>
      <w:tr>
        <w:trPr>
          <w:trHeight w:val="420" w:hRule="atLeast"/>
        </w:trPr>
        <w:tc>
          <w:tcPr>
            <w:gridSpan w:val="4"/>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log(Pre-Treatment TCR Clonality)</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IC0</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1">
              <w:r w:rsidDel="00000000" w:rsidR="00000000" w:rsidRPr="00000000">
                <w:rPr>
                  <w:sz w:val="16"/>
                  <w:szCs w:val="16"/>
                  <w:rtl w:val="0"/>
                </w:rPr>
                <w:t xml:space="preserve">HR=1.51, 95% CI (0.32, 7.22)</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2">
              <w:r w:rsidDel="00000000" w:rsidR="00000000" w:rsidRPr="00000000">
                <w:rPr>
                  <w:sz w:val="16"/>
                  <w:szCs w:val="16"/>
                  <w:rtl w:val="0"/>
                </w:rPr>
                <w:t xml:space="preserve">HR=1.08, 95% CI (0.21, 4.15)</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IC1</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3">
              <w:r w:rsidDel="00000000" w:rsidR="00000000" w:rsidRPr="00000000">
                <w:rPr>
                  <w:sz w:val="16"/>
                  <w:szCs w:val="16"/>
                  <w:rtl w:val="0"/>
                </w:rPr>
                <w:t xml:space="preserve">HR=1.09, 95% CI (0.32, 3.46)</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4">
              <w:r w:rsidDel="00000000" w:rsidR="00000000" w:rsidRPr="00000000">
                <w:rPr>
                  <w:sz w:val="16"/>
                  <w:szCs w:val="16"/>
                  <w:rtl w:val="0"/>
                </w:rPr>
                <w:t xml:space="preserve">HR=1.09, 95% CI (0.33, 3.81)</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IC2</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5">
              <w:r w:rsidDel="00000000" w:rsidR="00000000" w:rsidRPr="00000000">
                <w:rPr>
                  <w:sz w:val="16"/>
                  <w:szCs w:val="16"/>
                  <w:rtl w:val="0"/>
                </w:rPr>
                <w:t xml:space="preserve">HR=50.87, 95% CI (2.99, 1486.55)</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6">
              <w:r w:rsidDel="00000000" w:rsidR="00000000" w:rsidRPr="00000000">
                <w:rPr>
                  <w:sz w:val="16"/>
                  <w:szCs w:val="16"/>
                  <w:rtl w:val="0"/>
                </w:rPr>
                <w:t xml:space="preserve">HR=4895.08, 95% CI (80.81, 10374151.41)</w:t>
              </w:r>
            </w:hyperlink>
            <w:r w:rsidDel="00000000" w:rsidR="00000000" w:rsidRPr="00000000">
              <w:rPr>
                <w:rtl w:val="0"/>
              </w:rPr>
            </w:r>
          </w:p>
        </w:tc>
      </w:tr>
      <w:tr>
        <w:trPr>
          <w:trHeight w:val="420" w:hRule="atLeast"/>
        </w:trPr>
        <w:tc>
          <w:tcPr>
            <w:gridSpan w:val="4"/>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log(TIL Proportion)</w:t>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IC0</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7">
              <w:r w:rsidDel="00000000" w:rsidR="00000000" w:rsidRPr="00000000">
                <w:rPr>
                  <w:sz w:val="16"/>
                  <w:szCs w:val="16"/>
                  <w:rtl w:val="0"/>
                </w:rPr>
                <w:t xml:space="preserve">HR=0.12, 95% CI (0.0028, 3.46)</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8">
              <w:r w:rsidDel="00000000" w:rsidR="00000000" w:rsidRPr="00000000">
                <w:rPr>
                  <w:sz w:val="16"/>
                  <w:szCs w:val="16"/>
                  <w:rtl w:val="0"/>
                </w:rPr>
                <w:t xml:space="preserve">HR=0.053, 95% CI (0.00053, 11.87)</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IC1</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29">
              <w:r w:rsidDel="00000000" w:rsidR="00000000" w:rsidRPr="00000000">
                <w:rPr>
                  <w:sz w:val="16"/>
                  <w:szCs w:val="16"/>
                  <w:rtl w:val="0"/>
                </w:rPr>
                <w:t xml:space="preserve">HR=0.11, 95% CI (0.0077, 1.20)</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30">
              <w:r w:rsidDel="00000000" w:rsidR="00000000" w:rsidRPr="00000000">
                <w:rPr>
                  <w:sz w:val="16"/>
                  <w:szCs w:val="16"/>
                  <w:rtl w:val="0"/>
                </w:rPr>
                <w:t xml:space="preserve">HR=0.047, 95% CI (0.0018, 0.68)</w:t>
              </w:r>
            </w:hyperlink>
            <w:r w:rsidDel="00000000" w:rsidR="00000000" w:rsidRPr="00000000">
              <w:rPr>
                <w:rtl w:val="0"/>
              </w:rPr>
            </w:r>
          </w:p>
        </w:tc>
      </w:tr>
      <w:tr>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pBdr/>
              <w:spacing w:line="480" w:lineRule="auto"/>
              <w:contextualSpacing w:val="0"/>
              <w:rPr>
                <w:sz w:val="16"/>
                <w:szCs w:val="16"/>
              </w:rPr>
            </w:pPr>
            <w:r w:rsidDel="00000000" w:rsidR="00000000" w:rsidRPr="00000000">
              <w:rPr>
                <w:sz w:val="16"/>
                <w:szCs w:val="16"/>
                <w:rtl w:val="0"/>
              </w:rPr>
              <w:t xml:space="preserve">IC2</w:t>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31">
              <w:r w:rsidDel="00000000" w:rsidR="00000000" w:rsidRPr="00000000">
                <w:rPr>
                  <w:sz w:val="16"/>
                  <w:szCs w:val="16"/>
                  <w:rtl w:val="0"/>
                </w:rPr>
                <w:t xml:space="preserve">HR=0.078, 95% CI (0.0051, 1.07)</w:t>
              </w:r>
            </w:hyperlink>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spacing w:line="480" w:lineRule="auto"/>
              <w:contextualSpacing w:val="0"/>
              <w:rPr>
                <w:sz w:val="16"/>
                <w:szCs w:val="16"/>
              </w:rPr>
            </w:pPr>
            <w:hyperlink r:id="rId32">
              <w:r w:rsidDel="00000000" w:rsidR="00000000" w:rsidRPr="00000000">
                <w:rPr>
                  <w:sz w:val="16"/>
                  <w:szCs w:val="16"/>
                  <w:rtl w:val="0"/>
                </w:rPr>
                <w:t xml:space="preserve">HR=0.026, 95% CI (0.00093, 0.40)</w:t>
              </w:r>
            </w:hyperlink>
            <w:r w:rsidDel="00000000" w:rsidR="00000000" w:rsidRPr="00000000">
              <w:rPr>
                <w:rtl w:val="0"/>
              </w:rPr>
            </w:r>
          </w:p>
        </w:tc>
      </w:tr>
    </w:tbl>
    <w:p w:rsidR="00000000" w:rsidDel="00000000" w:rsidP="00000000" w:rsidRDefault="00000000" w:rsidRPr="00000000">
      <w:pPr>
        <w:pBdr/>
        <w:spacing w:line="480" w:lineRule="auto"/>
        <w:contextualSpacing w:val="0"/>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 xml:space="preserve">Summary of results from multivariate survival analysis of various clinical, peripheral and intratumoral factors to estimate their independent association with hazard for disease progression or mortality (PFS) and for mortality (OS) according to level of intratumoral PD-L1 expression (IC grade). Results are summarized as median and 95% posterior intervals.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hammerlab/bladder-analyses/blob/master/analyses/notebooks/Multivariate%20models.ipynb?hyper=m0os_log_missense_snv_count_centered_by_pd_l1_IC2" TargetMode="External"/><Relationship Id="rId22" Type="http://schemas.openxmlformats.org/officeDocument/2006/relationships/hyperlink" Target="https://github.com/hammerlab/bladder-analyses/blob/master/analyses/notebooks/Multivariate%20models.ipynb?hyper=m0os_log_peripheral_clonality_a_centered_by_pd_l1_IC0" TargetMode="External"/><Relationship Id="rId21" Type="http://schemas.openxmlformats.org/officeDocument/2006/relationships/hyperlink" Target="https://github.com/hammerlab/bladder-analyses/blob/master/analyses/notebooks/Multivariate%20models.ipynb?hyper=m0pfs_log_peripheral_clonality_a_centered_by_pd_l1_IC0" TargetMode="External"/><Relationship Id="rId24" Type="http://schemas.openxmlformats.org/officeDocument/2006/relationships/hyperlink" Target="https://github.com/hammerlab/bladder-analyses/blob/master/analyses/notebooks/Multivariate%20models.ipynb?hyper=m0os_log_peripheral_clonality_a_centered_by_pd_l1_IC1" TargetMode="External"/><Relationship Id="rId23" Type="http://schemas.openxmlformats.org/officeDocument/2006/relationships/hyperlink" Target="https://github.com/hammerlab/bladder-analyses/blob/master/analyses/notebooks/Multivariate%20models.ipynb?hyper=m0pfs_log_peripheral_clonality_a_centered_by_pd_l1_IC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hammerlab/bladder-analyses/blob/master/analyses/notebooks/Multivariate%20models.ipynb?hyper=m0pfs_liver_mets_IC0" TargetMode="External"/><Relationship Id="rId26" Type="http://schemas.openxmlformats.org/officeDocument/2006/relationships/hyperlink" Target="https://github.com/hammerlab/bladder-analyses/blob/master/analyses/notebooks/Multivariate%20models.ipynb?hyper=m0os_log_peripheral_clonality_a_centered_by_pd_l1_IC2" TargetMode="External"/><Relationship Id="rId25" Type="http://schemas.openxmlformats.org/officeDocument/2006/relationships/hyperlink" Target="https://github.com/hammerlab/bladder-analyses/blob/master/analyses/notebooks/Multivariate%20models.ipynb?hyper=m0pfs_log_peripheral_clonality_a_centered_by_pd_l1_IC2" TargetMode="External"/><Relationship Id="rId28" Type="http://schemas.openxmlformats.org/officeDocument/2006/relationships/hyperlink" Target="https://github.com/hammerlab/bladder-analyses/blob/master/analyses/notebooks/Multivariate%20models.ipynb?hyper=m0os_log_tcell_fraction_centered_by_pd_l1_IC0" TargetMode="External"/><Relationship Id="rId27" Type="http://schemas.openxmlformats.org/officeDocument/2006/relationships/hyperlink" Target="https://github.com/hammerlab/bladder-analyses/blob/master/analyses/notebooks/Multivariate%20models.ipynb?hyper=m0pfs_log_tcell_fraction_centered_by_pd_l1_IC0" TargetMode="External"/><Relationship Id="rId5" Type="http://schemas.openxmlformats.org/officeDocument/2006/relationships/hyperlink" Target="https://github.com/hammerlab/bladder-analyses/blob/master/analyses/notebooks/Multivariate%20models.ipynb?hyper=m0pfs_intercept_IC1" TargetMode="External"/><Relationship Id="rId6" Type="http://schemas.openxmlformats.org/officeDocument/2006/relationships/hyperlink" Target="https://github.com/hammerlab/bladder-analyses/blob/master/analyses/notebooks/Multivariate%20models.ipynb?hyper=m0os_intercept_IC1" TargetMode="External"/><Relationship Id="rId29" Type="http://schemas.openxmlformats.org/officeDocument/2006/relationships/hyperlink" Target="https://github.com/hammerlab/bladder-analyses/blob/master/analyses/notebooks/Multivariate%20models.ipynb?hyper=m0pfs_log_tcell_fraction_centered_by_pd_l1_IC1" TargetMode="External"/><Relationship Id="rId7" Type="http://schemas.openxmlformats.org/officeDocument/2006/relationships/hyperlink" Target="https://github.com/hammerlab/bladder-analyses/blob/master/analyses/notebooks/Multivariate%20models.ipynb?hyper=m0pfs_intercept_IC2" TargetMode="External"/><Relationship Id="rId8" Type="http://schemas.openxmlformats.org/officeDocument/2006/relationships/hyperlink" Target="https://github.com/hammerlab/bladder-analyses/blob/master/analyses/notebooks/Multivariate%20models.ipynb?hyper=m0os_intercept_IC2" TargetMode="External"/><Relationship Id="rId31" Type="http://schemas.openxmlformats.org/officeDocument/2006/relationships/hyperlink" Target="https://github.com/hammerlab/bladder-analyses/blob/master/analyses/notebooks/Multivariate%20models.ipynb?hyper=m0pfs_log_tcell_fraction_centered_by_pd_l1_IC2" TargetMode="External"/><Relationship Id="rId30" Type="http://schemas.openxmlformats.org/officeDocument/2006/relationships/hyperlink" Target="https://github.com/hammerlab/bladder-analyses/blob/master/analyses/notebooks/Multivariate%20models.ipynb?hyper=m0os_log_tcell_fraction_centered_by_pd_l1_IC1" TargetMode="External"/><Relationship Id="rId11" Type="http://schemas.openxmlformats.org/officeDocument/2006/relationships/hyperlink" Target="https://github.com/hammerlab/bladder-analyses/blob/master/analyses/notebooks/Multivariate%20models.ipynb?hyper=m0pfs_liver_mets_IC1" TargetMode="External"/><Relationship Id="rId10" Type="http://schemas.openxmlformats.org/officeDocument/2006/relationships/hyperlink" Target="https://github.com/hammerlab/bladder-analyses/blob/master/analyses/notebooks/Multivariate%20models.ipynb?hyper=m0os_liver_mets_IC0" TargetMode="External"/><Relationship Id="rId32" Type="http://schemas.openxmlformats.org/officeDocument/2006/relationships/hyperlink" Target="https://github.com/hammerlab/bladder-analyses/blob/master/analyses/notebooks/Multivariate%20models.ipynb?hyper=m0os_log_tcell_fraction_centered_by_pd_l1_IC2" TargetMode="External"/><Relationship Id="rId13" Type="http://schemas.openxmlformats.org/officeDocument/2006/relationships/hyperlink" Target="https://github.com/hammerlab/bladder-analyses/blob/master/analyses/notebooks/Multivariate%20models.ipynb?hyper=m0pfs_liver_mets_IC2" TargetMode="External"/><Relationship Id="rId12" Type="http://schemas.openxmlformats.org/officeDocument/2006/relationships/hyperlink" Target="https://github.com/hammerlab/bladder-analyses/blob/master/analyses/notebooks/Multivariate%20models.ipynb?hyper=m0os_liver_mets_IC1" TargetMode="External"/><Relationship Id="rId15" Type="http://schemas.openxmlformats.org/officeDocument/2006/relationships/hyperlink" Target="https://github.com/hammerlab/bladder-analyses/blob/master/analyses/notebooks/Multivariate%20models.ipynb?hyper=m0pfs_log_missense_snv_count_centered_by_pd_l1_IC0" TargetMode="External"/><Relationship Id="rId14" Type="http://schemas.openxmlformats.org/officeDocument/2006/relationships/hyperlink" Target="https://github.com/hammerlab/bladder-analyses/blob/master/analyses/notebooks/Multivariate%20models.ipynb?hyper=m0os_liver_mets_IC2" TargetMode="External"/><Relationship Id="rId17" Type="http://schemas.openxmlformats.org/officeDocument/2006/relationships/hyperlink" Target="https://github.com/hammerlab/bladder-analyses/blob/master/analyses/notebooks/Multivariate%20models.ipynb?hyper=m0pfs_log_missense_snv_count_centered_by_pd_l1_IC1" TargetMode="External"/><Relationship Id="rId16" Type="http://schemas.openxmlformats.org/officeDocument/2006/relationships/hyperlink" Target="https://github.com/hammerlab/bladder-analyses/blob/master/analyses/notebooks/Multivariate%20models.ipynb?hyper=m0os_log_missense_snv_count_centered_by_pd_l1_IC0" TargetMode="External"/><Relationship Id="rId19" Type="http://schemas.openxmlformats.org/officeDocument/2006/relationships/hyperlink" Target="https://github.com/hammerlab/bladder-analyses/blob/master/analyses/notebooks/Multivariate%20models.ipynb?hyper=m0pfs_log_missense_snv_count_centered_by_pd_l1_IC2" TargetMode="External"/><Relationship Id="rId18" Type="http://schemas.openxmlformats.org/officeDocument/2006/relationships/hyperlink" Target="https://github.com/hammerlab/bladder-analyses/blob/master/analyses/notebooks/Multivariate%20models.ipynb?hyper=m0os_log_missense_snv_count_centered_by_pd_l1_IC1" TargetMode="External"/></Relationships>
</file>