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3989" w14:textId="77777777" w:rsidR="004230AF" w:rsidRPr="002D2B6D" w:rsidRDefault="004230AF" w:rsidP="004230AF">
      <w:pPr>
        <w:spacing w:after="0" w:line="240" w:lineRule="auto"/>
        <w:rPr>
          <w:b/>
        </w:rPr>
      </w:pPr>
      <w:bookmarkStart w:id="0" w:name="_GoBack"/>
      <w:bookmarkEnd w:id="0"/>
      <w:r w:rsidRPr="002D2B6D">
        <w:rPr>
          <w:b/>
        </w:rPr>
        <w:t>ANALYSIS TIMELINE</w:t>
      </w:r>
    </w:p>
    <w:p w14:paraId="202C0E12" w14:textId="77777777" w:rsidR="004230AF" w:rsidRPr="002D2B6D" w:rsidRDefault="004230AF" w:rsidP="004230A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E27D0B" w:rsidRPr="002D2B6D" w14:paraId="634BD588" w14:textId="77777777" w:rsidTr="004230AF">
        <w:tc>
          <w:tcPr>
            <w:tcW w:w="2263" w:type="dxa"/>
          </w:tcPr>
          <w:p w14:paraId="55247F16" w14:textId="77777777" w:rsidR="00E27D0B" w:rsidRPr="002D2B6D" w:rsidRDefault="00E27D0B" w:rsidP="004230AF">
            <w:pPr>
              <w:spacing w:after="120"/>
              <w:rPr>
                <w:b/>
              </w:rPr>
            </w:pPr>
            <w:r w:rsidRPr="002D2B6D">
              <w:rPr>
                <w:b/>
              </w:rPr>
              <w:t>Date</w:t>
            </w:r>
          </w:p>
        </w:tc>
        <w:tc>
          <w:tcPr>
            <w:tcW w:w="6753" w:type="dxa"/>
          </w:tcPr>
          <w:p w14:paraId="742C51D2" w14:textId="77777777" w:rsidR="00E27D0B" w:rsidRPr="002D2B6D" w:rsidRDefault="00E27D0B" w:rsidP="004230AF">
            <w:pPr>
              <w:spacing w:after="120"/>
              <w:rPr>
                <w:b/>
              </w:rPr>
            </w:pPr>
            <w:r w:rsidRPr="002D2B6D">
              <w:rPr>
                <w:b/>
              </w:rPr>
              <w:t>Action</w:t>
            </w:r>
          </w:p>
        </w:tc>
      </w:tr>
      <w:tr w:rsidR="00E27D0B" w:rsidRPr="002D2B6D" w14:paraId="3EDB3FCE" w14:textId="77777777" w:rsidTr="004230AF">
        <w:tc>
          <w:tcPr>
            <w:tcW w:w="2263" w:type="dxa"/>
          </w:tcPr>
          <w:p w14:paraId="6F4BA024" w14:textId="77777777" w:rsidR="00E27D0B" w:rsidRPr="002D2B6D" w:rsidRDefault="00E27D0B" w:rsidP="004230AF">
            <w:pPr>
              <w:spacing w:after="120"/>
            </w:pPr>
            <w:r w:rsidRPr="002D2B6D">
              <w:t>December 2015</w:t>
            </w:r>
          </w:p>
        </w:tc>
        <w:tc>
          <w:tcPr>
            <w:tcW w:w="6753" w:type="dxa"/>
          </w:tcPr>
          <w:p w14:paraId="434B67D5" w14:textId="77777777" w:rsidR="00E27D0B" w:rsidRPr="002D2B6D" w:rsidRDefault="00E27D0B" w:rsidP="004230AF">
            <w:pPr>
              <w:spacing w:after="120"/>
            </w:pPr>
            <w:r w:rsidRPr="002D2B6D">
              <w:t>Initial analysis plan outlined</w:t>
            </w:r>
          </w:p>
        </w:tc>
      </w:tr>
      <w:tr w:rsidR="00E27D0B" w:rsidRPr="002D2B6D" w14:paraId="5A4A16F1" w14:textId="77777777" w:rsidTr="004230AF">
        <w:tc>
          <w:tcPr>
            <w:tcW w:w="2263" w:type="dxa"/>
          </w:tcPr>
          <w:p w14:paraId="7C2B8B1D" w14:textId="77777777" w:rsidR="00E27D0B" w:rsidRPr="002D2B6D" w:rsidRDefault="00E27D0B" w:rsidP="004230AF">
            <w:pPr>
              <w:spacing w:after="120"/>
            </w:pPr>
            <w:r w:rsidRPr="002D2B6D">
              <w:t>18 December 2015</w:t>
            </w:r>
          </w:p>
        </w:tc>
        <w:tc>
          <w:tcPr>
            <w:tcW w:w="6753" w:type="dxa"/>
          </w:tcPr>
          <w:p w14:paraId="2D84CA1A" w14:textId="77777777" w:rsidR="00E27D0B" w:rsidRPr="002D2B6D" w:rsidRDefault="00E27D0B" w:rsidP="004230AF">
            <w:pPr>
              <w:spacing w:after="120"/>
            </w:pPr>
            <w:r w:rsidRPr="002D2B6D">
              <w:t>Data requested</w:t>
            </w:r>
          </w:p>
        </w:tc>
      </w:tr>
      <w:tr w:rsidR="00E27D0B" w:rsidRPr="002D2B6D" w14:paraId="17A8AE0C" w14:textId="77777777" w:rsidTr="004230AF">
        <w:tc>
          <w:tcPr>
            <w:tcW w:w="2263" w:type="dxa"/>
          </w:tcPr>
          <w:p w14:paraId="675F1109" w14:textId="77777777" w:rsidR="00E27D0B" w:rsidRPr="002D2B6D" w:rsidRDefault="00E27D0B" w:rsidP="004230AF">
            <w:pPr>
              <w:spacing w:after="120"/>
            </w:pPr>
            <w:r w:rsidRPr="002D2B6D">
              <w:t>17 February 2016</w:t>
            </w:r>
          </w:p>
        </w:tc>
        <w:tc>
          <w:tcPr>
            <w:tcW w:w="6753" w:type="dxa"/>
          </w:tcPr>
          <w:p w14:paraId="451D7F47" w14:textId="77777777" w:rsidR="00E27D0B" w:rsidRPr="002D2B6D" w:rsidRDefault="00E27D0B" w:rsidP="004230AF">
            <w:pPr>
              <w:spacing w:after="120"/>
            </w:pPr>
            <w:r w:rsidRPr="002D2B6D">
              <w:t>Preliminary dataset received (version 1)</w:t>
            </w:r>
          </w:p>
        </w:tc>
      </w:tr>
      <w:tr w:rsidR="00E27D0B" w:rsidRPr="002D2B6D" w14:paraId="55D9030F" w14:textId="77777777" w:rsidTr="004230AF">
        <w:tc>
          <w:tcPr>
            <w:tcW w:w="2263" w:type="dxa"/>
          </w:tcPr>
          <w:p w14:paraId="3D29C160" w14:textId="77777777" w:rsidR="00E27D0B" w:rsidRPr="002D2B6D" w:rsidRDefault="00E27D0B" w:rsidP="004230AF">
            <w:pPr>
              <w:spacing w:after="120"/>
            </w:pPr>
            <w:r w:rsidRPr="002D2B6D">
              <w:t>March 2016</w:t>
            </w:r>
          </w:p>
        </w:tc>
        <w:tc>
          <w:tcPr>
            <w:tcW w:w="6753" w:type="dxa"/>
          </w:tcPr>
          <w:p w14:paraId="05EC5080" w14:textId="77777777" w:rsidR="00E27D0B" w:rsidRPr="002D2B6D" w:rsidRDefault="00E27D0B" w:rsidP="004230AF">
            <w:pPr>
              <w:spacing w:after="120"/>
            </w:pPr>
            <w:r w:rsidRPr="002D2B6D">
              <w:t>Data examined for distribution of variables, and analysis plan updated</w:t>
            </w:r>
          </w:p>
        </w:tc>
      </w:tr>
      <w:tr w:rsidR="00E27D0B" w:rsidRPr="002D2B6D" w14:paraId="197AB3B8" w14:textId="77777777" w:rsidTr="004230AF">
        <w:tc>
          <w:tcPr>
            <w:tcW w:w="2263" w:type="dxa"/>
          </w:tcPr>
          <w:p w14:paraId="01573803" w14:textId="77777777" w:rsidR="00E27D0B" w:rsidRPr="002D2B6D" w:rsidRDefault="00E27D0B" w:rsidP="004230AF">
            <w:pPr>
              <w:spacing w:after="120"/>
            </w:pPr>
            <w:r w:rsidRPr="002D2B6D">
              <w:t>April 2016</w:t>
            </w:r>
          </w:p>
        </w:tc>
        <w:tc>
          <w:tcPr>
            <w:tcW w:w="6753" w:type="dxa"/>
          </w:tcPr>
          <w:p w14:paraId="0A0C6B3D" w14:textId="77777777" w:rsidR="00E27D0B" w:rsidRPr="002D2B6D" w:rsidRDefault="00E27D0B" w:rsidP="004230AF">
            <w:pPr>
              <w:spacing w:after="120"/>
            </w:pPr>
            <w:r w:rsidRPr="002D2B6D">
              <w:t>Cognitive reserve score calculated</w:t>
            </w:r>
          </w:p>
        </w:tc>
      </w:tr>
      <w:tr w:rsidR="00E27D0B" w:rsidRPr="002D2B6D" w14:paraId="7F336B17" w14:textId="77777777" w:rsidTr="004230AF">
        <w:tc>
          <w:tcPr>
            <w:tcW w:w="2263" w:type="dxa"/>
          </w:tcPr>
          <w:p w14:paraId="134D4D6F" w14:textId="77777777" w:rsidR="00E27D0B" w:rsidRPr="002D2B6D" w:rsidRDefault="00E27D0B" w:rsidP="004230AF">
            <w:pPr>
              <w:spacing w:after="120"/>
            </w:pPr>
            <w:r w:rsidRPr="002D2B6D">
              <w:t>17 May 2016</w:t>
            </w:r>
          </w:p>
        </w:tc>
        <w:tc>
          <w:tcPr>
            <w:tcW w:w="6753" w:type="dxa"/>
          </w:tcPr>
          <w:p w14:paraId="17A06445" w14:textId="77777777" w:rsidR="00E27D0B" w:rsidRPr="002D2B6D" w:rsidRDefault="00E27D0B" w:rsidP="004230AF">
            <w:pPr>
              <w:spacing w:after="120"/>
            </w:pPr>
            <w:r w:rsidRPr="002D2B6D">
              <w:t>Proposed analysis run with preliminary dataset</w:t>
            </w:r>
          </w:p>
        </w:tc>
      </w:tr>
      <w:tr w:rsidR="00E27D0B" w:rsidRPr="002D2B6D" w14:paraId="4D0B964A" w14:textId="77777777" w:rsidTr="004230AF">
        <w:tc>
          <w:tcPr>
            <w:tcW w:w="2263" w:type="dxa"/>
          </w:tcPr>
          <w:p w14:paraId="72A04681" w14:textId="77777777" w:rsidR="00E27D0B" w:rsidRPr="002D2B6D" w:rsidRDefault="009B575A" w:rsidP="004230AF">
            <w:pPr>
              <w:spacing w:after="120"/>
            </w:pPr>
            <w:r w:rsidRPr="002D2B6D">
              <w:t>8 August 2016</w:t>
            </w:r>
          </w:p>
        </w:tc>
        <w:tc>
          <w:tcPr>
            <w:tcW w:w="6753" w:type="dxa"/>
          </w:tcPr>
          <w:p w14:paraId="09BDAFBD" w14:textId="77777777" w:rsidR="00E27D0B" w:rsidRPr="002D2B6D" w:rsidRDefault="00E27D0B" w:rsidP="004230AF">
            <w:pPr>
              <w:spacing w:after="120"/>
            </w:pPr>
            <w:r w:rsidRPr="002D2B6D">
              <w:t>Final dataset received (version 2.0)</w:t>
            </w:r>
          </w:p>
        </w:tc>
      </w:tr>
      <w:tr w:rsidR="00E27D0B" w:rsidRPr="002D2B6D" w14:paraId="458FA994" w14:textId="77777777" w:rsidTr="004230AF">
        <w:tc>
          <w:tcPr>
            <w:tcW w:w="2263" w:type="dxa"/>
          </w:tcPr>
          <w:p w14:paraId="50916A4D" w14:textId="77777777" w:rsidR="00E27D0B" w:rsidRPr="002D2B6D" w:rsidRDefault="00E27D0B" w:rsidP="004230AF">
            <w:pPr>
              <w:spacing w:after="120"/>
            </w:pPr>
            <w:r w:rsidRPr="002D2B6D">
              <w:t>10 August 2016</w:t>
            </w:r>
          </w:p>
        </w:tc>
        <w:tc>
          <w:tcPr>
            <w:tcW w:w="6753" w:type="dxa"/>
          </w:tcPr>
          <w:p w14:paraId="75A7E882" w14:textId="77777777" w:rsidR="00E27D0B" w:rsidRPr="002D2B6D" w:rsidRDefault="00E27D0B" w:rsidP="004230AF">
            <w:pPr>
              <w:spacing w:after="120"/>
            </w:pPr>
            <w:r w:rsidRPr="002D2B6D">
              <w:t>Analysis run with final dataset</w:t>
            </w:r>
          </w:p>
        </w:tc>
      </w:tr>
      <w:tr w:rsidR="00E27D0B" w:rsidRPr="002D2B6D" w14:paraId="2908BA94" w14:textId="77777777" w:rsidTr="004230AF">
        <w:tc>
          <w:tcPr>
            <w:tcW w:w="2263" w:type="dxa"/>
          </w:tcPr>
          <w:p w14:paraId="33697167" w14:textId="77777777" w:rsidR="00E27D0B" w:rsidRPr="002D2B6D" w:rsidRDefault="009B575A" w:rsidP="004230AF">
            <w:pPr>
              <w:spacing w:after="120"/>
            </w:pPr>
            <w:r w:rsidRPr="002D2B6D">
              <w:t>September 2016</w:t>
            </w:r>
          </w:p>
        </w:tc>
        <w:tc>
          <w:tcPr>
            <w:tcW w:w="6753" w:type="dxa"/>
          </w:tcPr>
          <w:p w14:paraId="6F303FB3" w14:textId="77777777" w:rsidR="00E27D0B" w:rsidRPr="002D2B6D" w:rsidRDefault="00E27D0B" w:rsidP="004230AF">
            <w:pPr>
              <w:spacing w:after="120"/>
            </w:pPr>
            <w:r w:rsidRPr="002D2B6D">
              <w:t>Analysis reported for inclusion in paper</w:t>
            </w:r>
          </w:p>
        </w:tc>
      </w:tr>
      <w:tr w:rsidR="00E27D0B" w:rsidRPr="002D2B6D" w14:paraId="15E87868" w14:textId="77777777" w:rsidTr="004230AF">
        <w:tc>
          <w:tcPr>
            <w:tcW w:w="2263" w:type="dxa"/>
          </w:tcPr>
          <w:p w14:paraId="4EEA7FAE" w14:textId="77777777" w:rsidR="00E27D0B" w:rsidRPr="002D2B6D" w:rsidRDefault="00E27D0B" w:rsidP="004230AF">
            <w:pPr>
              <w:spacing w:after="120"/>
            </w:pPr>
            <w:r w:rsidRPr="002D2B6D">
              <w:t>18 November 2016</w:t>
            </w:r>
          </w:p>
        </w:tc>
        <w:tc>
          <w:tcPr>
            <w:tcW w:w="6753" w:type="dxa"/>
          </w:tcPr>
          <w:p w14:paraId="15310DBB" w14:textId="77777777" w:rsidR="00E27D0B" w:rsidRPr="002D2B6D" w:rsidRDefault="00E27D0B" w:rsidP="004230AF">
            <w:pPr>
              <w:spacing w:after="120"/>
            </w:pPr>
            <w:r w:rsidRPr="002D2B6D">
              <w:t>Paper submitted</w:t>
            </w:r>
          </w:p>
        </w:tc>
      </w:tr>
      <w:tr w:rsidR="00E27D0B" w:rsidRPr="002D2B6D" w14:paraId="1D7D8FE0" w14:textId="77777777" w:rsidTr="004230AF">
        <w:tc>
          <w:tcPr>
            <w:tcW w:w="2263" w:type="dxa"/>
          </w:tcPr>
          <w:p w14:paraId="125FED79" w14:textId="77777777" w:rsidR="00E27D0B" w:rsidRPr="002D2B6D" w:rsidRDefault="009B575A" w:rsidP="004230AF">
            <w:pPr>
              <w:spacing w:after="120"/>
            </w:pPr>
            <w:r w:rsidRPr="002D2B6D">
              <w:t>December 2016</w:t>
            </w:r>
          </w:p>
        </w:tc>
        <w:tc>
          <w:tcPr>
            <w:tcW w:w="6753" w:type="dxa"/>
          </w:tcPr>
          <w:p w14:paraId="0525FD92" w14:textId="77777777" w:rsidR="00E27D0B" w:rsidRPr="002D2B6D" w:rsidRDefault="00E27D0B" w:rsidP="004230AF">
            <w:pPr>
              <w:spacing w:after="120"/>
            </w:pPr>
            <w:r w:rsidRPr="002D2B6D">
              <w:t>Sensitivity analyses run as requested</w:t>
            </w:r>
            <w:r w:rsidR="00C25335" w:rsidRPr="002D2B6D">
              <w:t xml:space="preserve"> by reviewer to address issue of missing data (response 2 to reviewer 3 in the rebuttal)</w:t>
            </w:r>
          </w:p>
        </w:tc>
      </w:tr>
      <w:tr w:rsidR="00E27D0B" w:rsidRPr="002D2B6D" w14:paraId="3F849102" w14:textId="77777777" w:rsidTr="004230AF">
        <w:tc>
          <w:tcPr>
            <w:tcW w:w="2263" w:type="dxa"/>
          </w:tcPr>
          <w:p w14:paraId="750542F0" w14:textId="77777777" w:rsidR="00E27D0B" w:rsidRPr="002D2B6D" w:rsidRDefault="00E27D0B" w:rsidP="004230AF">
            <w:pPr>
              <w:spacing w:after="120"/>
            </w:pPr>
            <w:r w:rsidRPr="002D2B6D">
              <w:t>19 December 2016</w:t>
            </w:r>
          </w:p>
        </w:tc>
        <w:tc>
          <w:tcPr>
            <w:tcW w:w="6753" w:type="dxa"/>
          </w:tcPr>
          <w:p w14:paraId="65E5E4BA" w14:textId="77777777" w:rsidR="00E27D0B" w:rsidRPr="002D2B6D" w:rsidRDefault="00E27D0B" w:rsidP="004230AF">
            <w:pPr>
              <w:spacing w:after="120"/>
            </w:pPr>
            <w:r w:rsidRPr="002D2B6D">
              <w:t>Revised version of paper submitted</w:t>
            </w:r>
          </w:p>
        </w:tc>
      </w:tr>
    </w:tbl>
    <w:p w14:paraId="5BBBC09B" w14:textId="77777777" w:rsidR="00E27D0B" w:rsidRPr="002D2B6D" w:rsidRDefault="00E27D0B" w:rsidP="004230AF">
      <w:pPr>
        <w:spacing w:after="0" w:line="240" w:lineRule="auto"/>
      </w:pPr>
    </w:p>
    <w:p w14:paraId="4E663016" w14:textId="77777777" w:rsidR="008E4E3A" w:rsidRPr="002D2B6D" w:rsidRDefault="008E4E3A" w:rsidP="004230AF">
      <w:pPr>
        <w:spacing w:after="0" w:line="240" w:lineRule="auto"/>
        <w:rPr>
          <w:b/>
        </w:rPr>
      </w:pPr>
    </w:p>
    <w:p w14:paraId="4CD8F411" w14:textId="77777777" w:rsidR="009B575A" w:rsidRPr="002D2B6D" w:rsidRDefault="004230AF" w:rsidP="004230AF">
      <w:pPr>
        <w:spacing w:after="0" w:line="240" w:lineRule="auto"/>
        <w:rPr>
          <w:b/>
        </w:rPr>
      </w:pPr>
      <w:r w:rsidRPr="002D2B6D">
        <w:rPr>
          <w:b/>
        </w:rPr>
        <w:t>RATIONALE FOR CHOICE OF METHODS</w:t>
      </w:r>
    </w:p>
    <w:p w14:paraId="3A181062" w14:textId="77777777" w:rsidR="004230AF" w:rsidRPr="002D2B6D" w:rsidRDefault="004230AF" w:rsidP="004230AF">
      <w:pPr>
        <w:spacing w:after="0" w:line="240" w:lineRule="auto"/>
      </w:pPr>
    </w:p>
    <w:p w14:paraId="48396222" w14:textId="77777777" w:rsidR="00C25335" w:rsidRPr="002D2B6D" w:rsidRDefault="00C25335" w:rsidP="004230AF">
      <w:pPr>
        <w:spacing w:after="0" w:line="240" w:lineRule="auto"/>
        <w:rPr>
          <w:b/>
        </w:rPr>
      </w:pPr>
      <w:r w:rsidRPr="002D2B6D">
        <w:rPr>
          <w:b/>
        </w:rPr>
        <w:t>Hypotheses</w:t>
      </w:r>
    </w:p>
    <w:p w14:paraId="5C7686B8" w14:textId="77777777" w:rsidR="004230AF" w:rsidRPr="002D2B6D" w:rsidRDefault="004230AF" w:rsidP="004230AF">
      <w:pPr>
        <w:spacing w:after="0" w:line="240" w:lineRule="auto"/>
        <w:rPr>
          <w:u w:val="single"/>
        </w:rPr>
      </w:pPr>
    </w:p>
    <w:p w14:paraId="4A1B2EEA" w14:textId="77777777" w:rsidR="00C25335" w:rsidRPr="002D2B6D" w:rsidRDefault="00C25335" w:rsidP="004230AF">
      <w:pPr>
        <w:spacing w:after="0" w:line="240" w:lineRule="auto"/>
        <w:rPr>
          <w:rFonts w:cs="Times New Roman"/>
        </w:rPr>
      </w:pPr>
      <w:r w:rsidRPr="002D2B6D">
        <w:rPr>
          <w:rFonts w:cs="Times New Roman"/>
        </w:rPr>
        <w:t>In this cross-sectional analysis we aimed to explore the potential mediating effect of cognitive reserve, indexed by a combination of educational level and occupational complexity, on the association between lifestyle factors and cognitive function in later life, using data from a large population-based cohort of healthy older people in Wales, United Kingdom. We hypothesized that cognitive reserve would mediate the association between potentially-modifiable lifestyle factors (cognitive activity, social engagement, physical activity, diet, alcohol consumption and smoking) and cognitive function.</w:t>
      </w:r>
    </w:p>
    <w:p w14:paraId="0FE39A55" w14:textId="77777777" w:rsidR="004230AF" w:rsidRPr="002D2B6D" w:rsidRDefault="004230AF" w:rsidP="004230AF">
      <w:pPr>
        <w:spacing w:after="0" w:line="240" w:lineRule="auto"/>
        <w:rPr>
          <w:rFonts w:cs="Times New Roman"/>
        </w:rPr>
      </w:pPr>
    </w:p>
    <w:p w14:paraId="29A461C2" w14:textId="77777777" w:rsidR="00C25335" w:rsidRPr="002D2B6D" w:rsidRDefault="00C25335" w:rsidP="004230AF">
      <w:pPr>
        <w:spacing w:after="0" w:line="240" w:lineRule="auto"/>
        <w:rPr>
          <w:b/>
        </w:rPr>
      </w:pPr>
      <w:r w:rsidRPr="002D2B6D">
        <w:rPr>
          <w:b/>
        </w:rPr>
        <w:t>Analysis plan</w:t>
      </w:r>
      <w:r w:rsidR="004230AF" w:rsidRPr="002D2B6D">
        <w:rPr>
          <w:b/>
        </w:rPr>
        <w:t xml:space="preserve"> (December 2015)</w:t>
      </w:r>
    </w:p>
    <w:p w14:paraId="22470FC4" w14:textId="77777777" w:rsidR="004230AF" w:rsidRPr="002D2B6D" w:rsidRDefault="004230AF" w:rsidP="004230AF">
      <w:pPr>
        <w:spacing w:after="0" w:line="240" w:lineRule="auto"/>
        <w:rPr>
          <w:u w:val="single"/>
        </w:rPr>
      </w:pPr>
    </w:p>
    <w:p w14:paraId="1B34A633" w14:textId="34F9004E" w:rsidR="0049311E" w:rsidRPr="002D2B6D" w:rsidRDefault="00A9512F" w:rsidP="004230AF">
      <w:pPr>
        <w:pStyle w:val="BodyText"/>
        <w:rPr>
          <w:rFonts w:asciiTheme="minorHAnsi" w:hAnsiTheme="minorHAnsi"/>
          <w:sz w:val="22"/>
          <w:szCs w:val="22"/>
        </w:rPr>
      </w:pPr>
      <w:r w:rsidRPr="002D2B6D">
        <w:rPr>
          <w:rFonts w:asciiTheme="minorHAnsi" w:hAnsiTheme="minorHAnsi"/>
          <w:b/>
          <w:sz w:val="22"/>
          <w:szCs w:val="22"/>
        </w:rPr>
        <w:t>Analysis steps:</w:t>
      </w:r>
      <w:r w:rsidRPr="002D2B6D">
        <w:rPr>
          <w:rFonts w:asciiTheme="minorHAnsi" w:hAnsiTheme="minorHAnsi"/>
          <w:sz w:val="22"/>
          <w:szCs w:val="22"/>
        </w:rPr>
        <w:t xml:space="preserve"> The hypothesis will be answered by use of a structural equation model. The initial steps devel</w:t>
      </w:r>
      <w:r w:rsidR="00DF685B" w:rsidRPr="002D2B6D">
        <w:rPr>
          <w:rFonts w:asciiTheme="minorHAnsi" w:hAnsiTheme="minorHAnsi"/>
          <w:sz w:val="22"/>
          <w:szCs w:val="22"/>
        </w:rPr>
        <w:t>o</w:t>
      </w:r>
      <w:r w:rsidRPr="002D2B6D">
        <w:rPr>
          <w:rFonts w:asciiTheme="minorHAnsi" w:hAnsiTheme="minorHAnsi"/>
          <w:sz w:val="22"/>
          <w:szCs w:val="22"/>
        </w:rPr>
        <w:t xml:space="preserve">p the relationship of the component parts prior to fitting them together in the mediation model. The initial steps investigate a) </w:t>
      </w:r>
      <w:r w:rsidR="0049311E" w:rsidRPr="002D2B6D">
        <w:rPr>
          <w:rFonts w:asciiTheme="minorHAnsi" w:hAnsiTheme="minorHAnsi"/>
          <w:sz w:val="22"/>
          <w:szCs w:val="22"/>
        </w:rPr>
        <w:t xml:space="preserve">the extent to which the lifestyle factors of physical activity, diet, smoking, and alcohol intake predict the cognitive lifestyle score which indexes cognitive reserve (comprising education, occupation, cognitive activity and social contact); (b) the extent to which the lifestyle factors of cognitive activity, social contact, physical activity, diet, smoking and alcohol intake predict cognitive function; and (c) the extent to which the cognitive lifestyle score predicts cognitive function. </w:t>
      </w:r>
      <w:r w:rsidRPr="002D2B6D">
        <w:rPr>
          <w:rFonts w:asciiTheme="minorHAnsi" w:hAnsiTheme="minorHAnsi"/>
          <w:sz w:val="22"/>
          <w:szCs w:val="22"/>
        </w:rPr>
        <w:t>Linear regression analysis will be undertaken to investigate these relationships. Lifestyle factors that are seen to be related (p&lt;0.1) in part a and b will be included in the final model. Cognitive reserve will also be checked to ensure it is related to cognitive function. Combining the lifestyle factors and cognitive reserve using a linear structural equation model with both direct (from lifestyle to cognition) and indirect (from lifestyle to cognition, through cognitive reserve) factors will be considered influential with significance level p=0.05. Potential confounders of age, gender and the</w:t>
      </w:r>
      <w:r w:rsidR="008E4E3A" w:rsidRPr="002D2B6D">
        <w:rPr>
          <w:rFonts w:asciiTheme="minorHAnsi" w:hAnsiTheme="minorHAnsi"/>
          <w:sz w:val="22"/>
          <w:szCs w:val="22"/>
        </w:rPr>
        <w:t xml:space="preserve"> presence of any of 5 chronic co-morbid conditions - </w:t>
      </w:r>
      <w:r w:rsidR="008E4E3A" w:rsidRPr="002D2B6D">
        <w:rPr>
          <w:rFonts w:asciiTheme="minorHAnsi" w:hAnsiTheme="minorHAnsi"/>
          <w:sz w:val="22"/>
          <w:szCs w:val="22"/>
        </w:rPr>
        <w:lastRenderedPageBreak/>
        <w:t>hypertension, diabetes, stroke, heart attack, and head injury – which may affect cognitive function</w:t>
      </w:r>
      <w:r w:rsidRPr="002D2B6D">
        <w:rPr>
          <w:rFonts w:asciiTheme="minorHAnsi" w:hAnsiTheme="minorHAnsi"/>
          <w:sz w:val="22"/>
          <w:szCs w:val="22"/>
        </w:rPr>
        <w:t xml:space="preserve"> will be adjusted for without statistical selection</w:t>
      </w:r>
      <w:r w:rsidR="00B94450" w:rsidRPr="002D2B6D">
        <w:rPr>
          <w:rFonts w:asciiTheme="minorHAnsi" w:hAnsiTheme="minorHAnsi"/>
          <w:sz w:val="22"/>
          <w:szCs w:val="22"/>
        </w:rPr>
        <w:t xml:space="preserve"> in a step-wise manner to investigate their relationship on the model coefficients.</w:t>
      </w:r>
    </w:p>
    <w:p w14:paraId="426E938F" w14:textId="77777777" w:rsidR="008E4E3A" w:rsidRPr="002D2B6D" w:rsidRDefault="008E4E3A" w:rsidP="004230AF">
      <w:pPr>
        <w:pStyle w:val="BodyText"/>
        <w:rPr>
          <w:rFonts w:asciiTheme="minorHAnsi" w:hAnsiTheme="minorHAnsi"/>
          <w:sz w:val="22"/>
          <w:szCs w:val="22"/>
        </w:rPr>
      </w:pPr>
    </w:p>
    <w:p w14:paraId="037FEBD4" w14:textId="4883B2BA" w:rsidR="00B65269" w:rsidRPr="002D2B6D" w:rsidRDefault="00512C51" w:rsidP="004230AF">
      <w:pPr>
        <w:pStyle w:val="BodyText"/>
        <w:rPr>
          <w:rFonts w:asciiTheme="minorHAnsi" w:hAnsiTheme="minorHAnsi"/>
          <w:sz w:val="22"/>
          <w:szCs w:val="22"/>
        </w:rPr>
      </w:pPr>
      <w:r w:rsidRPr="002D2B6D">
        <w:rPr>
          <w:rFonts w:asciiTheme="minorHAnsi" w:hAnsiTheme="minorHAnsi"/>
          <w:b/>
        </w:rPr>
        <w:t xml:space="preserve">Sample to be used: </w:t>
      </w:r>
      <w:r w:rsidR="00A52B86" w:rsidRPr="002D2B6D">
        <w:rPr>
          <w:rFonts w:asciiTheme="minorHAnsi" w:hAnsiTheme="minorHAnsi"/>
          <w:sz w:val="22"/>
          <w:szCs w:val="22"/>
        </w:rPr>
        <w:t xml:space="preserve">To ensure that we minimise the impact of reverse causality individuals will be excluded who demonstrate cognitive impairment, or for whom there is a need for continuous care. Individuals </w:t>
      </w:r>
      <w:r w:rsidR="008E4E3A" w:rsidRPr="002D2B6D">
        <w:rPr>
          <w:rFonts w:asciiTheme="minorHAnsi" w:hAnsiTheme="minorHAnsi"/>
          <w:sz w:val="22"/>
          <w:szCs w:val="22"/>
        </w:rPr>
        <w:t xml:space="preserve">will be excluded if they have a MMSE score </w:t>
      </w:r>
      <w:r w:rsidR="008E4E3A" w:rsidRPr="002D2B6D">
        <w:rPr>
          <w:rFonts w:asciiTheme="minorHAnsi" w:hAnsiTheme="minorHAnsi"/>
          <w:sz w:val="22"/>
          <w:szCs w:val="22"/>
          <w:u w:val="single"/>
        </w:rPr>
        <w:t>&lt;</w:t>
      </w:r>
      <w:r w:rsidR="008E4E3A" w:rsidRPr="002D2B6D">
        <w:rPr>
          <w:rFonts w:asciiTheme="minorHAnsi" w:hAnsiTheme="minorHAnsi"/>
          <w:sz w:val="22"/>
          <w:szCs w:val="22"/>
        </w:rPr>
        <w:t>25</w:t>
      </w:r>
      <w:r w:rsidR="00B65269" w:rsidRPr="002D2B6D">
        <w:rPr>
          <w:rFonts w:asciiTheme="minorHAnsi" w:hAnsiTheme="minorHAnsi"/>
          <w:sz w:val="22"/>
          <w:szCs w:val="22"/>
        </w:rPr>
        <w:t xml:space="preserve"> or an AGECAT classification of dementia or depression, or are living in residential care. We will also exclude participants who do not have </w:t>
      </w:r>
      <w:r w:rsidR="00A52B86" w:rsidRPr="002D2B6D">
        <w:rPr>
          <w:rFonts w:asciiTheme="minorHAnsi" w:hAnsiTheme="minorHAnsi"/>
          <w:sz w:val="22"/>
          <w:szCs w:val="22"/>
        </w:rPr>
        <w:t>complete measurements on our risk factors</w:t>
      </w:r>
      <w:r w:rsidR="00B65269" w:rsidRPr="002D2B6D">
        <w:rPr>
          <w:rFonts w:asciiTheme="minorHAnsi" w:hAnsiTheme="minorHAnsi"/>
          <w:sz w:val="22"/>
          <w:szCs w:val="22"/>
        </w:rPr>
        <w:t xml:space="preserve"> or for whom cognitive test scores are missing. </w:t>
      </w:r>
      <w:r w:rsidR="00A52B86" w:rsidRPr="002D2B6D">
        <w:rPr>
          <w:rFonts w:asciiTheme="minorHAnsi" w:hAnsiTheme="minorHAnsi"/>
          <w:sz w:val="22"/>
          <w:szCs w:val="22"/>
        </w:rPr>
        <w:t>A comparison of individuals excluded for missing data versus the complete cases will be undertaken to evaluate potential missing data bias.</w:t>
      </w:r>
    </w:p>
    <w:p w14:paraId="4DD8BDC1" w14:textId="77777777" w:rsidR="0049311E" w:rsidRPr="002D2B6D" w:rsidRDefault="0049311E" w:rsidP="004230AF">
      <w:pPr>
        <w:spacing w:after="0" w:line="240" w:lineRule="auto"/>
      </w:pPr>
    </w:p>
    <w:p w14:paraId="6C255E93" w14:textId="7F6C54DF" w:rsidR="006871B6" w:rsidRPr="002D2B6D" w:rsidRDefault="00512C51" w:rsidP="004230AF">
      <w:pPr>
        <w:pStyle w:val="BodyText"/>
        <w:rPr>
          <w:rFonts w:asciiTheme="minorHAnsi" w:hAnsiTheme="minorHAnsi"/>
          <w:sz w:val="22"/>
          <w:szCs w:val="22"/>
        </w:rPr>
      </w:pPr>
      <w:r w:rsidRPr="002D2B6D">
        <w:rPr>
          <w:rFonts w:asciiTheme="minorHAnsi" w:hAnsiTheme="minorHAnsi"/>
          <w:b/>
          <w:sz w:val="22"/>
          <w:szCs w:val="22"/>
        </w:rPr>
        <w:t>Variables:</w:t>
      </w:r>
      <w:r w:rsidRPr="002D2B6D">
        <w:rPr>
          <w:rFonts w:asciiTheme="minorHAnsi" w:hAnsiTheme="minorHAnsi"/>
          <w:sz w:val="22"/>
          <w:szCs w:val="22"/>
        </w:rPr>
        <w:t xml:space="preserve"> </w:t>
      </w:r>
      <w:r w:rsidR="0049311E" w:rsidRPr="002D2B6D">
        <w:rPr>
          <w:rFonts w:asciiTheme="minorHAnsi" w:hAnsiTheme="minorHAnsi"/>
          <w:sz w:val="22"/>
          <w:szCs w:val="22"/>
        </w:rPr>
        <w:t>Cognitive reserve will be assessed using a cognitive lifestyle score</w:t>
      </w:r>
      <w:r w:rsidRPr="002D2B6D">
        <w:rPr>
          <w:rFonts w:asciiTheme="minorHAnsi" w:hAnsiTheme="minorHAnsi"/>
          <w:sz w:val="22"/>
          <w:szCs w:val="22"/>
        </w:rPr>
        <w:t xml:space="preserve">; </w:t>
      </w:r>
      <w:r w:rsidR="0049311E" w:rsidRPr="002D2B6D">
        <w:rPr>
          <w:rFonts w:asciiTheme="minorHAnsi" w:hAnsiTheme="minorHAnsi"/>
          <w:sz w:val="22"/>
          <w:szCs w:val="22"/>
        </w:rPr>
        <w:t xml:space="preserve">this will comprise measures of education and occupational complexity (question 40, years of education; questions 45 – 50, occupation). </w:t>
      </w:r>
    </w:p>
    <w:p w14:paraId="018C5B81" w14:textId="77777777" w:rsidR="006871B6" w:rsidRPr="002D2B6D" w:rsidRDefault="006871B6" w:rsidP="004230AF">
      <w:pPr>
        <w:pStyle w:val="BodyText"/>
        <w:rPr>
          <w:rFonts w:asciiTheme="minorHAnsi" w:hAnsiTheme="minorHAnsi"/>
          <w:sz w:val="22"/>
          <w:szCs w:val="22"/>
        </w:rPr>
      </w:pPr>
    </w:p>
    <w:p w14:paraId="0EF47D0B" w14:textId="70AA0C09" w:rsidR="0049311E" w:rsidRPr="002D2B6D" w:rsidRDefault="0049311E" w:rsidP="004230AF">
      <w:pPr>
        <w:pStyle w:val="BodyText"/>
        <w:rPr>
          <w:rFonts w:asciiTheme="minorHAnsi" w:hAnsiTheme="minorHAnsi"/>
          <w:sz w:val="22"/>
          <w:szCs w:val="22"/>
        </w:rPr>
      </w:pPr>
      <w:r w:rsidRPr="002D2B6D">
        <w:rPr>
          <w:rFonts w:asciiTheme="minorHAnsi" w:hAnsiTheme="minorHAnsi"/>
          <w:sz w:val="22"/>
          <w:szCs w:val="22"/>
        </w:rPr>
        <w:t xml:space="preserve">Assessment of cognitive function will be based on responses to the CAMCOG (questions 266 – 372). </w:t>
      </w:r>
    </w:p>
    <w:p w14:paraId="546DC000" w14:textId="77777777" w:rsidR="0049311E" w:rsidRPr="002D2B6D" w:rsidRDefault="0049311E" w:rsidP="004230AF">
      <w:pPr>
        <w:spacing w:after="0" w:line="240" w:lineRule="auto"/>
      </w:pPr>
    </w:p>
    <w:p w14:paraId="4F9636BA" w14:textId="50BE6100" w:rsidR="008E4E3A" w:rsidRPr="002D2B6D" w:rsidRDefault="0049311E" w:rsidP="004230AF">
      <w:pPr>
        <w:pStyle w:val="BodyText"/>
        <w:rPr>
          <w:rFonts w:asciiTheme="minorHAnsi" w:hAnsiTheme="minorHAnsi"/>
          <w:sz w:val="22"/>
          <w:szCs w:val="22"/>
        </w:rPr>
      </w:pPr>
      <w:r w:rsidRPr="002D2B6D">
        <w:rPr>
          <w:rFonts w:asciiTheme="minorHAnsi" w:hAnsiTheme="minorHAnsi"/>
          <w:sz w:val="22"/>
          <w:szCs w:val="22"/>
        </w:rPr>
        <w:t xml:space="preserve">The lifestyle factors (other than cognitive and social activity) to be considered will be physical activity, diet, smoking and alcohol intake. Physical activity is covered in questions 375 – 395, which give a measure of number of activities undertaken and frequency of activity for the categories of vigorous, moderate and light activity. Diet is covered in questions 191 – 200, covering intake of oily fish, fruit and vegetables. Smoking is covered in questions 500 – 505 which indicate current and past smoking behaviour; other substance use is covered in questions 506 – 507. Alcohol intake is covered in questions 508 – 529. </w:t>
      </w:r>
    </w:p>
    <w:p w14:paraId="2AA95A8D" w14:textId="77777777" w:rsidR="008E4E3A" w:rsidRPr="002D2B6D" w:rsidRDefault="008E4E3A" w:rsidP="004230AF">
      <w:pPr>
        <w:spacing w:after="0" w:line="240" w:lineRule="auto"/>
      </w:pPr>
    </w:p>
    <w:p w14:paraId="137666B9" w14:textId="75FE419B" w:rsidR="006871B6" w:rsidRPr="002D2B6D" w:rsidRDefault="006871B6" w:rsidP="006871B6">
      <w:pPr>
        <w:spacing w:after="0" w:line="240" w:lineRule="auto"/>
      </w:pPr>
      <w:r w:rsidRPr="002D2B6D">
        <w:rPr>
          <w:b/>
        </w:rPr>
        <w:t>Calculation o</w:t>
      </w:r>
      <w:r w:rsidR="00512C51" w:rsidRPr="002D2B6D">
        <w:rPr>
          <w:b/>
        </w:rPr>
        <w:t>f the cognitive lifestyle score:</w:t>
      </w:r>
      <w:r w:rsidR="00512C51" w:rsidRPr="002D2B6D">
        <w:t xml:space="preserve"> </w:t>
      </w:r>
      <w:r w:rsidRPr="002D2B6D">
        <w:t>The cognitive lifestyle score relates to two component parts of an individual</w:t>
      </w:r>
      <w:r w:rsidR="00DF685B" w:rsidRPr="002D2B6D">
        <w:t>’</w:t>
      </w:r>
      <w:r w:rsidRPr="002D2B6D">
        <w:t>s life</w:t>
      </w:r>
      <w:r w:rsidR="00512C51" w:rsidRPr="002D2B6D">
        <w:t>. These are</w:t>
      </w:r>
      <w:r w:rsidRPr="002D2B6D">
        <w:t xml:space="preserve"> education history (investigated using number of years of full time education), and occupational complexity (measured using social class, and social economic group of main employment). A combination score has previously been used extensively </w:t>
      </w:r>
      <w:r w:rsidR="00512C51" w:rsidRPr="002D2B6D">
        <w:t xml:space="preserve">(e.g. Valenzuela et al. 2011 – reference 18 in paper) </w:t>
      </w:r>
      <w:r w:rsidR="00FB585E" w:rsidRPr="002D2B6D">
        <w:t xml:space="preserve">and we have adopted a similar approach for </w:t>
      </w:r>
      <w:r w:rsidRPr="002D2B6D">
        <w:t xml:space="preserve">this analysis. The years of education variable has a range of 8-32 years, but the majority of the population lie between 9 years and 14 years as indicated from leaving school at </w:t>
      </w:r>
      <w:r w:rsidR="00103796">
        <w:t>statutory level through to post</w:t>
      </w:r>
      <w:r w:rsidRPr="002D2B6D">
        <w:t xml:space="preserve">graduate qualifications. Social class and occupational complexity are combined using 14 categories, indicated by highly professional, high social class occupations as 1 (such as lawyer with employees, hospital consultant) through to 14 (such as cleaner, advertising sign holder). Category 15 is used for divorced housewives with no history of occupation. To ensure that the </w:t>
      </w:r>
      <w:r w:rsidR="00B94450" w:rsidRPr="002D2B6D">
        <w:t xml:space="preserve">spread of </w:t>
      </w:r>
      <w:r w:rsidRPr="002D2B6D">
        <w:t xml:space="preserve">both parts of the score are of equal value the score will be calculated by a weighted sum of the two components with the weights determined by the </w:t>
      </w:r>
      <w:r w:rsidR="00B94450" w:rsidRPr="002D2B6D">
        <w:t>interquartile ranges (IQR) of the two components</w:t>
      </w:r>
      <w:r w:rsidRPr="002D2B6D">
        <w:t xml:space="preserve">, </w:t>
      </w:r>
      <w:r w:rsidR="00B94450" w:rsidRPr="002D2B6D">
        <w:t xml:space="preserve">One component will be weighted 1, the other component will be weighted as the ratio of the two IQRs. </w:t>
      </w:r>
      <w:r w:rsidRPr="002D2B6D">
        <w:t xml:space="preserve"> The distribution of the final variable will be inspected to ensure a continuous scale with large range of values.</w:t>
      </w:r>
      <w:r w:rsidR="00383EFB" w:rsidRPr="002D2B6D">
        <w:t xml:space="preserve"> During the analysis stage this item will be standardised.</w:t>
      </w:r>
    </w:p>
    <w:p w14:paraId="7496BC06" w14:textId="77777777" w:rsidR="006871B6" w:rsidRPr="002D2B6D" w:rsidRDefault="006871B6" w:rsidP="004230AF">
      <w:pPr>
        <w:spacing w:after="0" w:line="240" w:lineRule="auto"/>
        <w:rPr>
          <w:b/>
        </w:rPr>
      </w:pPr>
    </w:p>
    <w:p w14:paraId="45253946" w14:textId="77777777" w:rsidR="0049311E" w:rsidRPr="002D2B6D" w:rsidRDefault="0049311E" w:rsidP="004230AF">
      <w:pPr>
        <w:spacing w:after="0" w:line="240" w:lineRule="auto"/>
        <w:rPr>
          <w:b/>
        </w:rPr>
      </w:pPr>
      <w:r w:rsidRPr="002D2B6D">
        <w:rPr>
          <w:b/>
        </w:rPr>
        <w:t>Actual analysis</w:t>
      </w:r>
      <w:r w:rsidR="004230AF" w:rsidRPr="002D2B6D">
        <w:rPr>
          <w:b/>
        </w:rPr>
        <w:t xml:space="preserve"> (August 2016)</w:t>
      </w:r>
    </w:p>
    <w:p w14:paraId="4012FF4E" w14:textId="77777777" w:rsidR="004230AF" w:rsidRPr="002D2B6D" w:rsidRDefault="004230AF" w:rsidP="004230AF">
      <w:pPr>
        <w:spacing w:after="0" w:line="240" w:lineRule="auto"/>
        <w:rPr>
          <w:b/>
        </w:rPr>
      </w:pPr>
    </w:p>
    <w:p w14:paraId="2FBD90F7" w14:textId="43A8FAA4" w:rsidR="004230AF" w:rsidRPr="002D2B6D" w:rsidRDefault="004230AF" w:rsidP="004230AF">
      <w:pPr>
        <w:spacing w:after="0" w:line="240" w:lineRule="auto"/>
        <w:rPr>
          <w:u w:val="single"/>
        </w:rPr>
      </w:pPr>
      <w:r w:rsidRPr="002D2B6D">
        <w:rPr>
          <w:u w:val="single"/>
        </w:rPr>
        <w:t>Initial steps</w:t>
      </w:r>
      <w:r w:rsidR="00A52B86" w:rsidRPr="002D2B6D">
        <w:rPr>
          <w:u w:val="single"/>
        </w:rPr>
        <w:t>, data checking and review of methods proposed</w:t>
      </w:r>
    </w:p>
    <w:p w14:paraId="6AC1884E" w14:textId="77777777" w:rsidR="00512C51" w:rsidRPr="002D2B6D" w:rsidRDefault="00512C51" w:rsidP="004230AF">
      <w:pPr>
        <w:spacing w:after="0" w:line="240" w:lineRule="auto"/>
      </w:pPr>
    </w:p>
    <w:p w14:paraId="2789DC60" w14:textId="504D5E22" w:rsidR="006871B6" w:rsidRPr="002D2B6D" w:rsidRDefault="00FB585E" w:rsidP="004230AF">
      <w:pPr>
        <w:spacing w:after="0" w:line="240" w:lineRule="auto"/>
      </w:pPr>
      <w:r w:rsidRPr="002D2B6D">
        <w:t>During this stage we i</w:t>
      </w:r>
      <w:r w:rsidR="00A52B86" w:rsidRPr="002D2B6D">
        <w:t>nvestigat</w:t>
      </w:r>
      <w:r w:rsidRPr="002D2B6D">
        <w:t>ed</w:t>
      </w:r>
      <w:r w:rsidR="00A52B86" w:rsidRPr="002D2B6D">
        <w:t xml:space="preserve"> the missing data, by variable</w:t>
      </w:r>
      <w:r w:rsidRPr="002D2B6D">
        <w:t>, and compared</w:t>
      </w:r>
      <w:r w:rsidR="0049311E" w:rsidRPr="002D2B6D">
        <w:t xml:space="preserve"> complete cases and those with missing data.</w:t>
      </w:r>
      <w:r w:rsidRPr="002D2B6D">
        <w:t xml:space="preserve"> We reviewed the</w:t>
      </w:r>
      <w:r w:rsidR="004230AF" w:rsidRPr="002D2B6D">
        <w:t xml:space="preserve"> distributions of variables. </w:t>
      </w:r>
      <w:r w:rsidRPr="002D2B6D">
        <w:t xml:space="preserve">The </w:t>
      </w:r>
      <w:r w:rsidR="006871B6" w:rsidRPr="002D2B6D">
        <w:t>cognitive lifestyle score</w:t>
      </w:r>
      <w:r w:rsidRPr="002D2B6D">
        <w:t xml:space="preserve"> was calculated.</w:t>
      </w:r>
    </w:p>
    <w:p w14:paraId="3CCEBAB5" w14:textId="77777777" w:rsidR="00A52B86" w:rsidRPr="002D2B6D" w:rsidRDefault="00A52B86" w:rsidP="004230AF">
      <w:pPr>
        <w:spacing w:after="0" w:line="240" w:lineRule="auto"/>
      </w:pPr>
    </w:p>
    <w:p w14:paraId="61DD90C3" w14:textId="77777777" w:rsidR="00A52B86" w:rsidRPr="002D2B6D" w:rsidRDefault="00A52B86" w:rsidP="004230AF">
      <w:pPr>
        <w:spacing w:after="0" w:line="240" w:lineRule="auto"/>
        <w:rPr>
          <w:u w:val="single"/>
        </w:rPr>
      </w:pPr>
    </w:p>
    <w:p w14:paraId="72319E5E" w14:textId="77777777" w:rsidR="004230AF" w:rsidRPr="002D2B6D" w:rsidRDefault="004230AF" w:rsidP="004230AF">
      <w:pPr>
        <w:spacing w:after="0" w:line="240" w:lineRule="auto"/>
        <w:rPr>
          <w:u w:val="single"/>
        </w:rPr>
      </w:pPr>
      <w:r w:rsidRPr="002D2B6D">
        <w:rPr>
          <w:u w:val="single"/>
        </w:rPr>
        <w:t>Linear regression modelling</w:t>
      </w:r>
    </w:p>
    <w:p w14:paraId="749568CB" w14:textId="77777777" w:rsidR="004230AF" w:rsidRPr="002D2B6D" w:rsidRDefault="004230AF" w:rsidP="004230AF">
      <w:pPr>
        <w:spacing w:after="0" w:line="240" w:lineRule="auto"/>
        <w:rPr>
          <w:u w:val="single"/>
        </w:rPr>
      </w:pPr>
    </w:p>
    <w:p w14:paraId="22E21C46" w14:textId="5AACA04F" w:rsidR="0049311E" w:rsidRPr="002D2B6D" w:rsidRDefault="0049311E" w:rsidP="004230AF">
      <w:pPr>
        <w:spacing w:after="0" w:line="240" w:lineRule="auto"/>
        <w:rPr>
          <w:rFonts w:cs="Times New Roman"/>
        </w:rPr>
      </w:pPr>
      <w:r w:rsidRPr="002D2B6D">
        <w:rPr>
          <w:rFonts w:cs="Times New Roman"/>
        </w:rPr>
        <w:t>Linear regression modelling was used to investigate the overall associations between each lifestyle factor and cognitive function adjusting for demographic factors and chronic conditions. Since the five lifestyle factors were likely to be correlated, a full model was tested that included all lifestyle factors and covariates</w:t>
      </w:r>
      <w:r w:rsidR="00FE63D6" w:rsidRPr="002D2B6D">
        <w:rPr>
          <w:rFonts w:cs="Times New Roman"/>
        </w:rPr>
        <w:t xml:space="preserve"> </w:t>
      </w:r>
      <w:r w:rsidR="009816AD" w:rsidRPr="002D2B6D">
        <w:rPr>
          <w:rFonts w:cs="Times New Roman"/>
        </w:rPr>
        <w:t>to ensure sufficient independent effects</w:t>
      </w:r>
      <w:r w:rsidRPr="002D2B6D">
        <w:rPr>
          <w:rFonts w:cs="Times New Roman"/>
        </w:rPr>
        <w:t>.</w:t>
      </w:r>
    </w:p>
    <w:p w14:paraId="57636BE4" w14:textId="77777777" w:rsidR="004230AF" w:rsidRPr="002D2B6D" w:rsidRDefault="004230AF" w:rsidP="004230AF">
      <w:pPr>
        <w:spacing w:after="0" w:line="240" w:lineRule="auto"/>
        <w:rPr>
          <w:rFonts w:cs="Times New Roman"/>
        </w:rPr>
      </w:pPr>
    </w:p>
    <w:p w14:paraId="1C2EE817" w14:textId="43211AF7" w:rsidR="0049311E" w:rsidRPr="002D2B6D" w:rsidRDefault="0049311E" w:rsidP="004230AF">
      <w:pPr>
        <w:spacing w:after="0" w:line="240" w:lineRule="auto"/>
        <w:rPr>
          <w:rFonts w:cs="Times New Roman"/>
          <w:u w:val="single"/>
        </w:rPr>
      </w:pPr>
      <w:r w:rsidRPr="002D2B6D">
        <w:rPr>
          <w:rFonts w:cs="Times New Roman"/>
          <w:u w:val="single"/>
        </w:rPr>
        <w:t xml:space="preserve">Adjustment of variables based on </w:t>
      </w:r>
      <w:r w:rsidR="009816AD" w:rsidRPr="002D2B6D">
        <w:rPr>
          <w:rFonts w:cs="Times New Roman"/>
          <w:u w:val="single"/>
        </w:rPr>
        <w:t>preliminary modelling</w:t>
      </w:r>
    </w:p>
    <w:p w14:paraId="4E8A812A" w14:textId="77777777" w:rsidR="004230AF" w:rsidRPr="002D2B6D" w:rsidRDefault="004230AF" w:rsidP="004230AF">
      <w:pPr>
        <w:spacing w:after="0" w:line="240" w:lineRule="auto"/>
        <w:rPr>
          <w:rFonts w:cs="Times New Roman"/>
          <w:u w:val="single"/>
        </w:rPr>
      </w:pPr>
    </w:p>
    <w:p w14:paraId="3289F4B0" w14:textId="68143CAF" w:rsidR="0049311E" w:rsidRPr="002D2B6D" w:rsidRDefault="0049311E" w:rsidP="004230AF">
      <w:pPr>
        <w:spacing w:after="0" w:line="240" w:lineRule="auto"/>
        <w:rPr>
          <w:rFonts w:cs="Times New Roman"/>
        </w:rPr>
      </w:pPr>
      <w:r w:rsidRPr="002D2B6D">
        <w:rPr>
          <w:rFonts w:cs="Times New Roman"/>
        </w:rPr>
        <w:t>The measure of smoking was re-categorised into two groups (current vs ex-smokers/never) in the mediation analysis</w:t>
      </w:r>
      <w:r w:rsidR="00C20888" w:rsidRPr="002D2B6D">
        <w:rPr>
          <w:rFonts w:cs="Times New Roman"/>
        </w:rPr>
        <w:t>, to reduce the number of parameters.</w:t>
      </w:r>
    </w:p>
    <w:p w14:paraId="717CC1E7" w14:textId="77777777" w:rsidR="004230AF" w:rsidRPr="002D2B6D" w:rsidRDefault="004230AF" w:rsidP="004230AF">
      <w:pPr>
        <w:spacing w:after="0" w:line="240" w:lineRule="auto"/>
        <w:rPr>
          <w:rFonts w:cs="Times New Roman"/>
        </w:rPr>
      </w:pPr>
    </w:p>
    <w:p w14:paraId="5A279D13" w14:textId="6B69064C" w:rsidR="0049311E" w:rsidRPr="002D2B6D" w:rsidRDefault="0049311E" w:rsidP="004230AF">
      <w:pPr>
        <w:spacing w:after="0" w:line="240" w:lineRule="auto"/>
        <w:rPr>
          <w:rFonts w:cs="Times New Roman"/>
        </w:rPr>
      </w:pPr>
      <w:r w:rsidRPr="002D2B6D">
        <w:rPr>
          <w:rFonts w:cs="Times New Roman"/>
        </w:rPr>
        <w:t>The frequency of alcohol consumption was treated as a continuous variable and the ‘trend’ (changes in cognitive function per increase in frequency level) was identified as appropriate for use in subsequent analyses</w:t>
      </w:r>
      <w:r w:rsidR="00C20888" w:rsidRPr="002D2B6D">
        <w:rPr>
          <w:rFonts w:cs="Times New Roman"/>
        </w:rPr>
        <w:t xml:space="preserve"> and reduced the number of parameters.</w:t>
      </w:r>
    </w:p>
    <w:p w14:paraId="3CC1B9F2" w14:textId="77777777" w:rsidR="004230AF" w:rsidRPr="002D2B6D" w:rsidRDefault="004230AF" w:rsidP="004230AF">
      <w:pPr>
        <w:spacing w:after="0" w:line="240" w:lineRule="auto"/>
        <w:rPr>
          <w:rFonts w:cs="Times New Roman"/>
        </w:rPr>
      </w:pPr>
    </w:p>
    <w:p w14:paraId="6F073CCC" w14:textId="77777777" w:rsidR="0049311E" w:rsidRPr="002D2B6D" w:rsidRDefault="0049311E" w:rsidP="004230AF">
      <w:pPr>
        <w:pStyle w:val="PlainText"/>
        <w:rPr>
          <w:rFonts w:asciiTheme="minorHAnsi" w:hAnsiTheme="minorHAnsi" w:cs="Times New Roman"/>
          <w:sz w:val="22"/>
          <w:szCs w:val="22"/>
          <w:u w:val="single"/>
        </w:rPr>
      </w:pPr>
      <w:r w:rsidRPr="002D2B6D">
        <w:rPr>
          <w:rFonts w:asciiTheme="minorHAnsi" w:hAnsiTheme="minorHAnsi" w:cs="Times New Roman"/>
          <w:sz w:val="22"/>
          <w:szCs w:val="22"/>
          <w:u w:val="single"/>
        </w:rPr>
        <w:t>Mediation analysis</w:t>
      </w:r>
    </w:p>
    <w:p w14:paraId="03B44DAE" w14:textId="77777777" w:rsidR="004230AF" w:rsidRPr="002D2B6D" w:rsidRDefault="004230AF" w:rsidP="004230AF">
      <w:pPr>
        <w:pStyle w:val="PlainText"/>
        <w:rPr>
          <w:rFonts w:asciiTheme="minorHAnsi" w:hAnsiTheme="minorHAnsi" w:cs="Times New Roman"/>
          <w:sz w:val="22"/>
          <w:szCs w:val="22"/>
          <w:u w:val="single"/>
        </w:rPr>
      </w:pPr>
    </w:p>
    <w:p w14:paraId="3714D185" w14:textId="737164A2" w:rsidR="0049311E" w:rsidRPr="002D2B6D" w:rsidRDefault="0049311E" w:rsidP="004230AF">
      <w:pPr>
        <w:pStyle w:val="PlainText"/>
        <w:rPr>
          <w:rFonts w:asciiTheme="minorHAnsi" w:hAnsiTheme="minorHAnsi" w:cs="Times New Roman"/>
          <w:sz w:val="22"/>
          <w:szCs w:val="22"/>
        </w:rPr>
      </w:pPr>
      <w:r w:rsidRPr="002D2B6D">
        <w:rPr>
          <w:rFonts w:asciiTheme="minorHAnsi" w:hAnsiTheme="minorHAnsi" w:cs="Times New Roman"/>
          <w:sz w:val="22"/>
          <w:szCs w:val="22"/>
        </w:rPr>
        <w:t>To investigate the potential mediating effect of cognitive reserve on the association between lifestyle factors and cognitive function, three pathways (</w:t>
      </w:r>
      <w:r w:rsidRPr="002D2B6D">
        <w:rPr>
          <w:rFonts w:asciiTheme="minorHAnsi" w:hAnsiTheme="minorHAnsi" w:cs="Times New Roman"/>
          <w:i/>
          <w:sz w:val="22"/>
          <w:szCs w:val="22"/>
        </w:rPr>
        <w:t>a, b, c</w:t>
      </w:r>
      <w:r w:rsidRPr="002D2B6D">
        <w:rPr>
          <w:rFonts w:asciiTheme="minorHAnsi" w:hAnsiTheme="minorHAnsi" w:cs="Times New Roman"/>
          <w:sz w:val="22"/>
          <w:szCs w:val="22"/>
        </w:rPr>
        <w:t xml:space="preserve">) were estimated using linear regression modelling and adjusting for age, gender and chronic conditions. For each lifestyle factor, direct and indirect effects were calculated using the STATA mediation analysis syntax (sgmediation) with bootstrapping confidence intervals. The percentage of indirect pathways among the total effect was calculated to indicate the mediating effect of cognitive reserve on the association between lifestyle factors and cognitive function. All the lifestyle factors were included in one regression model to explore the overall indirect effect of cognitive reserve. Adjusted R-squared was used to indicate the proportion of variance explained by the independent variables. All measures were standardised </w:t>
      </w:r>
      <w:r w:rsidR="009816AD" w:rsidRPr="002D2B6D">
        <w:rPr>
          <w:rFonts w:asciiTheme="minorHAnsi" w:hAnsiTheme="minorHAnsi" w:cs="Times New Roman"/>
          <w:sz w:val="22"/>
          <w:szCs w:val="22"/>
        </w:rPr>
        <w:t xml:space="preserve">(within the programme) </w:t>
      </w:r>
      <w:r w:rsidRPr="002D2B6D">
        <w:rPr>
          <w:rFonts w:asciiTheme="minorHAnsi" w:hAnsiTheme="minorHAnsi" w:cs="Times New Roman"/>
          <w:sz w:val="22"/>
          <w:szCs w:val="22"/>
        </w:rPr>
        <w:t>to provide comparable coefficients across different lifestyle factors.</w:t>
      </w:r>
    </w:p>
    <w:p w14:paraId="34B6B5D5" w14:textId="77777777" w:rsidR="0049311E" w:rsidRPr="002D2B6D" w:rsidRDefault="0049311E" w:rsidP="004230AF">
      <w:pPr>
        <w:spacing w:after="0" w:line="240" w:lineRule="auto"/>
        <w:rPr>
          <w:rFonts w:cs="Times New Roman"/>
        </w:rPr>
      </w:pPr>
    </w:p>
    <w:p w14:paraId="273E0710" w14:textId="0B2B1DD5" w:rsidR="00201989" w:rsidRDefault="00C25335" w:rsidP="004230AF">
      <w:pPr>
        <w:spacing w:after="0" w:line="240" w:lineRule="auto"/>
      </w:pPr>
      <w:r w:rsidRPr="00201989">
        <w:rPr>
          <w:b/>
        </w:rPr>
        <w:t>Sensitivity analysis</w:t>
      </w:r>
      <w:r w:rsidR="00201989">
        <w:t xml:space="preserve"> </w:t>
      </w:r>
      <w:r w:rsidR="00201989" w:rsidRPr="00201989">
        <w:rPr>
          <w:b/>
        </w:rPr>
        <w:t>(December 2016)</w:t>
      </w:r>
    </w:p>
    <w:p w14:paraId="0580EA82" w14:textId="77777777" w:rsidR="00201989" w:rsidRDefault="00201989" w:rsidP="004230AF">
      <w:pPr>
        <w:spacing w:after="0" w:line="240" w:lineRule="auto"/>
      </w:pPr>
    </w:p>
    <w:p w14:paraId="68ECD734" w14:textId="3B717891" w:rsidR="00C25335" w:rsidRPr="002D2B6D" w:rsidRDefault="00201989" w:rsidP="004230AF">
      <w:pPr>
        <w:spacing w:after="0" w:line="240" w:lineRule="auto"/>
      </w:pPr>
      <w:r>
        <w:t xml:space="preserve">In response to reviewer request, </w:t>
      </w:r>
      <w:r w:rsidR="00FE63D6" w:rsidRPr="002D2B6D">
        <w:rPr>
          <w:lang w:eastAsia="zh-TW"/>
        </w:rPr>
        <w:t>w</w:t>
      </w:r>
      <w:r w:rsidR="00C25335" w:rsidRPr="002D2B6D">
        <w:rPr>
          <w:lang w:eastAsia="zh-TW"/>
        </w:rPr>
        <w:t xml:space="preserve">e conducted a sensitivity analysis using multiple imputation </w:t>
      </w:r>
      <w:r w:rsidR="00FE63D6" w:rsidRPr="002D2B6D">
        <w:rPr>
          <w:lang w:eastAsia="zh-TW"/>
        </w:rPr>
        <w:t xml:space="preserve">replicating the mediation analysis. The imputation model included all factors included in the final model for all individuals in our sample (i.e. excluding the cognitively frail). </w:t>
      </w:r>
      <w:r w:rsidR="00C25335" w:rsidRPr="002D2B6D">
        <w:rPr>
          <w:lang w:eastAsia="zh-TW"/>
        </w:rPr>
        <w:t xml:space="preserve">The regression coefficients from imputed datasets were similar </w:t>
      </w:r>
      <w:r w:rsidR="00FE63D6" w:rsidRPr="002D2B6D">
        <w:rPr>
          <w:lang w:eastAsia="zh-TW"/>
        </w:rPr>
        <w:t xml:space="preserve">(within 2 decimal places) </w:t>
      </w:r>
      <w:r w:rsidR="00C25335" w:rsidRPr="002D2B6D">
        <w:rPr>
          <w:lang w:eastAsia="zh-TW"/>
        </w:rPr>
        <w:t>to the results of complete case analysis. We can therefore con</w:t>
      </w:r>
      <w:r w:rsidR="00FE63D6" w:rsidRPr="002D2B6D">
        <w:rPr>
          <w:lang w:eastAsia="zh-TW"/>
        </w:rPr>
        <w:t>clude</w:t>
      </w:r>
      <w:r w:rsidR="00C25335" w:rsidRPr="002D2B6D">
        <w:rPr>
          <w:lang w:eastAsia="zh-TW"/>
        </w:rPr>
        <w:t xml:space="preserve"> that the 4% missing data had limited impact on the findings.</w:t>
      </w:r>
      <w:r>
        <w:rPr>
          <w:lang w:eastAsia="zh-TW"/>
        </w:rPr>
        <w:t xml:space="preserve"> Results of the sensitivity analysis are shown in the Appendix.</w:t>
      </w:r>
    </w:p>
    <w:p w14:paraId="710B70CE" w14:textId="77777777" w:rsidR="002D2B6D" w:rsidRPr="002D2B6D" w:rsidRDefault="002D2B6D" w:rsidP="004230AF">
      <w:pPr>
        <w:spacing w:after="0" w:line="240" w:lineRule="auto"/>
        <w:rPr>
          <w:lang w:eastAsia="zh-TW"/>
        </w:rPr>
      </w:pPr>
    </w:p>
    <w:p w14:paraId="26FCE97D" w14:textId="77777777" w:rsidR="008E4E3A" w:rsidRDefault="008E4E3A" w:rsidP="004230AF">
      <w:pPr>
        <w:spacing w:after="0" w:line="240" w:lineRule="auto"/>
        <w:rPr>
          <w:b/>
          <w:lang w:eastAsia="zh-TW"/>
        </w:rPr>
      </w:pPr>
    </w:p>
    <w:p w14:paraId="48BEEF7F" w14:textId="77777777" w:rsidR="002D2B6D" w:rsidRDefault="002D2B6D" w:rsidP="004230AF">
      <w:pPr>
        <w:spacing w:after="0" w:line="240" w:lineRule="auto"/>
        <w:rPr>
          <w:b/>
          <w:lang w:eastAsia="zh-TW"/>
        </w:rPr>
      </w:pPr>
    </w:p>
    <w:p w14:paraId="5FF6BB0B" w14:textId="77777777" w:rsidR="002D2B6D" w:rsidRDefault="002D2B6D" w:rsidP="004230AF">
      <w:pPr>
        <w:spacing w:after="0" w:line="240" w:lineRule="auto"/>
        <w:rPr>
          <w:b/>
          <w:lang w:eastAsia="zh-TW"/>
        </w:rPr>
      </w:pPr>
    </w:p>
    <w:p w14:paraId="17728205" w14:textId="77777777" w:rsidR="002D2B6D" w:rsidRDefault="002D2B6D" w:rsidP="004230AF">
      <w:pPr>
        <w:spacing w:after="0" w:line="240" w:lineRule="auto"/>
        <w:rPr>
          <w:b/>
          <w:lang w:eastAsia="zh-TW"/>
        </w:rPr>
      </w:pPr>
    </w:p>
    <w:p w14:paraId="1EF2B84F" w14:textId="77777777" w:rsidR="002D2B6D" w:rsidRDefault="002D2B6D" w:rsidP="004230AF">
      <w:pPr>
        <w:spacing w:after="0" w:line="240" w:lineRule="auto"/>
        <w:rPr>
          <w:b/>
          <w:lang w:eastAsia="zh-TW"/>
        </w:rPr>
      </w:pPr>
    </w:p>
    <w:p w14:paraId="609574E8" w14:textId="77777777" w:rsidR="002D2B6D" w:rsidRDefault="002D2B6D" w:rsidP="004230AF">
      <w:pPr>
        <w:spacing w:after="0" w:line="240" w:lineRule="auto"/>
        <w:rPr>
          <w:b/>
          <w:lang w:eastAsia="zh-TW"/>
        </w:rPr>
      </w:pPr>
    </w:p>
    <w:p w14:paraId="60B2C9B0" w14:textId="77777777" w:rsidR="002D2B6D" w:rsidRDefault="002D2B6D" w:rsidP="004230AF">
      <w:pPr>
        <w:spacing w:after="0" w:line="240" w:lineRule="auto"/>
        <w:rPr>
          <w:b/>
          <w:lang w:eastAsia="zh-TW"/>
        </w:rPr>
      </w:pPr>
    </w:p>
    <w:p w14:paraId="45F043DF" w14:textId="77777777" w:rsidR="002D2B6D" w:rsidRDefault="002D2B6D" w:rsidP="004230AF">
      <w:pPr>
        <w:spacing w:after="0" w:line="240" w:lineRule="auto"/>
        <w:rPr>
          <w:b/>
          <w:lang w:eastAsia="zh-TW"/>
        </w:rPr>
      </w:pPr>
    </w:p>
    <w:p w14:paraId="2D68A12C" w14:textId="77777777" w:rsidR="002D2B6D" w:rsidRDefault="002D2B6D" w:rsidP="004230AF">
      <w:pPr>
        <w:spacing w:after="0" w:line="240" w:lineRule="auto"/>
        <w:rPr>
          <w:b/>
          <w:lang w:eastAsia="zh-TW"/>
        </w:rPr>
      </w:pPr>
    </w:p>
    <w:p w14:paraId="21FBE2B0" w14:textId="77777777" w:rsidR="002D2B6D" w:rsidRDefault="002D2B6D" w:rsidP="004230AF">
      <w:pPr>
        <w:spacing w:after="0" w:line="240" w:lineRule="auto"/>
        <w:rPr>
          <w:b/>
          <w:lang w:eastAsia="zh-TW"/>
        </w:rPr>
      </w:pPr>
    </w:p>
    <w:p w14:paraId="57343B46" w14:textId="77777777" w:rsidR="002D2B6D" w:rsidRDefault="002D2B6D" w:rsidP="004230AF">
      <w:pPr>
        <w:spacing w:after="0" w:line="240" w:lineRule="auto"/>
        <w:rPr>
          <w:b/>
          <w:lang w:eastAsia="zh-TW"/>
        </w:rPr>
      </w:pPr>
    </w:p>
    <w:p w14:paraId="09D2D542" w14:textId="77777777" w:rsidR="002D2B6D" w:rsidRPr="002D2B6D" w:rsidRDefault="002D2B6D" w:rsidP="004230AF">
      <w:pPr>
        <w:spacing w:after="0" w:line="240" w:lineRule="auto"/>
        <w:rPr>
          <w:b/>
          <w:lang w:eastAsia="zh-TW"/>
        </w:rPr>
      </w:pPr>
    </w:p>
    <w:p w14:paraId="13E8B89D" w14:textId="720393FB" w:rsidR="00512C51" w:rsidRPr="002D2B6D" w:rsidRDefault="003667AC" w:rsidP="004230AF">
      <w:pPr>
        <w:spacing w:after="0" w:line="240" w:lineRule="auto"/>
        <w:rPr>
          <w:b/>
        </w:rPr>
      </w:pPr>
      <w:r>
        <w:rPr>
          <w:b/>
        </w:rPr>
        <w:t>RESULTS OF SENSITIVITY ANALYSIS</w:t>
      </w:r>
      <w:r w:rsidR="00734EE4" w:rsidRPr="002D2B6D">
        <w:rPr>
          <w:b/>
        </w:rPr>
        <w:t xml:space="preserve"> </w:t>
      </w:r>
    </w:p>
    <w:p w14:paraId="3A77119D" w14:textId="77777777" w:rsidR="00CC50E2" w:rsidRPr="002D2B6D" w:rsidRDefault="00CC50E2" w:rsidP="004230AF">
      <w:pPr>
        <w:spacing w:after="0" w:line="240" w:lineRule="auto"/>
        <w:rPr>
          <w:b/>
        </w:rPr>
      </w:pPr>
    </w:p>
    <w:p w14:paraId="10242EFA" w14:textId="77777777" w:rsidR="00201989" w:rsidRPr="002D2B6D" w:rsidRDefault="00201989" w:rsidP="004230AF">
      <w:pPr>
        <w:spacing w:after="0" w:line="240" w:lineRule="auto"/>
        <w:rPr>
          <w:u w:val="single"/>
        </w:rPr>
      </w:pPr>
    </w:p>
    <w:p w14:paraId="11E99327" w14:textId="6FBBD94D" w:rsidR="002D2B6D" w:rsidRPr="007D197A" w:rsidRDefault="002D2B6D" w:rsidP="002D2B6D">
      <w:pPr>
        <w:rPr>
          <w:lang w:eastAsia="zh-TW"/>
        </w:rPr>
      </w:pPr>
      <w:r>
        <w:rPr>
          <w:rFonts w:hint="eastAsia"/>
          <w:lang w:eastAsia="zh-TW"/>
        </w:rPr>
        <w:t xml:space="preserve">Results of </w:t>
      </w:r>
      <w:r w:rsidR="0092112B">
        <w:rPr>
          <w:rFonts w:hint="eastAsia"/>
          <w:lang w:eastAsia="zh-TW"/>
        </w:rPr>
        <w:t>complete case</w:t>
      </w:r>
      <w:r>
        <w:rPr>
          <w:rFonts w:hint="eastAsia"/>
          <w:lang w:eastAsia="zh-TW"/>
        </w:rPr>
        <w:t xml:space="preserve"> analysis and multiple imputation (MI)</w:t>
      </w:r>
    </w:p>
    <w:tbl>
      <w:tblPr>
        <w:tblStyle w:val="TableGrid"/>
        <w:tblW w:w="926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50"/>
        <w:gridCol w:w="1369"/>
        <w:gridCol w:w="1276"/>
        <w:gridCol w:w="1267"/>
        <w:gridCol w:w="1135"/>
        <w:gridCol w:w="1230"/>
        <w:gridCol w:w="1236"/>
      </w:tblGrid>
      <w:tr w:rsidR="002D2B6D" w:rsidRPr="007D197A" w14:paraId="7C3A547D" w14:textId="77777777" w:rsidTr="002D2B6D">
        <w:trPr>
          <w:jc w:val="center"/>
        </w:trPr>
        <w:tc>
          <w:tcPr>
            <w:tcW w:w="1750" w:type="dxa"/>
            <w:tcBorders>
              <w:bottom w:val="nil"/>
            </w:tcBorders>
          </w:tcPr>
          <w:p w14:paraId="292834D1" w14:textId="77777777" w:rsidR="002D2B6D" w:rsidRPr="007D197A" w:rsidRDefault="002D2B6D" w:rsidP="00C62CF5">
            <w:pPr>
              <w:rPr>
                <w:rFonts w:cs="Times New Roman"/>
                <w:sz w:val="18"/>
                <w:szCs w:val="18"/>
              </w:rPr>
            </w:pPr>
          </w:p>
        </w:tc>
        <w:tc>
          <w:tcPr>
            <w:tcW w:w="2645" w:type="dxa"/>
            <w:gridSpan w:val="2"/>
          </w:tcPr>
          <w:p w14:paraId="067EFBD6" w14:textId="77777777" w:rsidR="002D2B6D" w:rsidRPr="007D197A" w:rsidRDefault="002D2B6D" w:rsidP="00C62CF5">
            <w:pPr>
              <w:rPr>
                <w:rFonts w:cs="Times New Roman"/>
                <w:sz w:val="18"/>
                <w:szCs w:val="18"/>
              </w:rPr>
            </w:pPr>
            <w:r w:rsidRPr="007D197A">
              <w:rPr>
                <w:rFonts w:cs="Times New Roman"/>
                <w:sz w:val="18"/>
                <w:szCs w:val="18"/>
              </w:rPr>
              <w:t>Path a (Association between lifestyle factor and cognitive reserve)</w:t>
            </w:r>
          </w:p>
        </w:tc>
        <w:tc>
          <w:tcPr>
            <w:tcW w:w="2402" w:type="dxa"/>
            <w:gridSpan w:val="2"/>
          </w:tcPr>
          <w:p w14:paraId="50900646" w14:textId="77777777" w:rsidR="002D2B6D" w:rsidRPr="007D197A" w:rsidRDefault="002D2B6D" w:rsidP="00C62CF5">
            <w:pPr>
              <w:rPr>
                <w:rFonts w:cs="Times New Roman"/>
                <w:sz w:val="18"/>
                <w:szCs w:val="18"/>
              </w:rPr>
            </w:pPr>
            <w:r w:rsidRPr="007D197A">
              <w:rPr>
                <w:rFonts w:cs="Times New Roman"/>
                <w:sz w:val="18"/>
                <w:szCs w:val="18"/>
              </w:rPr>
              <w:t>Path b (Association between cognitive reserve and cognitive function)</w:t>
            </w:r>
          </w:p>
        </w:tc>
        <w:tc>
          <w:tcPr>
            <w:tcW w:w="2466" w:type="dxa"/>
            <w:gridSpan w:val="2"/>
          </w:tcPr>
          <w:p w14:paraId="404D9AD9" w14:textId="77777777" w:rsidR="002D2B6D" w:rsidRPr="007D197A" w:rsidRDefault="002D2B6D" w:rsidP="00C62CF5">
            <w:pPr>
              <w:rPr>
                <w:rFonts w:cs="Times New Roman"/>
                <w:sz w:val="18"/>
                <w:szCs w:val="18"/>
              </w:rPr>
            </w:pPr>
            <w:r w:rsidRPr="007D197A">
              <w:rPr>
                <w:rFonts w:cs="Times New Roman"/>
                <w:sz w:val="18"/>
                <w:szCs w:val="18"/>
              </w:rPr>
              <w:t>Path c (Association between lifestyle factor and cognitive function)</w:t>
            </w:r>
          </w:p>
        </w:tc>
      </w:tr>
      <w:tr w:rsidR="002D2B6D" w:rsidRPr="007D197A" w14:paraId="782B2870" w14:textId="77777777" w:rsidTr="002D2B6D">
        <w:trPr>
          <w:jc w:val="center"/>
        </w:trPr>
        <w:tc>
          <w:tcPr>
            <w:tcW w:w="1750" w:type="dxa"/>
            <w:tcBorders>
              <w:top w:val="nil"/>
              <w:bottom w:val="single" w:sz="4" w:space="0" w:color="auto"/>
            </w:tcBorders>
          </w:tcPr>
          <w:p w14:paraId="64C8418F" w14:textId="77777777" w:rsidR="002D2B6D" w:rsidRPr="007D197A" w:rsidRDefault="002D2B6D" w:rsidP="00C62CF5">
            <w:pPr>
              <w:rPr>
                <w:rFonts w:cs="Times New Roman"/>
                <w:sz w:val="18"/>
                <w:szCs w:val="18"/>
              </w:rPr>
            </w:pPr>
          </w:p>
        </w:tc>
        <w:tc>
          <w:tcPr>
            <w:tcW w:w="1369" w:type="dxa"/>
            <w:tcBorders>
              <w:bottom w:val="single" w:sz="4" w:space="0" w:color="auto"/>
            </w:tcBorders>
          </w:tcPr>
          <w:p w14:paraId="7187F86B" w14:textId="49979913" w:rsidR="002D2B6D" w:rsidRPr="007D197A" w:rsidRDefault="0092112B" w:rsidP="002D2B6D">
            <w:pPr>
              <w:rPr>
                <w:rFonts w:cs="Times New Roman"/>
                <w:sz w:val="18"/>
                <w:szCs w:val="18"/>
                <w:lang w:eastAsia="zh-TW"/>
              </w:rPr>
            </w:pPr>
            <w:r>
              <w:rPr>
                <w:rFonts w:cs="Times New Roman" w:hint="eastAsia"/>
                <w:sz w:val="18"/>
                <w:szCs w:val="18"/>
                <w:lang w:eastAsia="zh-TW"/>
              </w:rPr>
              <w:t>Main</w:t>
            </w:r>
            <w:r w:rsidR="002D2B6D" w:rsidRPr="007D197A">
              <w:rPr>
                <w:rFonts w:cs="Times New Roman"/>
                <w:sz w:val="18"/>
                <w:szCs w:val="18"/>
              </w:rPr>
              <w:t xml:space="preserve"> </w:t>
            </w:r>
            <w:r w:rsidR="002D2B6D">
              <w:rPr>
                <w:rFonts w:cs="Times New Roman" w:hint="eastAsia"/>
                <w:sz w:val="18"/>
                <w:szCs w:val="18"/>
                <w:lang w:eastAsia="zh-TW"/>
              </w:rPr>
              <w:t>analysis</w:t>
            </w:r>
          </w:p>
        </w:tc>
        <w:tc>
          <w:tcPr>
            <w:tcW w:w="1276" w:type="dxa"/>
            <w:tcBorders>
              <w:bottom w:val="single" w:sz="4" w:space="0" w:color="auto"/>
            </w:tcBorders>
          </w:tcPr>
          <w:p w14:paraId="0852092D" w14:textId="77777777" w:rsidR="002D2B6D" w:rsidRPr="007D197A" w:rsidRDefault="002D2B6D" w:rsidP="00C62CF5">
            <w:pPr>
              <w:rPr>
                <w:rFonts w:cs="Times New Roman"/>
                <w:sz w:val="18"/>
                <w:szCs w:val="18"/>
              </w:rPr>
            </w:pPr>
            <w:r w:rsidRPr="007D197A">
              <w:rPr>
                <w:rFonts w:cs="Times New Roman"/>
                <w:sz w:val="18"/>
                <w:szCs w:val="18"/>
              </w:rPr>
              <w:t>MI results</w:t>
            </w:r>
          </w:p>
        </w:tc>
        <w:tc>
          <w:tcPr>
            <w:tcW w:w="1267" w:type="dxa"/>
            <w:tcBorders>
              <w:bottom w:val="single" w:sz="4" w:space="0" w:color="auto"/>
            </w:tcBorders>
          </w:tcPr>
          <w:p w14:paraId="4E36B0D4" w14:textId="2C4B50BC" w:rsidR="002D2B6D" w:rsidRPr="007D197A" w:rsidRDefault="002D2B6D" w:rsidP="00C62CF5">
            <w:pPr>
              <w:rPr>
                <w:rFonts w:cs="Times New Roman"/>
                <w:sz w:val="18"/>
                <w:szCs w:val="18"/>
              </w:rPr>
            </w:pPr>
            <w:r w:rsidRPr="007D197A">
              <w:rPr>
                <w:rFonts w:cs="Times New Roman"/>
                <w:sz w:val="18"/>
                <w:szCs w:val="18"/>
              </w:rPr>
              <w:t xml:space="preserve">Main </w:t>
            </w:r>
            <w:r>
              <w:rPr>
                <w:rFonts w:cs="Times New Roman" w:hint="eastAsia"/>
                <w:sz w:val="18"/>
                <w:szCs w:val="18"/>
                <w:lang w:eastAsia="zh-TW"/>
              </w:rPr>
              <w:t>analysis</w:t>
            </w:r>
          </w:p>
        </w:tc>
        <w:tc>
          <w:tcPr>
            <w:tcW w:w="1135" w:type="dxa"/>
            <w:tcBorders>
              <w:bottom w:val="single" w:sz="4" w:space="0" w:color="auto"/>
            </w:tcBorders>
          </w:tcPr>
          <w:p w14:paraId="232A98AC" w14:textId="1C635293" w:rsidR="002D2B6D" w:rsidRPr="007D197A" w:rsidRDefault="002D2B6D" w:rsidP="00C62CF5">
            <w:pPr>
              <w:rPr>
                <w:rFonts w:cs="Times New Roman"/>
                <w:sz w:val="18"/>
                <w:szCs w:val="18"/>
              </w:rPr>
            </w:pPr>
            <w:r w:rsidRPr="007D197A">
              <w:rPr>
                <w:rFonts w:cs="Times New Roman"/>
                <w:sz w:val="18"/>
                <w:szCs w:val="18"/>
              </w:rPr>
              <w:t>MI results</w:t>
            </w:r>
          </w:p>
        </w:tc>
        <w:tc>
          <w:tcPr>
            <w:tcW w:w="1230" w:type="dxa"/>
            <w:tcBorders>
              <w:bottom w:val="single" w:sz="4" w:space="0" w:color="auto"/>
            </w:tcBorders>
          </w:tcPr>
          <w:p w14:paraId="342FC84A" w14:textId="64ED52CF" w:rsidR="002D2B6D" w:rsidRPr="007D197A" w:rsidRDefault="002D2B6D" w:rsidP="00C62CF5">
            <w:pPr>
              <w:rPr>
                <w:rFonts w:cs="Times New Roman"/>
                <w:sz w:val="18"/>
                <w:szCs w:val="18"/>
              </w:rPr>
            </w:pPr>
            <w:r w:rsidRPr="007D197A">
              <w:rPr>
                <w:rFonts w:cs="Times New Roman"/>
                <w:sz w:val="18"/>
                <w:szCs w:val="18"/>
              </w:rPr>
              <w:t xml:space="preserve">Main </w:t>
            </w:r>
            <w:r>
              <w:rPr>
                <w:rFonts w:cs="Times New Roman" w:hint="eastAsia"/>
                <w:sz w:val="18"/>
                <w:szCs w:val="18"/>
                <w:lang w:eastAsia="zh-TW"/>
              </w:rPr>
              <w:t>analysis</w:t>
            </w:r>
          </w:p>
        </w:tc>
        <w:tc>
          <w:tcPr>
            <w:tcW w:w="1236" w:type="dxa"/>
            <w:tcBorders>
              <w:bottom w:val="single" w:sz="4" w:space="0" w:color="auto"/>
            </w:tcBorders>
          </w:tcPr>
          <w:p w14:paraId="28239580" w14:textId="2480D68D" w:rsidR="002D2B6D" w:rsidRPr="007D197A" w:rsidRDefault="002D2B6D" w:rsidP="00C62CF5">
            <w:pPr>
              <w:rPr>
                <w:rFonts w:cs="Times New Roman"/>
                <w:sz w:val="18"/>
                <w:szCs w:val="18"/>
              </w:rPr>
            </w:pPr>
            <w:r w:rsidRPr="007D197A">
              <w:rPr>
                <w:rFonts w:cs="Times New Roman"/>
                <w:sz w:val="18"/>
                <w:szCs w:val="18"/>
              </w:rPr>
              <w:t>MI results</w:t>
            </w:r>
          </w:p>
        </w:tc>
      </w:tr>
      <w:tr w:rsidR="002D2B6D" w:rsidRPr="007D197A" w14:paraId="084720BF" w14:textId="77777777" w:rsidTr="002D2B6D">
        <w:trPr>
          <w:jc w:val="center"/>
        </w:trPr>
        <w:tc>
          <w:tcPr>
            <w:tcW w:w="1750" w:type="dxa"/>
            <w:tcBorders>
              <w:bottom w:val="nil"/>
            </w:tcBorders>
          </w:tcPr>
          <w:p w14:paraId="2ABB41D5" w14:textId="77777777" w:rsidR="002D2B6D" w:rsidRPr="007D197A" w:rsidRDefault="002D2B6D" w:rsidP="00C62CF5">
            <w:pPr>
              <w:rPr>
                <w:rFonts w:cs="Times New Roman"/>
                <w:b/>
                <w:sz w:val="18"/>
                <w:szCs w:val="18"/>
              </w:rPr>
            </w:pPr>
            <w:r w:rsidRPr="007D197A">
              <w:rPr>
                <w:rFonts w:cs="Times New Roman"/>
                <w:b/>
                <w:sz w:val="18"/>
                <w:szCs w:val="18"/>
              </w:rPr>
              <w:t>Cognitive reserve</w:t>
            </w:r>
          </w:p>
        </w:tc>
        <w:tc>
          <w:tcPr>
            <w:tcW w:w="1369" w:type="dxa"/>
            <w:tcBorders>
              <w:bottom w:val="nil"/>
            </w:tcBorders>
          </w:tcPr>
          <w:p w14:paraId="6CD9467E" w14:textId="77777777" w:rsidR="002D2B6D" w:rsidRPr="007D197A" w:rsidRDefault="002D2B6D" w:rsidP="00C62CF5">
            <w:pPr>
              <w:rPr>
                <w:rFonts w:cs="Times New Roman"/>
                <w:sz w:val="18"/>
                <w:szCs w:val="18"/>
              </w:rPr>
            </w:pPr>
            <w:r w:rsidRPr="007D197A">
              <w:rPr>
                <w:rFonts w:cs="Times New Roman"/>
                <w:sz w:val="18"/>
                <w:szCs w:val="18"/>
              </w:rPr>
              <w:t>-</w:t>
            </w:r>
          </w:p>
        </w:tc>
        <w:tc>
          <w:tcPr>
            <w:tcW w:w="1276" w:type="dxa"/>
            <w:tcBorders>
              <w:bottom w:val="nil"/>
            </w:tcBorders>
          </w:tcPr>
          <w:p w14:paraId="66723FDD" w14:textId="77777777" w:rsidR="002D2B6D" w:rsidRPr="007D197A" w:rsidRDefault="002D2B6D" w:rsidP="00C62CF5">
            <w:pPr>
              <w:rPr>
                <w:rFonts w:cs="Times New Roman"/>
                <w:sz w:val="18"/>
                <w:szCs w:val="18"/>
              </w:rPr>
            </w:pPr>
            <w:r w:rsidRPr="007D197A">
              <w:rPr>
                <w:rFonts w:cs="Times New Roman"/>
                <w:sz w:val="18"/>
                <w:szCs w:val="18"/>
              </w:rPr>
              <w:t>-</w:t>
            </w:r>
          </w:p>
        </w:tc>
        <w:tc>
          <w:tcPr>
            <w:tcW w:w="1267" w:type="dxa"/>
            <w:tcBorders>
              <w:bottom w:val="nil"/>
            </w:tcBorders>
          </w:tcPr>
          <w:p w14:paraId="4808F74C" w14:textId="77777777" w:rsidR="002D2B6D" w:rsidRPr="007D197A" w:rsidRDefault="002D2B6D" w:rsidP="00C62CF5">
            <w:pPr>
              <w:rPr>
                <w:rFonts w:cs="Times New Roman"/>
                <w:sz w:val="18"/>
                <w:szCs w:val="18"/>
              </w:rPr>
            </w:pPr>
            <w:r w:rsidRPr="007D197A">
              <w:rPr>
                <w:rFonts w:cs="Times New Roman"/>
                <w:sz w:val="18"/>
                <w:szCs w:val="18"/>
              </w:rPr>
              <w:t xml:space="preserve">0.21 </w:t>
            </w:r>
          </w:p>
          <w:p w14:paraId="1B03FBAC" w14:textId="77777777" w:rsidR="002D2B6D" w:rsidRPr="007D197A" w:rsidRDefault="002D2B6D" w:rsidP="00C62CF5">
            <w:pPr>
              <w:rPr>
                <w:rFonts w:cs="Times New Roman"/>
                <w:sz w:val="18"/>
                <w:szCs w:val="18"/>
              </w:rPr>
            </w:pPr>
            <w:r w:rsidRPr="007D197A">
              <w:rPr>
                <w:rFonts w:cs="Times New Roman"/>
                <w:sz w:val="18"/>
                <w:szCs w:val="18"/>
              </w:rPr>
              <w:t>(0.17, 0.25)</w:t>
            </w:r>
          </w:p>
        </w:tc>
        <w:tc>
          <w:tcPr>
            <w:tcW w:w="1135" w:type="dxa"/>
            <w:tcBorders>
              <w:bottom w:val="nil"/>
            </w:tcBorders>
          </w:tcPr>
          <w:p w14:paraId="02DABFE4" w14:textId="77777777" w:rsidR="002D2B6D" w:rsidRPr="007D197A" w:rsidRDefault="002D2B6D" w:rsidP="00C62CF5">
            <w:pPr>
              <w:rPr>
                <w:rFonts w:cs="Times New Roman"/>
                <w:sz w:val="18"/>
                <w:szCs w:val="18"/>
              </w:rPr>
            </w:pPr>
            <w:r w:rsidRPr="007D197A">
              <w:rPr>
                <w:rFonts w:cs="Times New Roman"/>
                <w:sz w:val="18"/>
                <w:szCs w:val="18"/>
              </w:rPr>
              <w:t>0.20</w:t>
            </w:r>
          </w:p>
          <w:p w14:paraId="1D004F78" w14:textId="77777777" w:rsidR="002D2B6D" w:rsidRPr="007D197A" w:rsidRDefault="002D2B6D" w:rsidP="00C62CF5">
            <w:pPr>
              <w:rPr>
                <w:rFonts w:cs="Times New Roman"/>
                <w:sz w:val="18"/>
                <w:szCs w:val="18"/>
              </w:rPr>
            </w:pPr>
            <w:r w:rsidRPr="007D197A">
              <w:rPr>
                <w:rFonts w:cs="Times New Roman"/>
                <w:sz w:val="18"/>
                <w:szCs w:val="18"/>
              </w:rPr>
              <w:t>(0.16, 0.24)</w:t>
            </w:r>
          </w:p>
        </w:tc>
        <w:tc>
          <w:tcPr>
            <w:tcW w:w="1230" w:type="dxa"/>
            <w:tcBorders>
              <w:bottom w:val="nil"/>
            </w:tcBorders>
          </w:tcPr>
          <w:p w14:paraId="2FF56692" w14:textId="77777777" w:rsidR="002D2B6D" w:rsidRPr="007D197A" w:rsidRDefault="002D2B6D" w:rsidP="00C62CF5">
            <w:pPr>
              <w:rPr>
                <w:rFonts w:cs="Times New Roman"/>
                <w:sz w:val="18"/>
                <w:szCs w:val="18"/>
              </w:rPr>
            </w:pPr>
            <w:r w:rsidRPr="007D197A">
              <w:rPr>
                <w:rFonts w:cs="Times New Roman"/>
                <w:sz w:val="18"/>
                <w:szCs w:val="18"/>
              </w:rPr>
              <w:t>-</w:t>
            </w:r>
          </w:p>
        </w:tc>
        <w:tc>
          <w:tcPr>
            <w:tcW w:w="1236" w:type="dxa"/>
            <w:tcBorders>
              <w:bottom w:val="nil"/>
            </w:tcBorders>
          </w:tcPr>
          <w:p w14:paraId="746CAD74" w14:textId="77777777" w:rsidR="002D2B6D" w:rsidRPr="007D197A" w:rsidRDefault="002D2B6D" w:rsidP="00C62CF5">
            <w:pPr>
              <w:rPr>
                <w:rFonts w:cs="Times New Roman"/>
                <w:sz w:val="18"/>
                <w:szCs w:val="18"/>
              </w:rPr>
            </w:pPr>
            <w:r w:rsidRPr="007D197A">
              <w:rPr>
                <w:rFonts w:cs="Times New Roman"/>
                <w:sz w:val="18"/>
                <w:szCs w:val="18"/>
              </w:rPr>
              <w:t>-</w:t>
            </w:r>
          </w:p>
        </w:tc>
      </w:tr>
      <w:tr w:rsidR="002D2B6D" w:rsidRPr="007D197A" w14:paraId="2D1CF796" w14:textId="77777777" w:rsidTr="002D2B6D">
        <w:trPr>
          <w:jc w:val="center"/>
        </w:trPr>
        <w:tc>
          <w:tcPr>
            <w:tcW w:w="1750" w:type="dxa"/>
            <w:tcBorders>
              <w:top w:val="nil"/>
              <w:bottom w:val="nil"/>
            </w:tcBorders>
          </w:tcPr>
          <w:p w14:paraId="2BBFFE8E" w14:textId="77777777" w:rsidR="002D2B6D" w:rsidRPr="007D197A" w:rsidRDefault="002D2B6D" w:rsidP="00C62CF5">
            <w:pPr>
              <w:rPr>
                <w:rFonts w:cs="Times New Roman"/>
                <w:b/>
                <w:sz w:val="18"/>
                <w:szCs w:val="18"/>
              </w:rPr>
            </w:pPr>
            <w:r w:rsidRPr="007D197A">
              <w:rPr>
                <w:rFonts w:cs="Times New Roman"/>
                <w:b/>
                <w:sz w:val="18"/>
                <w:szCs w:val="18"/>
              </w:rPr>
              <w:t>Physical activity</w:t>
            </w:r>
          </w:p>
        </w:tc>
        <w:tc>
          <w:tcPr>
            <w:tcW w:w="1369" w:type="dxa"/>
            <w:tcBorders>
              <w:top w:val="nil"/>
              <w:bottom w:val="nil"/>
            </w:tcBorders>
          </w:tcPr>
          <w:p w14:paraId="7F9545C7" w14:textId="77777777" w:rsidR="002D2B6D" w:rsidRPr="007D197A" w:rsidRDefault="002D2B6D" w:rsidP="00C62CF5">
            <w:pPr>
              <w:rPr>
                <w:rFonts w:cs="Times New Roman"/>
                <w:sz w:val="18"/>
                <w:szCs w:val="18"/>
              </w:rPr>
            </w:pPr>
            <w:r w:rsidRPr="007D197A">
              <w:rPr>
                <w:rFonts w:cs="Times New Roman"/>
                <w:sz w:val="18"/>
                <w:szCs w:val="18"/>
              </w:rPr>
              <w:t xml:space="preserve">0.02 </w:t>
            </w:r>
          </w:p>
          <w:p w14:paraId="1CA2EC57" w14:textId="77777777" w:rsidR="002D2B6D" w:rsidRPr="007D197A" w:rsidRDefault="002D2B6D" w:rsidP="00C62CF5">
            <w:pPr>
              <w:rPr>
                <w:rFonts w:cs="Times New Roman"/>
                <w:sz w:val="18"/>
                <w:szCs w:val="18"/>
              </w:rPr>
            </w:pPr>
            <w:r w:rsidRPr="007D197A">
              <w:rPr>
                <w:rFonts w:cs="Times New Roman"/>
                <w:sz w:val="18"/>
                <w:szCs w:val="18"/>
              </w:rPr>
              <w:t>(-0.02, 0.07)</w:t>
            </w:r>
          </w:p>
        </w:tc>
        <w:tc>
          <w:tcPr>
            <w:tcW w:w="1276" w:type="dxa"/>
            <w:tcBorders>
              <w:top w:val="nil"/>
              <w:bottom w:val="nil"/>
            </w:tcBorders>
          </w:tcPr>
          <w:p w14:paraId="315181A0" w14:textId="77777777" w:rsidR="002D2B6D" w:rsidRPr="007D197A" w:rsidRDefault="002D2B6D" w:rsidP="00C62CF5">
            <w:pPr>
              <w:rPr>
                <w:rFonts w:cs="Times New Roman"/>
                <w:sz w:val="18"/>
                <w:szCs w:val="18"/>
              </w:rPr>
            </w:pPr>
            <w:r w:rsidRPr="007D197A">
              <w:rPr>
                <w:rFonts w:cs="Times New Roman"/>
                <w:sz w:val="18"/>
                <w:szCs w:val="18"/>
              </w:rPr>
              <w:t>0.03</w:t>
            </w:r>
          </w:p>
          <w:p w14:paraId="1EE69D8F" w14:textId="77777777" w:rsidR="002D2B6D" w:rsidRPr="007D197A" w:rsidRDefault="002D2B6D" w:rsidP="00C62CF5">
            <w:pPr>
              <w:rPr>
                <w:rFonts w:cs="Times New Roman"/>
                <w:sz w:val="18"/>
                <w:szCs w:val="18"/>
              </w:rPr>
            </w:pPr>
            <w:r w:rsidRPr="007D197A">
              <w:rPr>
                <w:rFonts w:cs="Times New Roman"/>
                <w:sz w:val="18"/>
                <w:szCs w:val="18"/>
              </w:rPr>
              <w:t>(-0.02, 0.07)</w:t>
            </w:r>
          </w:p>
        </w:tc>
        <w:tc>
          <w:tcPr>
            <w:tcW w:w="1267" w:type="dxa"/>
            <w:tcBorders>
              <w:top w:val="nil"/>
              <w:bottom w:val="nil"/>
            </w:tcBorders>
          </w:tcPr>
          <w:p w14:paraId="103746E7" w14:textId="721480AA" w:rsidR="002D2B6D" w:rsidRPr="007D197A" w:rsidRDefault="002D2B6D" w:rsidP="00C62CF5">
            <w:pPr>
              <w:rPr>
                <w:rFonts w:cs="Times New Roman"/>
                <w:sz w:val="18"/>
                <w:szCs w:val="18"/>
                <w:lang w:eastAsia="zh-TW"/>
              </w:rPr>
            </w:pPr>
            <w:r>
              <w:rPr>
                <w:rFonts w:cs="Times New Roman" w:hint="eastAsia"/>
                <w:sz w:val="18"/>
                <w:szCs w:val="18"/>
                <w:lang w:eastAsia="zh-TW"/>
              </w:rPr>
              <w:t>-</w:t>
            </w:r>
          </w:p>
        </w:tc>
        <w:tc>
          <w:tcPr>
            <w:tcW w:w="1135" w:type="dxa"/>
            <w:tcBorders>
              <w:top w:val="nil"/>
              <w:bottom w:val="nil"/>
            </w:tcBorders>
          </w:tcPr>
          <w:p w14:paraId="33A7B820" w14:textId="5E1008BE" w:rsidR="002D2B6D" w:rsidRPr="007D197A" w:rsidRDefault="002D2B6D" w:rsidP="00C62CF5">
            <w:pPr>
              <w:rPr>
                <w:rFonts w:cs="Times New Roman"/>
                <w:sz w:val="18"/>
                <w:szCs w:val="18"/>
                <w:lang w:eastAsia="zh-TW"/>
              </w:rPr>
            </w:pPr>
            <w:r>
              <w:rPr>
                <w:rFonts w:cs="Times New Roman" w:hint="eastAsia"/>
                <w:sz w:val="18"/>
                <w:szCs w:val="18"/>
                <w:lang w:eastAsia="zh-TW"/>
              </w:rPr>
              <w:t>-</w:t>
            </w:r>
          </w:p>
        </w:tc>
        <w:tc>
          <w:tcPr>
            <w:tcW w:w="1230" w:type="dxa"/>
            <w:tcBorders>
              <w:top w:val="nil"/>
              <w:bottom w:val="nil"/>
            </w:tcBorders>
          </w:tcPr>
          <w:p w14:paraId="444F83E8" w14:textId="77777777" w:rsidR="002D2B6D" w:rsidRPr="007D197A" w:rsidRDefault="002D2B6D" w:rsidP="00C62CF5">
            <w:pPr>
              <w:rPr>
                <w:rFonts w:cs="Times New Roman"/>
                <w:sz w:val="18"/>
                <w:szCs w:val="18"/>
              </w:rPr>
            </w:pPr>
            <w:r w:rsidRPr="007D197A">
              <w:rPr>
                <w:rFonts w:cs="Times New Roman"/>
                <w:sz w:val="18"/>
                <w:szCs w:val="18"/>
              </w:rPr>
              <w:t>0.05</w:t>
            </w:r>
          </w:p>
          <w:p w14:paraId="398444C8" w14:textId="77777777" w:rsidR="002D2B6D" w:rsidRPr="007D197A" w:rsidRDefault="002D2B6D" w:rsidP="00C62CF5">
            <w:pPr>
              <w:rPr>
                <w:rFonts w:cs="Times New Roman"/>
                <w:sz w:val="18"/>
                <w:szCs w:val="18"/>
              </w:rPr>
            </w:pPr>
            <w:r w:rsidRPr="007D197A">
              <w:rPr>
                <w:rFonts w:cs="Times New Roman"/>
                <w:sz w:val="18"/>
                <w:szCs w:val="18"/>
              </w:rPr>
              <w:t>(0.00, 0.09)</w:t>
            </w:r>
          </w:p>
        </w:tc>
        <w:tc>
          <w:tcPr>
            <w:tcW w:w="1236" w:type="dxa"/>
            <w:tcBorders>
              <w:top w:val="nil"/>
              <w:bottom w:val="nil"/>
            </w:tcBorders>
          </w:tcPr>
          <w:p w14:paraId="224F7CE8" w14:textId="77777777" w:rsidR="002D2B6D" w:rsidRPr="007D197A" w:rsidRDefault="002D2B6D" w:rsidP="00C62CF5">
            <w:pPr>
              <w:rPr>
                <w:rFonts w:cs="Times New Roman"/>
                <w:sz w:val="18"/>
                <w:szCs w:val="18"/>
              </w:rPr>
            </w:pPr>
            <w:r w:rsidRPr="007D197A">
              <w:rPr>
                <w:rFonts w:cs="Times New Roman"/>
                <w:sz w:val="18"/>
                <w:szCs w:val="18"/>
              </w:rPr>
              <w:t>0.05</w:t>
            </w:r>
          </w:p>
          <w:p w14:paraId="5E77985C" w14:textId="77777777" w:rsidR="002D2B6D" w:rsidRPr="007D197A" w:rsidRDefault="002D2B6D" w:rsidP="00C62CF5">
            <w:pPr>
              <w:rPr>
                <w:rFonts w:cs="Times New Roman"/>
                <w:sz w:val="18"/>
                <w:szCs w:val="18"/>
              </w:rPr>
            </w:pPr>
            <w:r w:rsidRPr="007D197A">
              <w:rPr>
                <w:rFonts w:cs="Times New Roman"/>
                <w:sz w:val="18"/>
                <w:szCs w:val="18"/>
              </w:rPr>
              <w:t>(0.01, 0.09)</w:t>
            </w:r>
          </w:p>
        </w:tc>
      </w:tr>
      <w:tr w:rsidR="002D2B6D" w:rsidRPr="007D197A" w14:paraId="732A7BA9" w14:textId="77777777" w:rsidTr="002D2B6D">
        <w:trPr>
          <w:jc w:val="center"/>
        </w:trPr>
        <w:tc>
          <w:tcPr>
            <w:tcW w:w="1750" w:type="dxa"/>
            <w:tcBorders>
              <w:top w:val="nil"/>
              <w:bottom w:val="nil"/>
            </w:tcBorders>
          </w:tcPr>
          <w:p w14:paraId="4B52FA20" w14:textId="77777777" w:rsidR="002D2B6D" w:rsidRPr="007D197A" w:rsidRDefault="002D2B6D" w:rsidP="00C62CF5">
            <w:pPr>
              <w:rPr>
                <w:rFonts w:cs="Times New Roman"/>
                <w:b/>
                <w:sz w:val="18"/>
                <w:szCs w:val="18"/>
              </w:rPr>
            </w:pPr>
            <w:r w:rsidRPr="007D197A">
              <w:rPr>
                <w:rFonts w:cs="Times New Roman"/>
                <w:b/>
                <w:sz w:val="18"/>
                <w:szCs w:val="18"/>
              </w:rPr>
              <w:t>Alcohol</w:t>
            </w:r>
            <w:r w:rsidRPr="007D197A">
              <w:rPr>
                <w:rFonts w:cs="Times New Roman"/>
                <w:sz w:val="18"/>
                <w:szCs w:val="18"/>
              </w:rPr>
              <w:t xml:space="preserve"> (higher vs lower frequency)</w:t>
            </w:r>
          </w:p>
        </w:tc>
        <w:tc>
          <w:tcPr>
            <w:tcW w:w="1369" w:type="dxa"/>
            <w:tcBorders>
              <w:top w:val="nil"/>
              <w:bottom w:val="nil"/>
            </w:tcBorders>
          </w:tcPr>
          <w:p w14:paraId="49528626" w14:textId="77777777" w:rsidR="002D2B6D" w:rsidRPr="007D197A" w:rsidRDefault="002D2B6D" w:rsidP="00C62CF5">
            <w:pPr>
              <w:rPr>
                <w:rFonts w:cs="Times New Roman"/>
                <w:sz w:val="18"/>
                <w:szCs w:val="18"/>
              </w:rPr>
            </w:pPr>
            <w:r w:rsidRPr="007D197A">
              <w:rPr>
                <w:rFonts w:cs="Times New Roman"/>
                <w:sz w:val="18"/>
                <w:szCs w:val="18"/>
              </w:rPr>
              <w:t xml:space="preserve">0.10 </w:t>
            </w:r>
          </w:p>
          <w:p w14:paraId="7DF1488D" w14:textId="77777777" w:rsidR="002D2B6D" w:rsidRPr="007D197A" w:rsidRDefault="002D2B6D" w:rsidP="00C62CF5">
            <w:pPr>
              <w:rPr>
                <w:rFonts w:cs="Times New Roman"/>
                <w:sz w:val="18"/>
                <w:szCs w:val="18"/>
              </w:rPr>
            </w:pPr>
            <w:r w:rsidRPr="007D197A">
              <w:rPr>
                <w:rFonts w:cs="Times New Roman"/>
                <w:sz w:val="18"/>
                <w:szCs w:val="18"/>
              </w:rPr>
              <w:t>(0.06, 0.13)</w:t>
            </w:r>
          </w:p>
        </w:tc>
        <w:tc>
          <w:tcPr>
            <w:tcW w:w="1276" w:type="dxa"/>
            <w:tcBorders>
              <w:top w:val="nil"/>
              <w:bottom w:val="nil"/>
            </w:tcBorders>
          </w:tcPr>
          <w:p w14:paraId="2C7946E1" w14:textId="77777777" w:rsidR="002D2B6D" w:rsidRPr="007D197A" w:rsidRDefault="002D2B6D" w:rsidP="00C62CF5">
            <w:pPr>
              <w:rPr>
                <w:rFonts w:cs="Times New Roman"/>
                <w:sz w:val="18"/>
                <w:szCs w:val="18"/>
              </w:rPr>
            </w:pPr>
            <w:r w:rsidRPr="007D197A">
              <w:rPr>
                <w:rFonts w:cs="Times New Roman"/>
                <w:sz w:val="18"/>
                <w:szCs w:val="18"/>
              </w:rPr>
              <w:t>0.10</w:t>
            </w:r>
          </w:p>
          <w:p w14:paraId="43A0F0BE" w14:textId="77777777" w:rsidR="002D2B6D" w:rsidRPr="007D197A" w:rsidRDefault="002D2B6D" w:rsidP="00C62CF5">
            <w:pPr>
              <w:rPr>
                <w:rFonts w:cs="Times New Roman"/>
                <w:sz w:val="18"/>
                <w:szCs w:val="18"/>
              </w:rPr>
            </w:pPr>
            <w:r w:rsidRPr="007D197A">
              <w:rPr>
                <w:rFonts w:cs="Times New Roman"/>
                <w:sz w:val="18"/>
                <w:szCs w:val="18"/>
              </w:rPr>
              <w:t>(0.06, 0.13)</w:t>
            </w:r>
          </w:p>
        </w:tc>
        <w:tc>
          <w:tcPr>
            <w:tcW w:w="1267" w:type="dxa"/>
            <w:tcBorders>
              <w:top w:val="nil"/>
              <w:bottom w:val="nil"/>
            </w:tcBorders>
          </w:tcPr>
          <w:p w14:paraId="10407C0C" w14:textId="1798F46B" w:rsidR="002D2B6D" w:rsidRPr="007D197A" w:rsidRDefault="002D2B6D" w:rsidP="00C62CF5">
            <w:pPr>
              <w:rPr>
                <w:rFonts w:cs="Times New Roman"/>
                <w:sz w:val="18"/>
                <w:szCs w:val="18"/>
                <w:lang w:eastAsia="zh-TW"/>
              </w:rPr>
            </w:pPr>
            <w:r>
              <w:rPr>
                <w:rFonts w:cs="Times New Roman" w:hint="eastAsia"/>
                <w:sz w:val="18"/>
                <w:szCs w:val="18"/>
                <w:lang w:eastAsia="zh-TW"/>
              </w:rPr>
              <w:t>-</w:t>
            </w:r>
          </w:p>
        </w:tc>
        <w:tc>
          <w:tcPr>
            <w:tcW w:w="1135" w:type="dxa"/>
            <w:tcBorders>
              <w:top w:val="nil"/>
              <w:bottom w:val="nil"/>
            </w:tcBorders>
          </w:tcPr>
          <w:p w14:paraId="14E395BB" w14:textId="01D1860B" w:rsidR="002D2B6D" w:rsidRPr="007D197A" w:rsidRDefault="002D2B6D" w:rsidP="00C62CF5">
            <w:pPr>
              <w:rPr>
                <w:rFonts w:cs="Times New Roman"/>
                <w:sz w:val="18"/>
                <w:szCs w:val="18"/>
                <w:lang w:eastAsia="zh-TW"/>
              </w:rPr>
            </w:pPr>
            <w:r>
              <w:rPr>
                <w:rFonts w:cs="Times New Roman" w:hint="eastAsia"/>
                <w:sz w:val="18"/>
                <w:szCs w:val="18"/>
                <w:lang w:eastAsia="zh-TW"/>
              </w:rPr>
              <w:t>-</w:t>
            </w:r>
          </w:p>
        </w:tc>
        <w:tc>
          <w:tcPr>
            <w:tcW w:w="1230" w:type="dxa"/>
            <w:tcBorders>
              <w:top w:val="nil"/>
              <w:bottom w:val="nil"/>
            </w:tcBorders>
          </w:tcPr>
          <w:p w14:paraId="79F3D157" w14:textId="77777777" w:rsidR="002D2B6D" w:rsidRPr="007D197A" w:rsidRDefault="002D2B6D" w:rsidP="00C62CF5">
            <w:pPr>
              <w:rPr>
                <w:rFonts w:cs="Times New Roman"/>
                <w:sz w:val="18"/>
                <w:szCs w:val="18"/>
              </w:rPr>
            </w:pPr>
            <w:r w:rsidRPr="007D197A">
              <w:rPr>
                <w:rFonts w:cs="Times New Roman"/>
                <w:sz w:val="18"/>
                <w:szCs w:val="18"/>
              </w:rPr>
              <w:t>0.07</w:t>
            </w:r>
          </w:p>
          <w:p w14:paraId="19B2EF78" w14:textId="77777777" w:rsidR="002D2B6D" w:rsidRPr="007D197A" w:rsidRDefault="002D2B6D" w:rsidP="00C62CF5">
            <w:pPr>
              <w:rPr>
                <w:rFonts w:cs="Times New Roman"/>
                <w:sz w:val="18"/>
                <w:szCs w:val="18"/>
              </w:rPr>
            </w:pPr>
            <w:r w:rsidRPr="007D197A">
              <w:rPr>
                <w:rFonts w:cs="Times New Roman"/>
                <w:sz w:val="18"/>
                <w:szCs w:val="18"/>
              </w:rPr>
              <w:t>(0.03, 0.10)</w:t>
            </w:r>
          </w:p>
        </w:tc>
        <w:tc>
          <w:tcPr>
            <w:tcW w:w="1236" w:type="dxa"/>
            <w:tcBorders>
              <w:top w:val="nil"/>
              <w:bottom w:val="nil"/>
            </w:tcBorders>
          </w:tcPr>
          <w:p w14:paraId="009981A0" w14:textId="77777777" w:rsidR="002D2B6D" w:rsidRPr="007D197A" w:rsidRDefault="002D2B6D" w:rsidP="00C62CF5">
            <w:pPr>
              <w:rPr>
                <w:rFonts w:cs="Times New Roman"/>
                <w:sz w:val="18"/>
                <w:szCs w:val="18"/>
              </w:rPr>
            </w:pPr>
            <w:r w:rsidRPr="007D197A">
              <w:rPr>
                <w:rFonts w:cs="Times New Roman"/>
                <w:sz w:val="18"/>
                <w:szCs w:val="18"/>
              </w:rPr>
              <w:t>0.07</w:t>
            </w:r>
          </w:p>
          <w:p w14:paraId="1C0E7EFD" w14:textId="77777777" w:rsidR="002D2B6D" w:rsidRPr="007D197A" w:rsidRDefault="002D2B6D" w:rsidP="00C62CF5">
            <w:pPr>
              <w:rPr>
                <w:rFonts w:cs="Times New Roman"/>
                <w:sz w:val="18"/>
                <w:szCs w:val="18"/>
              </w:rPr>
            </w:pPr>
            <w:r w:rsidRPr="007D197A">
              <w:rPr>
                <w:rFonts w:cs="Times New Roman"/>
                <w:sz w:val="18"/>
                <w:szCs w:val="18"/>
              </w:rPr>
              <w:t>(0.03, 0.10)</w:t>
            </w:r>
          </w:p>
        </w:tc>
      </w:tr>
      <w:tr w:rsidR="002D2B6D" w:rsidRPr="007D197A" w14:paraId="694E4979" w14:textId="77777777" w:rsidTr="002D2B6D">
        <w:trPr>
          <w:jc w:val="center"/>
        </w:trPr>
        <w:tc>
          <w:tcPr>
            <w:tcW w:w="1750" w:type="dxa"/>
            <w:tcBorders>
              <w:top w:val="nil"/>
              <w:bottom w:val="nil"/>
            </w:tcBorders>
          </w:tcPr>
          <w:p w14:paraId="3FD7003D" w14:textId="77777777" w:rsidR="002D2B6D" w:rsidRPr="007D197A" w:rsidRDefault="002D2B6D" w:rsidP="00C62CF5">
            <w:pPr>
              <w:rPr>
                <w:rFonts w:cs="Times New Roman"/>
                <w:b/>
                <w:sz w:val="18"/>
                <w:szCs w:val="18"/>
              </w:rPr>
            </w:pPr>
            <w:r w:rsidRPr="007D197A">
              <w:rPr>
                <w:rFonts w:cs="Times New Roman"/>
                <w:b/>
                <w:sz w:val="18"/>
                <w:szCs w:val="18"/>
              </w:rPr>
              <w:t>Diet</w:t>
            </w:r>
          </w:p>
        </w:tc>
        <w:tc>
          <w:tcPr>
            <w:tcW w:w="1369" w:type="dxa"/>
            <w:tcBorders>
              <w:top w:val="nil"/>
              <w:bottom w:val="nil"/>
            </w:tcBorders>
          </w:tcPr>
          <w:p w14:paraId="3630ED5E" w14:textId="77777777" w:rsidR="002D2B6D" w:rsidRPr="007D197A" w:rsidRDefault="002D2B6D" w:rsidP="00C62CF5">
            <w:pPr>
              <w:rPr>
                <w:rFonts w:cs="Times New Roman"/>
                <w:sz w:val="18"/>
                <w:szCs w:val="18"/>
              </w:rPr>
            </w:pPr>
            <w:r w:rsidRPr="007D197A">
              <w:rPr>
                <w:rFonts w:cs="Times New Roman"/>
                <w:sz w:val="18"/>
                <w:szCs w:val="18"/>
              </w:rPr>
              <w:t xml:space="preserve">0.17 </w:t>
            </w:r>
          </w:p>
          <w:p w14:paraId="0E0EF463" w14:textId="77777777" w:rsidR="002D2B6D" w:rsidRPr="007D197A" w:rsidRDefault="002D2B6D" w:rsidP="00C62CF5">
            <w:pPr>
              <w:rPr>
                <w:rFonts w:cs="Times New Roman"/>
                <w:sz w:val="18"/>
                <w:szCs w:val="18"/>
              </w:rPr>
            </w:pPr>
            <w:r w:rsidRPr="007D197A">
              <w:rPr>
                <w:rFonts w:cs="Times New Roman"/>
                <w:sz w:val="18"/>
                <w:szCs w:val="18"/>
              </w:rPr>
              <w:t>(0.13, 0.22)</w:t>
            </w:r>
          </w:p>
        </w:tc>
        <w:tc>
          <w:tcPr>
            <w:tcW w:w="1276" w:type="dxa"/>
            <w:tcBorders>
              <w:top w:val="nil"/>
              <w:bottom w:val="nil"/>
            </w:tcBorders>
          </w:tcPr>
          <w:p w14:paraId="6EC22725" w14:textId="77777777" w:rsidR="002D2B6D" w:rsidRPr="007D197A" w:rsidRDefault="002D2B6D" w:rsidP="00C62CF5">
            <w:pPr>
              <w:rPr>
                <w:rFonts w:cs="Times New Roman"/>
                <w:sz w:val="18"/>
                <w:szCs w:val="18"/>
              </w:rPr>
            </w:pPr>
            <w:r w:rsidRPr="007D197A">
              <w:rPr>
                <w:rFonts w:cs="Times New Roman"/>
                <w:sz w:val="18"/>
                <w:szCs w:val="18"/>
              </w:rPr>
              <w:t>0.17</w:t>
            </w:r>
          </w:p>
          <w:p w14:paraId="2964A496" w14:textId="77777777" w:rsidR="002D2B6D" w:rsidRPr="007D197A" w:rsidRDefault="002D2B6D" w:rsidP="00C62CF5">
            <w:pPr>
              <w:rPr>
                <w:rFonts w:cs="Times New Roman"/>
                <w:sz w:val="18"/>
                <w:szCs w:val="18"/>
              </w:rPr>
            </w:pPr>
            <w:r w:rsidRPr="007D197A">
              <w:rPr>
                <w:rFonts w:cs="Times New Roman"/>
                <w:sz w:val="18"/>
                <w:szCs w:val="18"/>
              </w:rPr>
              <w:t>(0.13, 0.21)</w:t>
            </w:r>
          </w:p>
        </w:tc>
        <w:tc>
          <w:tcPr>
            <w:tcW w:w="1267" w:type="dxa"/>
            <w:tcBorders>
              <w:top w:val="nil"/>
              <w:bottom w:val="nil"/>
            </w:tcBorders>
          </w:tcPr>
          <w:p w14:paraId="150AE8C9" w14:textId="61E56DAF" w:rsidR="002D2B6D" w:rsidRPr="007D197A" w:rsidRDefault="002D2B6D" w:rsidP="00C62CF5">
            <w:pPr>
              <w:rPr>
                <w:rFonts w:cs="Times New Roman"/>
                <w:sz w:val="18"/>
                <w:szCs w:val="18"/>
                <w:lang w:eastAsia="zh-TW"/>
              </w:rPr>
            </w:pPr>
            <w:r>
              <w:rPr>
                <w:rFonts w:cs="Times New Roman" w:hint="eastAsia"/>
                <w:sz w:val="18"/>
                <w:szCs w:val="18"/>
                <w:lang w:eastAsia="zh-TW"/>
              </w:rPr>
              <w:t>-</w:t>
            </w:r>
          </w:p>
        </w:tc>
        <w:tc>
          <w:tcPr>
            <w:tcW w:w="1135" w:type="dxa"/>
            <w:tcBorders>
              <w:top w:val="nil"/>
              <w:bottom w:val="nil"/>
            </w:tcBorders>
          </w:tcPr>
          <w:p w14:paraId="5E9115C6" w14:textId="5358696E" w:rsidR="002D2B6D" w:rsidRPr="007D197A" w:rsidRDefault="002D2B6D" w:rsidP="00C62CF5">
            <w:pPr>
              <w:rPr>
                <w:rFonts w:cs="Times New Roman"/>
                <w:sz w:val="18"/>
                <w:szCs w:val="18"/>
                <w:lang w:eastAsia="zh-TW"/>
              </w:rPr>
            </w:pPr>
            <w:r>
              <w:rPr>
                <w:rFonts w:cs="Times New Roman" w:hint="eastAsia"/>
                <w:sz w:val="18"/>
                <w:szCs w:val="18"/>
                <w:lang w:eastAsia="zh-TW"/>
              </w:rPr>
              <w:t>-</w:t>
            </w:r>
          </w:p>
        </w:tc>
        <w:tc>
          <w:tcPr>
            <w:tcW w:w="1230" w:type="dxa"/>
            <w:tcBorders>
              <w:top w:val="nil"/>
              <w:bottom w:val="nil"/>
            </w:tcBorders>
          </w:tcPr>
          <w:p w14:paraId="7EFD33F4" w14:textId="77777777" w:rsidR="002D2B6D" w:rsidRPr="007D197A" w:rsidRDefault="002D2B6D" w:rsidP="00C62CF5">
            <w:pPr>
              <w:rPr>
                <w:rFonts w:cs="Times New Roman"/>
                <w:sz w:val="18"/>
                <w:szCs w:val="18"/>
              </w:rPr>
            </w:pPr>
            <w:r w:rsidRPr="007D197A">
              <w:rPr>
                <w:rFonts w:cs="Times New Roman"/>
                <w:sz w:val="18"/>
                <w:szCs w:val="18"/>
              </w:rPr>
              <w:t>0.04</w:t>
            </w:r>
          </w:p>
          <w:p w14:paraId="52BF0E7A" w14:textId="77777777" w:rsidR="002D2B6D" w:rsidRPr="007D197A" w:rsidRDefault="002D2B6D" w:rsidP="00C62CF5">
            <w:pPr>
              <w:rPr>
                <w:rFonts w:cs="Times New Roman"/>
                <w:sz w:val="18"/>
                <w:szCs w:val="18"/>
              </w:rPr>
            </w:pPr>
            <w:r w:rsidRPr="007D197A">
              <w:rPr>
                <w:rFonts w:cs="Times New Roman"/>
                <w:sz w:val="18"/>
                <w:szCs w:val="18"/>
              </w:rPr>
              <w:t>(0.00, 0.08)</w:t>
            </w:r>
          </w:p>
        </w:tc>
        <w:tc>
          <w:tcPr>
            <w:tcW w:w="1236" w:type="dxa"/>
            <w:tcBorders>
              <w:top w:val="nil"/>
              <w:bottom w:val="nil"/>
            </w:tcBorders>
          </w:tcPr>
          <w:p w14:paraId="069B3B4F" w14:textId="77777777" w:rsidR="002D2B6D" w:rsidRPr="007D197A" w:rsidRDefault="002D2B6D" w:rsidP="00C62CF5">
            <w:pPr>
              <w:rPr>
                <w:rFonts w:cs="Times New Roman"/>
                <w:sz w:val="18"/>
                <w:szCs w:val="18"/>
              </w:rPr>
            </w:pPr>
            <w:r w:rsidRPr="007D197A">
              <w:rPr>
                <w:rFonts w:cs="Times New Roman"/>
                <w:sz w:val="18"/>
                <w:szCs w:val="18"/>
              </w:rPr>
              <w:t>0.04</w:t>
            </w:r>
          </w:p>
          <w:p w14:paraId="0C3F0923" w14:textId="77777777" w:rsidR="002D2B6D" w:rsidRPr="007D197A" w:rsidRDefault="002D2B6D" w:rsidP="00C62CF5">
            <w:pPr>
              <w:rPr>
                <w:rFonts w:cs="Times New Roman"/>
                <w:sz w:val="18"/>
                <w:szCs w:val="18"/>
              </w:rPr>
            </w:pPr>
            <w:r w:rsidRPr="007D197A">
              <w:rPr>
                <w:rFonts w:cs="Times New Roman"/>
                <w:sz w:val="18"/>
                <w:szCs w:val="18"/>
              </w:rPr>
              <w:t>(0.00, 0.08)</w:t>
            </w:r>
          </w:p>
        </w:tc>
      </w:tr>
      <w:tr w:rsidR="002D2B6D" w:rsidRPr="007D197A" w14:paraId="18C5F047" w14:textId="77777777" w:rsidTr="002D2B6D">
        <w:trPr>
          <w:jc w:val="center"/>
        </w:trPr>
        <w:tc>
          <w:tcPr>
            <w:tcW w:w="1750" w:type="dxa"/>
            <w:tcBorders>
              <w:top w:val="nil"/>
            </w:tcBorders>
          </w:tcPr>
          <w:p w14:paraId="7B6584EA" w14:textId="77777777" w:rsidR="002D2B6D" w:rsidRPr="007D197A" w:rsidRDefault="002D2B6D" w:rsidP="00C62CF5">
            <w:pPr>
              <w:rPr>
                <w:rFonts w:cs="Times New Roman"/>
                <w:b/>
                <w:sz w:val="18"/>
                <w:szCs w:val="18"/>
              </w:rPr>
            </w:pPr>
            <w:r w:rsidRPr="007D197A">
              <w:rPr>
                <w:rFonts w:cs="Times New Roman"/>
                <w:b/>
                <w:sz w:val="18"/>
                <w:szCs w:val="18"/>
              </w:rPr>
              <w:t>Cognitive and social activity</w:t>
            </w:r>
          </w:p>
        </w:tc>
        <w:tc>
          <w:tcPr>
            <w:tcW w:w="1369" w:type="dxa"/>
            <w:tcBorders>
              <w:top w:val="nil"/>
            </w:tcBorders>
          </w:tcPr>
          <w:p w14:paraId="00A8FCAC" w14:textId="77777777" w:rsidR="002D2B6D" w:rsidRPr="007D197A" w:rsidRDefault="002D2B6D" w:rsidP="00C62CF5">
            <w:pPr>
              <w:rPr>
                <w:rFonts w:cs="Times New Roman"/>
                <w:sz w:val="18"/>
                <w:szCs w:val="18"/>
              </w:rPr>
            </w:pPr>
            <w:r w:rsidRPr="007D197A">
              <w:rPr>
                <w:rFonts w:cs="Times New Roman"/>
                <w:sz w:val="18"/>
                <w:szCs w:val="18"/>
              </w:rPr>
              <w:t xml:space="preserve">0.09 </w:t>
            </w:r>
          </w:p>
          <w:p w14:paraId="6DF2091B" w14:textId="77777777" w:rsidR="002D2B6D" w:rsidRPr="007D197A" w:rsidRDefault="002D2B6D" w:rsidP="00C62CF5">
            <w:pPr>
              <w:rPr>
                <w:rFonts w:cs="Times New Roman"/>
                <w:sz w:val="18"/>
                <w:szCs w:val="18"/>
              </w:rPr>
            </w:pPr>
            <w:r w:rsidRPr="007D197A">
              <w:rPr>
                <w:rFonts w:cs="Times New Roman"/>
                <w:sz w:val="18"/>
                <w:szCs w:val="18"/>
              </w:rPr>
              <w:t>(0.04, 0.13)</w:t>
            </w:r>
          </w:p>
        </w:tc>
        <w:tc>
          <w:tcPr>
            <w:tcW w:w="1276" w:type="dxa"/>
            <w:tcBorders>
              <w:top w:val="nil"/>
            </w:tcBorders>
          </w:tcPr>
          <w:p w14:paraId="79543A9B" w14:textId="77777777" w:rsidR="002D2B6D" w:rsidRPr="007D197A" w:rsidRDefault="002D2B6D" w:rsidP="00C62CF5">
            <w:pPr>
              <w:rPr>
                <w:rFonts w:cs="Times New Roman"/>
                <w:sz w:val="18"/>
                <w:szCs w:val="18"/>
              </w:rPr>
            </w:pPr>
            <w:r w:rsidRPr="007D197A">
              <w:rPr>
                <w:rFonts w:cs="Times New Roman"/>
                <w:sz w:val="18"/>
                <w:szCs w:val="18"/>
              </w:rPr>
              <w:t>0.09</w:t>
            </w:r>
          </w:p>
          <w:p w14:paraId="2F5943F8" w14:textId="77777777" w:rsidR="002D2B6D" w:rsidRPr="007D197A" w:rsidRDefault="002D2B6D" w:rsidP="00C62CF5">
            <w:pPr>
              <w:rPr>
                <w:rFonts w:cs="Times New Roman"/>
                <w:sz w:val="18"/>
                <w:szCs w:val="18"/>
              </w:rPr>
            </w:pPr>
            <w:r w:rsidRPr="007D197A">
              <w:rPr>
                <w:rFonts w:cs="Times New Roman"/>
                <w:sz w:val="18"/>
                <w:szCs w:val="18"/>
              </w:rPr>
              <w:t>(0.04, 0.13)</w:t>
            </w:r>
          </w:p>
        </w:tc>
        <w:tc>
          <w:tcPr>
            <w:tcW w:w="1267" w:type="dxa"/>
            <w:tcBorders>
              <w:top w:val="nil"/>
            </w:tcBorders>
          </w:tcPr>
          <w:p w14:paraId="0E915E15" w14:textId="39ADB0FC" w:rsidR="002D2B6D" w:rsidRPr="007D197A" w:rsidRDefault="002D2B6D" w:rsidP="00C62CF5">
            <w:pPr>
              <w:rPr>
                <w:rFonts w:cs="Times New Roman"/>
                <w:sz w:val="18"/>
                <w:szCs w:val="18"/>
                <w:lang w:eastAsia="zh-TW"/>
              </w:rPr>
            </w:pPr>
            <w:r>
              <w:rPr>
                <w:rFonts w:cs="Times New Roman" w:hint="eastAsia"/>
                <w:sz w:val="18"/>
                <w:szCs w:val="18"/>
                <w:lang w:eastAsia="zh-TW"/>
              </w:rPr>
              <w:t>-</w:t>
            </w:r>
          </w:p>
        </w:tc>
        <w:tc>
          <w:tcPr>
            <w:tcW w:w="1135" w:type="dxa"/>
            <w:tcBorders>
              <w:top w:val="nil"/>
            </w:tcBorders>
          </w:tcPr>
          <w:p w14:paraId="79D30F10" w14:textId="576B884A" w:rsidR="002D2B6D" w:rsidRPr="007D197A" w:rsidRDefault="002D2B6D" w:rsidP="00C62CF5">
            <w:pPr>
              <w:rPr>
                <w:rFonts w:cs="Times New Roman"/>
                <w:sz w:val="18"/>
                <w:szCs w:val="18"/>
                <w:lang w:eastAsia="zh-TW"/>
              </w:rPr>
            </w:pPr>
            <w:r>
              <w:rPr>
                <w:rFonts w:cs="Times New Roman" w:hint="eastAsia"/>
                <w:sz w:val="18"/>
                <w:szCs w:val="18"/>
                <w:lang w:eastAsia="zh-TW"/>
              </w:rPr>
              <w:t>-</w:t>
            </w:r>
          </w:p>
        </w:tc>
        <w:tc>
          <w:tcPr>
            <w:tcW w:w="1230" w:type="dxa"/>
            <w:tcBorders>
              <w:top w:val="nil"/>
            </w:tcBorders>
          </w:tcPr>
          <w:p w14:paraId="30F5C4EF" w14:textId="77777777" w:rsidR="002D2B6D" w:rsidRPr="007D197A" w:rsidRDefault="002D2B6D" w:rsidP="00C62CF5">
            <w:pPr>
              <w:rPr>
                <w:rFonts w:cs="Times New Roman"/>
                <w:sz w:val="18"/>
                <w:szCs w:val="18"/>
              </w:rPr>
            </w:pPr>
            <w:r w:rsidRPr="007D197A">
              <w:rPr>
                <w:rFonts w:cs="Times New Roman"/>
                <w:sz w:val="18"/>
                <w:szCs w:val="18"/>
              </w:rPr>
              <w:t>0.15</w:t>
            </w:r>
          </w:p>
          <w:p w14:paraId="5F90E2DC" w14:textId="77777777" w:rsidR="002D2B6D" w:rsidRPr="007D197A" w:rsidRDefault="002D2B6D" w:rsidP="00C62CF5">
            <w:pPr>
              <w:rPr>
                <w:rFonts w:cs="Times New Roman"/>
                <w:sz w:val="18"/>
                <w:szCs w:val="18"/>
              </w:rPr>
            </w:pPr>
            <w:r w:rsidRPr="007D197A">
              <w:rPr>
                <w:rFonts w:cs="Times New Roman"/>
                <w:sz w:val="18"/>
                <w:szCs w:val="18"/>
              </w:rPr>
              <w:t>(0.11,0.19)</w:t>
            </w:r>
          </w:p>
        </w:tc>
        <w:tc>
          <w:tcPr>
            <w:tcW w:w="1236" w:type="dxa"/>
            <w:tcBorders>
              <w:top w:val="nil"/>
            </w:tcBorders>
          </w:tcPr>
          <w:p w14:paraId="545BEA30" w14:textId="77777777" w:rsidR="002D2B6D" w:rsidRPr="007D197A" w:rsidRDefault="002D2B6D" w:rsidP="00C62CF5">
            <w:pPr>
              <w:rPr>
                <w:rFonts w:cs="Times New Roman"/>
                <w:sz w:val="18"/>
                <w:szCs w:val="18"/>
              </w:rPr>
            </w:pPr>
            <w:r w:rsidRPr="007D197A">
              <w:rPr>
                <w:rFonts w:cs="Times New Roman"/>
                <w:sz w:val="18"/>
                <w:szCs w:val="18"/>
              </w:rPr>
              <w:t>0.15</w:t>
            </w:r>
          </w:p>
          <w:p w14:paraId="65340C3A" w14:textId="77777777" w:rsidR="002D2B6D" w:rsidRPr="007D197A" w:rsidRDefault="002D2B6D" w:rsidP="00C62CF5">
            <w:pPr>
              <w:rPr>
                <w:rFonts w:cs="Times New Roman"/>
                <w:sz w:val="18"/>
                <w:szCs w:val="18"/>
              </w:rPr>
            </w:pPr>
            <w:r w:rsidRPr="007D197A">
              <w:rPr>
                <w:rFonts w:cs="Times New Roman"/>
                <w:sz w:val="18"/>
                <w:szCs w:val="18"/>
              </w:rPr>
              <w:t>(0.11, 0.19)</w:t>
            </w:r>
          </w:p>
        </w:tc>
      </w:tr>
    </w:tbl>
    <w:p w14:paraId="1452FC49" w14:textId="77777777" w:rsidR="00512C51" w:rsidRPr="002D2B6D" w:rsidRDefault="00512C51" w:rsidP="004230AF">
      <w:pPr>
        <w:spacing w:after="0" w:line="240" w:lineRule="auto"/>
      </w:pPr>
    </w:p>
    <w:sectPr w:rsidR="00512C51" w:rsidRPr="002D2B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4789" w14:textId="77777777" w:rsidR="00636252" w:rsidRDefault="00636252" w:rsidP="002D2B6D">
      <w:pPr>
        <w:spacing w:after="0" w:line="240" w:lineRule="auto"/>
      </w:pPr>
      <w:r>
        <w:separator/>
      </w:r>
    </w:p>
  </w:endnote>
  <w:endnote w:type="continuationSeparator" w:id="0">
    <w:p w14:paraId="11098ECB" w14:textId="77777777" w:rsidR="00636252" w:rsidRDefault="00636252" w:rsidP="002D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20500000000000000"/>
    <w:charset w:val="88"/>
    <w:family w:val="auto"/>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1CD5" w14:textId="77777777" w:rsidR="00636252" w:rsidRDefault="00636252" w:rsidP="002D2B6D">
      <w:pPr>
        <w:spacing w:after="0" w:line="240" w:lineRule="auto"/>
      </w:pPr>
      <w:r>
        <w:separator/>
      </w:r>
    </w:p>
  </w:footnote>
  <w:footnote w:type="continuationSeparator" w:id="0">
    <w:p w14:paraId="427DF3B3" w14:textId="77777777" w:rsidR="00636252" w:rsidRDefault="00636252" w:rsidP="002D2B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BD"/>
    <w:rsid w:val="000A6737"/>
    <w:rsid w:val="000B5CE9"/>
    <w:rsid w:val="000F1E15"/>
    <w:rsid w:val="00103796"/>
    <w:rsid w:val="00201989"/>
    <w:rsid w:val="002D2B6D"/>
    <w:rsid w:val="003667AC"/>
    <w:rsid w:val="00383EFB"/>
    <w:rsid w:val="004230AF"/>
    <w:rsid w:val="0049311E"/>
    <w:rsid w:val="004F39F0"/>
    <w:rsid w:val="0050237E"/>
    <w:rsid w:val="00512C51"/>
    <w:rsid w:val="00636252"/>
    <w:rsid w:val="006871B6"/>
    <w:rsid w:val="00734EE4"/>
    <w:rsid w:val="00891846"/>
    <w:rsid w:val="008B3EBD"/>
    <w:rsid w:val="008E3442"/>
    <w:rsid w:val="008E4E3A"/>
    <w:rsid w:val="009057CD"/>
    <w:rsid w:val="0092112B"/>
    <w:rsid w:val="009816AD"/>
    <w:rsid w:val="009B575A"/>
    <w:rsid w:val="009F1EBB"/>
    <w:rsid w:val="00A02D39"/>
    <w:rsid w:val="00A52B86"/>
    <w:rsid w:val="00A9512F"/>
    <w:rsid w:val="00B65269"/>
    <w:rsid w:val="00B94450"/>
    <w:rsid w:val="00C20888"/>
    <w:rsid w:val="00C25335"/>
    <w:rsid w:val="00C2584F"/>
    <w:rsid w:val="00CC50E2"/>
    <w:rsid w:val="00DF685B"/>
    <w:rsid w:val="00E24C29"/>
    <w:rsid w:val="00E27D0B"/>
    <w:rsid w:val="00ED7344"/>
    <w:rsid w:val="00FB585E"/>
    <w:rsid w:val="00FE6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0B5BE3"/>
  <w15:docId w15:val="{3A84E750-15CC-4EF5-B2CD-9D77E781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9311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311E"/>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49311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9311E"/>
    <w:rPr>
      <w:rFonts w:ascii="Consolas" w:hAnsi="Consolas" w:cs="Consolas"/>
      <w:sz w:val="21"/>
      <w:szCs w:val="21"/>
    </w:rPr>
  </w:style>
  <w:style w:type="character" w:styleId="CommentReference">
    <w:name w:val="annotation reference"/>
    <w:basedOn w:val="DefaultParagraphFont"/>
    <w:uiPriority w:val="99"/>
    <w:semiHidden/>
    <w:unhideWhenUsed/>
    <w:rsid w:val="004230AF"/>
    <w:rPr>
      <w:sz w:val="16"/>
      <w:szCs w:val="16"/>
    </w:rPr>
  </w:style>
  <w:style w:type="paragraph" w:styleId="CommentText">
    <w:name w:val="annotation text"/>
    <w:basedOn w:val="Normal"/>
    <w:link w:val="CommentTextChar"/>
    <w:uiPriority w:val="99"/>
    <w:semiHidden/>
    <w:unhideWhenUsed/>
    <w:rsid w:val="004230AF"/>
    <w:pPr>
      <w:spacing w:line="240" w:lineRule="auto"/>
    </w:pPr>
    <w:rPr>
      <w:sz w:val="20"/>
      <w:szCs w:val="20"/>
    </w:rPr>
  </w:style>
  <w:style w:type="character" w:customStyle="1" w:styleId="CommentTextChar">
    <w:name w:val="Comment Text Char"/>
    <w:basedOn w:val="DefaultParagraphFont"/>
    <w:link w:val="CommentText"/>
    <w:uiPriority w:val="99"/>
    <w:semiHidden/>
    <w:rsid w:val="004230AF"/>
    <w:rPr>
      <w:sz w:val="20"/>
      <w:szCs w:val="20"/>
    </w:rPr>
  </w:style>
  <w:style w:type="paragraph" w:styleId="CommentSubject">
    <w:name w:val="annotation subject"/>
    <w:basedOn w:val="CommentText"/>
    <w:next w:val="CommentText"/>
    <w:link w:val="CommentSubjectChar"/>
    <w:uiPriority w:val="99"/>
    <w:semiHidden/>
    <w:unhideWhenUsed/>
    <w:rsid w:val="004230AF"/>
    <w:rPr>
      <w:b/>
      <w:bCs/>
    </w:rPr>
  </w:style>
  <w:style w:type="character" w:customStyle="1" w:styleId="CommentSubjectChar">
    <w:name w:val="Comment Subject Char"/>
    <w:basedOn w:val="CommentTextChar"/>
    <w:link w:val="CommentSubject"/>
    <w:uiPriority w:val="99"/>
    <w:semiHidden/>
    <w:rsid w:val="004230AF"/>
    <w:rPr>
      <w:b/>
      <w:bCs/>
      <w:sz w:val="20"/>
      <w:szCs w:val="20"/>
    </w:rPr>
  </w:style>
  <w:style w:type="paragraph" w:styleId="BalloonText">
    <w:name w:val="Balloon Text"/>
    <w:basedOn w:val="Normal"/>
    <w:link w:val="BalloonTextChar"/>
    <w:uiPriority w:val="99"/>
    <w:semiHidden/>
    <w:unhideWhenUsed/>
    <w:rsid w:val="00423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AF"/>
    <w:rPr>
      <w:rFonts w:ascii="Segoe UI" w:hAnsi="Segoe UI" w:cs="Segoe UI"/>
      <w:sz w:val="18"/>
      <w:szCs w:val="18"/>
    </w:rPr>
  </w:style>
  <w:style w:type="paragraph" w:styleId="Header">
    <w:name w:val="header"/>
    <w:basedOn w:val="Normal"/>
    <w:link w:val="HeaderChar"/>
    <w:uiPriority w:val="99"/>
    <w:unhideWhenUsed/>
    <w:rsid w:val="002D2B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D2B6D"/>
    <w:rPr>
      <w:sz w:val="20"/>
      <w:szCs w:val="20"/>
    </w:rPr>
  </w:style>
  <w:style w:type="paragraph" w:styleId="Footer">
    <w:name w:val="footer"/>
    <w:basedOn w:val="Normal"/>
    <w:link w:val="FooterChar"/>
    <w:uiPriority w:val="99"/>
    <w:unhideWhenUsed/>
    <w:rsid w:val="002D2B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D2B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lc508</dc:creator>
  <cp:keywords/>
  <dc:description/>
  <cp:lastModifiedBy>Katherine Farley</cp:lastModifiedBy>
  <cp:revision>2</cp:revision>
  <dcterms:created xsi:type="dcterms:W3CDTF">2017-02-23T17:20:00Z</dcterms:created>
  <dcterms:modified xsi:type="dcterms:W3CDTF">2017-02-23T17:20:00Z</dcterms:modified>
</cp:coreProperties>
</file>