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9DCC9" w14:textId="77777777" w:rsidR="00445A65" w:rsidRPr="00445A65" w:rsidRDefault="00445A65" w:rsidP="00445A65">
      <w:pPr>
        <w:jc w:val="center"/>
        <w:rPr>
          <w:b/>
          <w:color w:val="000000" w:themeColor="text1"/>
          <w:sz w:val="36"/>
          <w:szCs w:val="36"/>
        </w:rPr>
      </w:pPr>
      <w:r w:rsidRPr="00445A65">
        <w:rPr>
          <w:b/>
          <w:color w:val="000000" w:themeColor="text1"/>
          <w:sz w:val="36"/>
          <w:szCs w:val="36"/>
        </w:rPr>
        <w:t xml:space="preserve">Appendix to </w:t>
      </w:r>
    </w:p>
    <w:p w14:paraId="65A7CA2F" w14:textId="77777777" w:rsidR="00445A65" w:rsidRPr="00445A65" w:rsidRDefault="00445A65" w:rsidP="00445A65">
      <w:pPr>
        <w:jc w:val="center"/>
        <w:rPr>
          <w:b/>
          <w:color w:val="000000" w:themeColor="text1"/>
          <w:sz w:val="36"/>
          <w:szCs w:val="36"/>
        </w:rPr>
      </w:pPr>
      <w:r w:rsidRPr="00445A65">
        <w:rPr>
          <w:b/>
          <w:color w:val="000000" w:themeColor="text1"/>
          <w:sz w:val="36"/>
          <w:szCs w:val="36"/>
        </w:rPr>
        <w:t>“The long term safety, public health impact, and cost effectiveness of a routine vaccination programme against dengue: a model comparison study”</w:t>
      </w:r>
    </w:p>
    <w:p w14:paraId="71044BA2" w14:textId="77777777" w:rsidR="00445A65" w:rsidRPr="00445A65" w:rsidRDefault="00445A65" w:rsidP="00445A65">
      <w:pPr>
        <w:jc w:val="center"/>
        <w:rPr>
          <w:color w:val="000000" w:themeColor="text1"/>
        </w:rPr>
      </w:pPr>
      <w:r w:rsidRPr="00445A65">
        <w:rPr>
          <w:color w:val="000000" w:themeColor="text1"/>
        </w:rPr>
        <w:t>Stefan Flasche</w:t>
      </w:r>
      <w:r w:rsidRPr="00445A65">
        <w:rPr>
          <w:color w:val="000000" w:themeColor="text1"/>
          <w:vertAlign w:val="superscript"/>
        </w:rPr>
        <w:t>1</w:t>
      </w:r>
      <w:r w:rsidRPr="00445A65">
        <w:rPr>
          <w:color w:val="000000" w:themeColor="text1"/>
        </w:rPr>
        <w:t>*, Mark Jit</w:t>
      </w:r>
      <w:r w:rsidRPr="00445A65">
        <w:rPr>
          <w:color w:val="000000" w:themeColor="text1"/>
          <w:vertAlign w:val="superscript"/>
        </w:rPr>
        <w:t>1</w:t>
      </w:r>
      <w:r w:rsidRPr="00445A65">
        <w:rPr>
          <w:color w:val="000000" w:themeColor="text1"/>
        </w:rPr>
        <w:t>*</w:t>
      </w:r>
      <w:r w:rsidRPr="00445A65">
        <w:rPr>
          <w:color w:val="000000" w:themeColor="text1"/>
          <w:vertAlign w:val="superscript"/>
        </w:rPr>
        <w:t>+</w:t>
      </w:r>
      <w:r w:rsidRPr="00445A65">
        <w:rPr>
          <w:color w:val="000000" w:themeColor="text1"/>
        </w:rPr>
        <w:t xml:space="preserve">, Isabel Rodríguez-Barraquer </w:t>
      </w:r>
      <w:r w:rsidRPr="00445A65">
        <w:rPr>
          <w:color w:val="000000" w:themeColor="text1"/>
          <w:vertAlign w:val="superscript"/>
        </w:rPr>
        <w:t>2</w:t>
      </w:r>
      <w:r w:rsidRPr="00445A65">
        <w:rPr>
          <w:color w:val="000000" w:themeColor="text1"/>
        </w:rPr>
        <w:t>*, Laurent Coudeville</w:t>
      </w:r>
      <w:r w:rsidRPr="00445A65">
        <w:rPr>
          <w:color w:val="000000" w:themeColor="text1"/>
          <w:vertAlign w:val="superscript"/>
        </w:rPr>
        <w:t>3</w:t>
      </w:r>
      <w:r w:rsidRPr="00445A65">
        <w:rPr>
          <w:color w:val="000000" w:themeColor="text1"/>
        </w:rPr>
        <w:t>*, Mario Recker</w:t>
      </w:r>
      <w:r w:rsidRPr="00445A65">
        <w:rPr>
          <w:color w:val="000000" w:themeColor="text1"/>
          <w:vertAlign w:val="superscript"/>
        </w:rPr>
        <w:t>4</w:t>
      </w:r>
      <w:r w:rsidRPr="00445A65">
        <w:rPr>
          <w:color w:val="000000" w:themeColor="text1"/>
        </w:rPr>
        <w:t>*, Katia Koelle</w:t>
      </w:r>
      <w:r w:rsidRPr="00445A65">
        <w:rPr>
          <w:color w:val="000000" w:themeColor="text1"/>
          <w:vertAlign w:val="superscript"/>
        </w:rPr>
        <w:t>5</w:t>
      </w:r>
      <w:r w:rsidRPr="00445A65">
        <w:rPr>
          <w:color w:val="000000" w:themeColor="text1"/>
        </w:rPr>
        <w:t>*, George Milne</w:t>
      </w:r>
      <w:r w:rsidRPr="00445A65">
        <w:rPr>
          <w:color w:val="000000" w:themeColor="text1"/>
          <w:vertAlign w:val="superscript"/>
        </w:rPr>
        <w:t>6</w:t>
      </w:r>
      <w:r w:rsidRPr="00445A65">
        <w:rPr>
          <w:color w:val="000000" w:themeColor="text1"/>
        </w:rPr>
        <w:t>*, Tom Hladish</w:t>
      </w:r>
      <w:r w:rsidRPr="00445A65">
        <w:rPr>
          <w:color w:val="000000" w:themeColor="text1"/>
          <w:vertAlign w:val="superscript"/>
        </w:rPr>
        <w:t>7</w:t>
      </w:r>
      <w:r w:rsidRPr="00445A65">
        <w:rPr>
          <w:color w:val="000000" w:themeColor="text1"/>
        </w:rPr>
        <w:t>*, Alex Perkins</w:t>
      </w:r>
      <w:r w:rsidRPr="00445A65">
        <w:rPr>
          <w:color w:val="000000" w:themeColor="text1"/>
          <w:vertAlign w:val="superscript"/>
        </w:rPr>
        <w:t>8</w:t>
      </w:r>
      <w:r w:rsidRPr="00445A65">
        <w:rPr>
          <w:color w:val="000000" w:themeColor="text1"/>
        </w:rPr>
        <w:t>*, Derek Cummings</w:t>
      </w:r>
      <w:r w:rsidRPr="00445A65">
        <w:rPr>
          <w:color w:val="000000" w:themeColor="text1"/>
          <w:vertAlign w:val="superscript"/>
        </w:rPr>
        <w:t>2,7</w:t>
      </w:r>
      <w:r w:rsidRPr="00445A65">
        <w:rPr>
          <w:color w:val="000000" w:themeColor="text1"/>
        </w:rPr>
        <w:t>, Ilaria Dorigatti</w:t>
      </w:r>
      <w:r w:rsidRPr="00445A65">
        <w:rPr>
          <w:color w:val="000000" w:themeColor="text1"/>
          <w:vertAlign w:val="superscript"/>
        </w:rPr>
        <w:t>9</w:t>
      </w:r>
      <w:r w:rsidRPr="00445A65">
        <w:rPr>
          <w:color w:val="000000" w:themeColor="text1"/>
        </w:rPr>
        <w:t>, Daniel Laydon</w:t>
      </w:r>
      <w:r w:rsidRPr="00445A65">
        <w:rPr>
          <w:color w:val="000000" w:themeColor="text1"/>
          <w:vertAlign w:val="superscript"/>
        </w:rPr>
        <w:t>9</w:t>
      </w:r>
      <w:r w:rsidRPr="00445A65">
        <w:rPr>
          <w:color w:val="000000" w:themeColor="text1"/>
        </w:rPr>
        <w:t>, Guido España</w:t>
      </w:r>
      <w:r w:rsidRPr="00445A65">
        <w:rPr>
          <w:color w:val="000000" w:themeColor="text1"/>
          <w:vertAlign w:val="superscript"/>
        </w:rPr>
        <w:t>8</w:t>
      </w:r>
      <w:r w:rsidRPr="00445A65">
        <w:rPr>
          <w:color w:val="000000" w:themeColor="text1"/>
        </w:rPr>
        <w:t>, Joel Kelso</w:t>
      </w:r>
      <w:r w:rsidRPr="00445A65">
        <w:rPr>
          <w:color w:val="000000" w:themeColor="text1"/>
          <w:vertAlign w:val="superscript"/>
        </w:rPr>
        <w:t>6</w:t>
      </w:r>
      <w:r w:rsidRPr="00445A65">
        <w:rPr>
          <w:color w:val="000000" w:themeColor="text1"/>
        </w:rPr>
        <w:t>, Ira Longini</w:t>
      </w:r>
      <w:r w:rsidRPr="00445A65">
        <w:rPr>
          <w:color w:val="000000" w:themeColor="text1"/>
          <w:vertAlign w:val="superscript"/>
        </w:rPr>
        <w:t>7</w:t>
      </w:r>
      <w:r w:rsidRPr="00445A65">
        <w:rPr>
          <w:color w:val="000000" w:themeColor="text1"/>
        </w:rPr>
        <w:t>, Jose Lourenco</w:t>
      </w:r>
      <w:r w:rsidRPr="00445A65">
        <w:rPr>
          <w:color w:val="000000" w:themeColor="text1"/>
          <w:vertAlign w:val="superscript"/>
        </w:rPr>
        <w:t>10</w:t>
      </w:r>
      <w:r w:rsidRPr="00445A65">
        <w:rPr>
          <w:color w:val="000000" w:themeColor="text1"/>
        </w:rPr>
        <w:t>, Carl A.B. Pearson</w:t>
      </w:r>
      <w:r w:rsidRPr="00445A65">
        <w:rPr>
          <w:color w:val="000000" w:themeColor="text1"/>
          <w:vertAlign w:val="superscript"/>
        </w:rPr>
        <w:t>7</w:t>
      </w:r>
      <w:r w:rsidRPr="00445A65">
        <w:rPr>
          <w:color w:val="000000" w:themeColor="text1"/>
        </w:rPr>
        <w:t>, Robert C. Reiner</w:t>
      </w:r>
      <w:r w:rsidRPr="00445A65">
        <w:rPr>
          <w:color w:val="000000" w:themeColor="text1"/>
          <w:vertAlign w:val="superscript"/>
        </w:rPr>
        <w:t>11</w:t>
      </w:r>
      <w:r w:rsidRPr="00445A65">
        <w:rPr>
          <w:color w:val="000000" w:themeColor="text1"/>
        </w:rPr>
        <w:t>, Luis Mier-y-Terán-Romero</w:t>
      </w:r>
      <w:r w:rsidRPr="00445A65">
        <w:rPr>
          <w:color w:val="000000" w:themeColor="text1"/>
          <w:vertAlign w:val="superscript"/>
        </w:rPr>
        <w:t>2</w:t>
      </w:r>
      <w:r w:rsidRPr="00445A65">
        <w:rPr>
          <w:color w:val="000000" w:themeColor="text1"/>
        </w:rPr>
        <w:t>, Kirsten Vannice</w:t>
      </w:r>
      <w:r w:rsidRPr="00445A65">
        <w:rPr>
          <w:color w:val="000000" w:themeColor="text1"/>
          <w:vertAlign w:val="superscript"/>
        </w:rPr>
        <w:t>12</w:t>
      </w:r>
      <w:r w:rsidRPr="00445A65">
        <w:rPr>
          <w:color w:val="000000" w:themeColor="text1"/>
        </w:rPr>
        <w:t>, Neil Ferguson</w:t>
      </w:r>
      <w:r w:rsidRPr="00445A65">
        <w:rPr>
          <w:color w:val="000000" w:themeColor="text1"/>
          <w:vertAlign w:val="superscript"/>
        </w:rPr>
        <w:t>9</w:t>
      </w:r>
    </w:p>
    <w:p w14:paraId="4CD66888" w14:textId="18A7C023" w:rsidR="00445A65" w:rsidRDefault="00445A65" w:rsidP="00445A65">
      <w:pPr>
        <w:rPr>
          <w:color w:val="000000" w:themeColor="text1"/>
        </w:rPr>
      </w:pPr>
    </w:p>
    <w:p w14:paraId="58750BC9" w14:textId="77777777" w:rsidR="00445A65" w:rsidRPr="00445A65" w:rsidRDefault="00445A65" w:rsidP="00445A65">
      <w:pPr>
        <w:pStyle w:val="Heading2"/>
        <w:rPr>
          <w:color w:val="000000" w:themeColor="text1"/>
        </w:rPr>
      </w:pPr>
      <w:bookmarkStart w:id="0" w:name="_Ref448909347"/>
      <w:r w:rsidRPr="00445A65">
        <w:rPr>
          <w:color w:val="000000" w:themeColor="text1"/>
        </w:rPr>
        <w:t>Detailed model descriptions</w:t>
      </w:r>
      <w:bookmarkEnd w:id="0"/>
    </w:p>
    <w:p w14:paraId="1D520AD1" w14:textId="77777777" w:rsidR="00445A65" w:rsidRPr="00445A65" w:rsidRDefault="00445A65" w:rsidP="00445A65">
      <w:pPr>
        <w:pStyle w:val="Heading3"/>
        <w:rPr>
          <w:color w:val="000000" w:themeColor="text1"/>
        </w:rPr>
      </w:pPr>
      <w:r w:rsidRPr="00445A65">
        <w:rPr>
          <w:color w:val="000000" w:themeColor="text1"/>
        </w:rPr>
        <w:t xml:space="preserve">Duke </w:t>
      </w:r>
    </w:p>
    <w:p w14:paraId="6F75C3DF" w14:textId="2607014A" w:rsidR="00445A65" w:rsidRPr="00445A65" w:rsidRDefault="00445A65" w:rsidP="00445A65">
      <w:pPr>
        <w:rPr>
          <w:color w:val="000000" w:themeColor="text1"/>
        </w:rPr>
      </w:pPr>
      <w:r w:rsidRPr="00445A65">
        <w:rPr>
          <w:color w:val="000000" w:themeColor="text1"/>
        </w:rPr>
        <w:t xml:space="preserve">The Duke dengue transmission model is a 4-serotype deterministic ordinary-differential equation epidemiological model that was originally presented in Nagao &amp; Koelle (2008) </w:t>
      </w:r>
      <w:r w:rsidRPr="00445A65">
        <w:rPr>
          <w:i/>
          <w:color w:val="000000" w:themeColor="text1"/>
        </w:rPr>
        <w:fldChar w:fldCharType="begin" w:fldLock="1"/>
      </w:r>
      <w:r w:rsidR="00EC3854">
        <w:rPr>
          <w:i/>
          <w:color w:val="000000" w:themeColor="text1"/>
        </w:rPr>
        <w:instrText>ADDIN CSL_CITATION { "citationItems" : [ { "id" : "ITEM-1", "itemData" : { "DOI" : "10.1073/pnas.0709029105", "ISSN" : "0027-8424", "author" : [ { "dropping-particle" : "", "family" : "Nagao", "given" : "Y.", "non-dropping-particle" : "", "parse-names" : false, "suffix" : "" }, { "dropping-particle" : "", "family" : "Koelle", "given" : "K.", "non-dropping-particle" : "", "parse-names" : false, "suffix" : "" } ], "container-title" : "Proceedings of the National Academy of Sciences", "id" : "ITEM-1", "issue" : "6", "issued" : { "date-parts" : [ [ "2008", "2", "12" ] ] }, "page" : "2238-2243", "title" : "Decreases in dengue transmission may act to increase the incidence of dengue hemorrhagic fever", "type" : "article-journal", "volume" : "105" }, "uris" : [ "http://www.mendeley.com/documents/?uuid=56162aa2-6a9d-43d8-b976-689641293ef2" ] } ], "mendeley" : { "formattedCitation" : "[1]", "plainTextFormattedCitation" : "[1]", "previouslyFormattedCitation" : "[1]" }, "properties" : { "noteIndex" : 0 }, "schema" : "https://github.com/citation-style-language/schema/raw/master/csl-citation.json" }</w:instrText>
      </w:r>
      <w:r w:rsidRPr="00445A65">
        <w:rPr>
          <w:i/>
          <w:color w:val="000000" w:themeColor="text1"/>
        </w:rPr>
        <w:fldChar w:fldCharType="separate"/>
      </w:r>
      <w:r w:rsidRPr="00445A65">
        <w:rPr>
          <w:noProof/>
          <w:color w:val="000000" w:themeColor="text1"/>
        </w:rPr>
        <w:t>[1]</w:t>
      </w:r>
      <w:r w:rsidRPr="00445A65">
        <w:rPr>
          <w:i/>
          <w:color w:val="000000" w:themeColor="text1"/>
        </w:rPr>
        <w:fldChar w:fldCharType="end"/>
      </w:r>
      <w:r w:rsidRPr="00445A65">
        <w:rPr>
          <w:color w:val="000000" w:themeColor="text1"/>
        </w:rPr>
        <w:t xml:space="preserve">. In this publication, three distinct models were considered, differing from one another in the type of transient cross-protection brought about by a natural dengue infection. Here, we adopted the clinical cross-protection assumption, which assumes that infection with one serotype confers transient heterologous protection from clinical disease, not infection. Because there is no protection from infection, an individual who is challenged by a heterologous serotype during a period of cross-protection will seroconvert to the heterologous serotype, such that a subsequent exposure to this serotype can no longer result in infection (or disease). Although an individual can become infected and seroconvert while in the cross-protected state, infection is assumed to result in very low viremia, such that the individual does not become infectious. We therefore assume that there is no potential for onward transmission from individuals in cross-protected immune states.  </w:t>
      </w:r>
    </w:p>
    <w:p w14:paraId="13E83AF3" w14:textId="77777777" w:rsidR="00445A65" w:rsidRPr="00445A65" w:rsidRDefault="00445A65" w:rsidP="00445A65">
      <w:pPr>
        <w:rPr>
          <w:color w:val="000000" w:themeColor="text1"/>
        </w:rPr>
      </w:pPr>
      <w:r w:rsidRPr="00445A65">
        <w:rPr>
          <w:color w:val="000000" w:themeColor="text1"/>
        </w:rPr>
        <w:t>The model we use assumes that all infected individuals, besides the one who are in cross-protected immune states, transmit similarly. It also assumes that susceptibility to infection (given no previous homologous infection) is independent of immune status, that is, the number of previous heterologous infections an individual has experienced. We assume a duration of infection of 9 days, a period of clinical cross-protection of 2 years following a natural dengue infection, no seasonality, and a low immigration rate to stabilize the epidemiological dynamics but not appreciably alter attack rates. This immigration rate varies by SP setting, with SP10% assuming an immigration rate of 1x10</w:t>
      </w:r>
      <w:r w:rsidRPr="00445A65">
        <w:rPr>
          <w:color w:val="000000" w:themeColor="text1"/>
          <w:vertAlign w:val="superscript"/>
        </w:rPr>
        <w:t>-5</w:t>
      </w:r>
      <w:r w:rsidRPr="00445A65">
        <w:rPr>
          <w:color w:val="000000" w:themeColor="text1"/>
        </w:rPr>
        <w:t xml:space="preserve"> infected individuals per serotype per year, SP30% assuming an immigration rate of 1x10</w:t>
      </w:r>
      <w:r w:rsidRPr="00445A65">
        <w:rPr>
          <w:color w:val="000000" w:themeColor="text1"/>
          <w:vertAlign w:val="superscript"/>
        </w:rPr>
        <w:t>-4</w:t>
      </w:r>
      <w:r w:rsidRPr="00445A65">
        <w:rPr>
          <w:color w:val="000000" w:themeColor="text1"/>
        </w:rPr>
        <w:t xml:space="preserve"> infection individuals per serotype per year, and the remaining higher transmission intensity settings each assuming an immigration rate of 1x10</w:t>
      </w:r>
      <w:r w:rsidRPr="00445A65">
        <w:rPr>
          <w:color w:val="000000" w:themeColor="text1"/>
          <w:vertAlign w:val="superscript"/>
        </w:rPr>
        <w:t>-3</w:t>
      </w:r>
      <w:r w:rsidRPr="00445A65">
        <w:rPr>
          <w:color w:val="000000" w:themeColor="text1"/>
        </w:rPr>
        <w:t xml:space="preserve"> infected individuals per serotype per year. The basic reproduction numbers corresponding to these transmission intensity settings were </w:t>
      </w:r>
      <w:r w:rsidRPr="00445A65">
        <w:rPr>
          <w:i/>
          <w:color w:val="000000" w:themeColor="text1"/>
        </w:rPr>
        <w:t>R</w:t>
      </w:r>
      <w:r w:rsidRPr="00445A65">
        <w:rPr>
          <w:color w:val="000000" w:themeColor="text1"/>
          <w:vertAlign w:val="subscript"/>
        </w:rPr>
        <w:t>0</w:t>
      </w:r>
      <w:r w:rsidRPr="00445A65">
        <w:rPr>
          <w:color w:val="000000" w:themeColor="text1"/>
        </w:rPr>
        <w:t xml:space="preserve"> = 1.12 (SP10%), 1.40 (SP30%), 1.80 (SP50%), 2.675 (SP70%), and 5.00 (SP90%). Demographic (birth/death) rates were chosen to reproduce the current age structure of Brazil. In line with the other dengue transmission models, we assume that vaccination acts like a silent natural infection. In our case, this means that it induces a transient period of clinical cross-protection. We use an 8-month period of vaccine-induced clinical cross-protection (rather than a 2-year period of clinical cross-protection induced by a natural dengue infection). This period was chosen by simulating the model under cross-</w:t>
      </w:r>
      <w:r w:rsidRPr="00445A65">
        <w:rPr>
          <w:color w:val="000000" w:themeColor="text1"/>
        </w:rPr>
        <w:lastRenderedPageBreak/>
        <w:t>protection periods ranging from 6 months to 2 years, and selecting the period with the highest likelihood value as determined by fitting to the CYD14 and CYD15 phase III trial data.</w:t>
      </w:r>
    </w:p>
    <w:p w14:paraId="4F2A3659" w14:textId="009DF436" w:rsidR="00445A65" w:rsidRPr="00445A65" w:rsidRDefault="00445A65" w:rsidP="00445A65">
      <w:pPr>
        <w:rPr>
          <w:color w:val="000000" w:themeColor="text1"/>
        </w:rPr>
      </w:pPr>
      <w:r w:rsidRPr="00445A65">
        <w:rPr>
          <w:color w:val="000000" w:themeColor="text1"/>
        </w:rPr>
        <w:t xml:space="preserve">We estimated the progression rates of our model by fitting simultaneously to both the CYD14 and CYD15 phase III data, including the active phase results and the first year of the long-term follow-up. Specifically, we used Bayesian Markov Chain Monte Carlo to estimate the probabilities with which primary, secondary, and post-secondary dengue infections progress to symptomatic disease (defined as VCD), and the proportions with which VCD cases are hospitalised. These estimated parameters are provided under the Duke column in </w:t>
      </w:r>
      <w:r w:rsidR="00E3248D">
        <w:rPr>
          <w:color w:val="000000" w:themeColor="text1"/>
        </w:rPr>
        <w:t>Table B</w:t>
      </w:r>
      <w:r w:rsidRPr="00445A65">
        <w:rPr>
          <w:color w:val="000000" w:themeColor="text1"/>
        </w:rPr>
        <w:t>. We assume that 0.078% of VC</w:t>
      </w:r>
      <w:r w:rsidR="00BF0A7D">
        <w:rPr>
          <w:color w:val="000000" w:themeColor="text1"/>
        </w:rPr>
        <w:t>D dengue cases result in death</w:t>
      </w:r>
      <w:r w:rsidRPr="00445A65">
        <w:rPr>
          <w:color w:val="000000" w:themeColor="text1"/>
        </w:rPr>
        <w:t>.</w:t>
      </w:r>
    </w:p>
    <w:p w14:paraId="2173C568" w14:textId="77777777" w:rsidR="00445A65" w:rsidRPr="00445A65" w:rsidRDefault="00445A65" w:rsidP="00445A65">
      <w:pPr>
        <w:rPr>
          <w:color w:val="000000" w:themeColor="text1"/>
        </w:rPr>
      </w:pPr>
      <w:r w:rsidRPr="00445A65">
        <w:rPr>
          <w:color w:val="000000" w:themeColor="text1"/>
        </w:rPr>
        <w:t xml:space="preserve">Uncertainty in the outcomes of the simulated vaccine scenarios only reflects uncertainty in the progression rate parameters of the dengue transmission model. We sample 100 parameter sets from the posterior distributions we arrive at through fitting the CYD14 and CYD15 trial data, and plot the 95% range of outcome values, discarding the lowest and highest 2.5% of values.  </w:t>
      </w:r>
    </w:p>
    <w:p w14:paraId="7168EEC9" w14:textId="77777777" w:rsidR="00445A65" w:rsidRPr="00445A65" w:rsidRDefault="00445A65" w:rsidP="00445A65">
      <w:pPr>
        <w:rPr>
          <w:color w:val="000000" w:themeColor="text1"/>
        </w:rPr>
      </w:pPr>
    </w:p>
    <w:p w14:paraId="619D8436" w14:textId="77777777" w:rsidR="00445A65" w:rsidRPr="00445A65" w:rsidRDefault="00445A65" w:rsidP="00445A65">
      <w:pPr>
        <w:pStyle w:val="Heading3"/>
        <w:rPr>
          <w:color w:val="000000" w:themeColor="text1"/>
        </w:rPr>
      </w:pPr>
      <w:r w:rsidRPr="00445A65">
        <w:rPr>
          <w:color w:val="000000" w:themeColor="text1"/>
        </w:rPr>
        <w:t>Exeter/Oxford</w:t>
      </w:r>
    </w:p>
    <w:p w14:paraId="72E5FABC" w14:textId="659F9EBB" w:rsidR="00445A65" w:rsidRPr="00445A65" w:rsidRDefault="00445A65" w:rsidP="00445A65">
      <w:pPr>
        <w:spacing w:after="120" w:line="240" w:lineRule="auto"/>
        <w:jc w:val="both"/>
        <w:rPr>
          <w:color w:val="000000" w:themeColor="text1"/>
        </w:rPr>
      </w:pPr>
      <w:r w:rsidRPr="00445A65">
        <w:rPr>
          <w:color w:val="000000" w:themeColor="text1"/>
        </w:rPr>
        <w:t xml:space="preserve">This agent-based model describes the transmission dynamics of four co-circulating dengue serotypes (DENV1-4) within a spatially-explicit meta-population setting, first presented in </w:t>
      </w:r>
      <w:r w:rsidRPr="00445A65">
        <w:rPr>
          <w:color w:val="000000" w:themeColor="text1"/>
        </w:rPr>
        <w:fldChar w:fldCharType="begin" w:fldLock="1"/>
      </w:r>
      <w:r w:rsidR="00EC3854">
        <w:rPr>
          <w:color w:val="000000" w:themeColor="text1"/>
        </w:rPr>
        <w:instrText>ADDIN CSL_CITATION { "citationItems" : [ { "id" : "ITEM-1", "itemData" : { "DOI" : "10.1371/journal.pcbi.1003308", "ISBN" : "1553-7358(print), 1553-7358(electronic)", "ISSN" : "1553-7358", "PMID" : "24204241", "abstract" : "Many infectious diseases are not maintained in a state of equilibrium but exhibit significant fluctuations in prevalence over time. For pathogens that consist of multiple antigenic types or strains, such as influenza, malaria or dengue, these fluctuations often take on the form of regular or irregular epidemic outbreaks in addition to oscillatory prevalence levels of the constituent strains. To explain the observed temporal dynamics and structuring in pathogen populations, epidemiological multi-strain models have commonly evoked strong immune interactions between strains as the predominant driver. Here, with specific reference to dengue, we show how spatially explicit, multi-strain systems can exhibit all of the described epidemiological dynamics even in the absence of immune competition. Instead, amplification of natural stochastic differences in disease transmission, can give rise to persistent oscillations comprising semi-regular epidemic outbreaks and sequential dominance of dengue's four serotypes. Not only can this mechanism explain observed differences in serotype and disease distributions between neighbouring geographical areas, it also has important implications for inferring the nature and epidemiological consequences of immune mediated competition in multi-strain pathogen systems.", "author" : [ { "dropping-particle" : "", "family" : "Lourenco", "given" : "Jose", "non-dropping-particle" : "", "parse-names" : false, "suffix" : "" }, { "dropping-particle" : "", "family" : "Recker", "given" : "Mario", "non-dropping-particle" : "", "parse-names" : false, "suffix" : "" } ], "container-title" : "PLoS Computational Biology", "editor" : [ { "dropping-particle" : "", "family" : "Pascual", "given" : "Mercedes", "non-dropping-particle" : "", "parse-names" : false, "suffix" : "" } ], "id" : "ITEM-1", "issue" : "10", "issued" : { "date-parts" : [ [ "2013", "10", "24" ] ] }, "page" : "e1003308", "publisher" : "Public Library of Science", "title" : "Natural, Persistent Oscillations in a Spatial Multi-Strain Disease System with Application to Dengue", "type" : "article-journal", "volume" : "9" }, "uris" : [ "http://www.mendeley.com/documents/?uuid=f0e5cc6f-9c44-4b3a-8b5c-ddc6b21d673d", "http://www.mendeley.com/documents/?uuid=25e9f9fb-e764-4979-9a65-1e9324624bc8" ] } ], "mendeley" : { "formattedCitation" : "[2]", "plainTextFormattedCitation" : "[2]", "previouslyFormattedCitation" : "[2]"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[2]</w:t>
      </w:r>
      <w:r w:rsidRPr="00445A65">
        <w:rPr>
          <w:color w:val="000000" w:themeColor="text1"/>
        </w:rPr>
        <w:fldChar w:fldCharType="end"/>
      </w:r>
      <w:r w:rsidRPr="00445A65">
        <w:rPr>
          <w:color w:val="000000" w:themeColor="text1"/>
        </w:rPr>
        <w:t xml:space="preserve">. The spatial structure is realised through a regular grid of subpopulations, each consisting of a fixed number of humans and seasonally regulated number of mosquitoes. Both human and mosquito death rates are age-dependent and governed by a continuous Weibull distribution with average life-expectancies of 67.5 years and 20.2 days for humans and mosquitoes, respectively. Human individuals are considered to be susceptible, exposed (intrinsic incubation period= 2 days), infectious (duration= 4 days) or recovered with respect to each serotype, allowing up to four consecutive infections; differential infection outcomes were not explicitly modelled.  Only the susceptible, exposed (extrinsic incubation period= 7 days) and infectious states of adult mosquitoes are considered. </w:t>
      </w:r>
    </w:p>
    <w:p w14:paraId="7BD0E672" w14:textId="77777777" w:rsidR="00445A65" w:rsidRPr="00445A65" w:rsidRDefault="00445A65" w:rsidP="00445A65">
      <w:pPr>
        <w:spacing w:after="120" w:line="240" w:lineRule="auto"/>
        <w:jc w:val="both"/>
        <w:rPr>
          <w:color w:val="000000" w:themeColor="text1"/>
        </w:rPr>
      </w:pPr>
      <w:r w:rsidRPr="00445A65">
        <w:rPr>
          <w:color w:val="000000" w:themeColor="text1"/>
        </w:rPr>
        <w:t xml:space="preserve">Transmission events between humans and mosquitoes are probabilistic and predominantly within their own and directly adjacent communities, with a small probability of long-distance transmission. We assumed transmission-dependent human→vector and vector→human transmission probabilities, which offered greater flexibility for fitting the model to different transmission settings without having to change the general model structure. Due to the possibility of stochastic extinction, especially when considering low transmission settings, external virus introduction is considered at a fixed rate of 0.2 per day with a serotype chosen randomly (equating to 0.05 / serotype / day). </w:t>
      </w:r>
    </w:p>
    <w:p w14:paraId="18258FD7" w14:textId="77777777" w:rsidR="00445A65" w:rsidRPr="00445A65" w:rsidRDefault="00445A65" w:rsidP="00445A65">
      <w:pPr>
        <w:spacing w:after="120" w:line="240" w:lineRule="auto"/>
        <w:jc w:val="both"/>
        <w:rPr>
          <w:color w:val="000000" w:themeColor="text1"/>
        </w:rPr>
      </w:pPr>
      <w:r w:rsidRPr="00445A65">
        <w:rPr>
          <w:color w:val="000000" w:themeColor="text1"/>
        </w:rPr>
        <w:t>Apart from disallowing co-infections, no serotype immune interactions in the form of temporary cross-immunity or ADE are considered, and no distinctions are made regarding the length and/or transmissibility of primary, secondary or subsequent infections.</w:t>
      </w:r>
    </w:p>
    <w:p w14:paraId="740BD849" w14:textId="77777777" w:rsidR="00445A65" w:rsidRPr="00A61099" w:rsidRDefault="00445A65" w:rsidP="00445A65">
      <w:pPr>
        <w:widowControl w:val="0"/>
        <w:autoSpaceDE w:val="0"/>
        <w:autoSpaceDN w:val="0"/>
        <w:adjustRightInd w:val="0"/>
        <w:spacing w:after="0" w:line="240" w:lineRule="auto"/>
        <w:jc w:val="both"/>
        <w:rPr>
          <w:color w:val="000000" w:themeColor="text1"/>
        </w:rPr>
      </w:pPr>
      <w:r w:rsidRPr="00A61099">
        <w:rPr>
          <w:color w:val="000000" w:themeColor="text1"/>
          <w:u w:val="single"/>
        </w:rPr>
        <w:t>Parameter deviation from original model</w:t>
      </w:r>
      <w:r w:rsidRPr="00A61099">
        <w:rPr>
          <w:color w:val="000000" w:themeColor="text1"/>
        </w:rPr>
        <w:t xml:space="preserve">: </w:t>
      </w:r>
    </w:p>
    <w:tbl>
      <w:tblPr>
        <w:tblStyle w:val="PlainTable31"/>
        <w:tblW w:w="0" w:type="auto"/>
        <w:tblLook w:val="04A0" w:firstRow="1" w:lastRow="0" w:firstColumn="1" w:lastColumn="0" w:noHBand="0" w:noVBand="1"/>
      </w:tblPr>
      <w:tblGrid>
        <w:gridCol w:w="3119"/>
        <w:gridCol w:w="3402"/>
        <w:gridCol w:w="2505"/>
      </w:tblGrid>
      <w:tr w:rsidR="00445A65" w:rsidRPr="00445A65" w14:paraId="69792221" w14:textId="77777777" w:rsidTr="00445A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Pr>
          <w:p w14:paraId="057556AB" w14:textId="77777777" w:rsidR="00445A65" w:rsidRPr="00445A65" w:rsidRDefault="00445A65" w:rsidP="00F961CB">
            <w:pPr>
              <w:widowControl w:val="0"/>
              <w:autoSpaceDE w:val="0"/>
              <w:autoSpaceDN w:val="0"/>
              <w:adjustRightInd w:val="0"/>
              <w:jc w:val="center"/>
              <w:rPr>
                <w:rFonts w:cstheme="minorHAnsi"/>
                <w:b w:val="0"/>
                <w:color w:val="000000" w:themeColor="text1"/>
                <w:sz w:val="18"/>
                <w:szCs w:val="18"/>
              </w:rPr>
            </w:pPr>
            <w:r w:rsidRPr="00445A65">
              <w:rPr>
                <w:rFonts w:cstheme="minorHAnsi"/>
                <w:b w:val="0"/>
                <w:color w:val="000000" w:themeColor="text1"/>
                <w:sz w:val="18"/>
                <w:szCs w:val="18"/>
              </w:rPr>
              <w:t>Parameter</w:t>
            </w:r>
          </w:p>
        </w:tc>
        <w:tc>
          <w:tcPr>
            <w:tcW w:w="3402" w:type="dxa"/>
          </w:tcPr>
          <w:p w14:paraId="018A9233" w14:textId="77777777" w:rsidR="00445A65" w:rsidRPr="00445A65" w:rsidRDefault="00445A65" w:rsidP="00F961CB">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sz w:val="18"/>
                <w:szCs w:val="18"/>
              </w:rPr>
            </w:pPr>
            <w:r w:rsidRPr="00445A65">
              <w:rPr>
                <w:rFonts w:cstheme="minorHAnsi"/>
                <w:b w:val="0"/>
                <w:color w:val="000000" w:themeColor="text1"/>
                <w:sz w:val="18"/>
                <w:szCs w:val="18"/>
              </w:rPr>
              <w:t>this model</w:t>
            </w:r>
          </w:p>
        </w:tc>
        <w:tc>
          <w:tcPr>
            <w:tcW w:w="2505" w:type="dxa"/>
          </w:tcPr>
          <w:p w14:paraId="3C176B38" w14:textId="77777777" w:rsidR="00445A65" w:rsidRPr="00445A65" w:rsidRDefault="00445A65" w:rsidP="00F961CB">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sz w:val="18"/>
                <w:szCs w:val="18"/>
              </w:rPr>
            </w:pPr>
            <w:r w:rsidRPr="00445A65">
              <w:rPr>
                <w:rFonts w:cstheme="minorHAnsi"/>
                <w:b w:val="0"/>
                <w:color w:val="000000" w:themeColor="text1"/>
                <w:sz w:val="18"/>
                <w:szCs w:val="18"/>
              </w:rPr>
              <w:t>original model</w:t>
            </w:r>
          </w:p>
        </w:tc>
      </w:tr>
      <w:tr w:rsidR="00445A65" w:rsidRPr="00445A65" w14:paraId="4A668072" w14:textId="77777777" w:rsidTr="0044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671F28AC" w14:textId="77777777" w:rsidR="00445A65" w:rsidRPr="00445A65" w:rsidRDefault="00445A65" w:rsidP="00F961CB">
            <w:pPr>
              <w:widowControl w:val="0"/>
              <w:autoSpaceDE w:val="0"/>
              <w:autoSpaceDN w:val="0"/>
              <w:adjustRightInd w:val="0"/>
              <w:jc w:val="both"/>
              <w:rPr>
                <w:rFonts w:cstheme="minorHAnsi"/>
                <w:b w:val="0"/>
                <w:color w:val="000000" w:themeColor="text1"/>
                <w:sz w:val="18"/>
                <w:szCs w:val="18"/>
              </w:rPr>
            </w:pPr>
            <w:r w:rsidRPr="00445A65">
              <w:rPr>
                <w:rFonts w:cstheme="minorHAnsi"/>
                <w:b w:val="0"/>
                <w:color w:val="000000" w:themeColor="text1"/>
                <w:sz w:val="18"/>
                <w:szCs w:val="18"/>
              </w:rPr>
              <w:t>Human population size</w:t>
            </w:r>
          </w:p>
        </w:tc>
        <w:tc>
          <w:tcPr>
            <w:tcW w:w="3402" w:type="dxa"/>
          </w:tcPr>
          <w:p w14:paraId="316842C6" w14:textId="77777777" w:rsidR="00445A65" w:rsidRPr="00445A65" w:rsidRDefault="00445A65" w:rsidP="00F961CB">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445A65">
              <w:rPr>
                <w:rFonts w:cstheme="minorHAnsi"/>
                <w:i/>
                <w:color w:val="000000" w:themeColor="text1"/>
                <w:sz w:val="18"/>
                <w:szCs w:val="18"/>
              </w:rPr>
              <w:t>N</w:t>
            </w:r>
            <w:r w:rsidRPr="00445A65">
              <w:rPr>
                <w:rFonts w:cstheme="minorHAnsi"/>
                <w:color w:val="000000" w:themeColor="text1"/>
                <w:sz w:val="18"/>
                <w:szCs w:val="18"/>
                <w:vertAlign w:val="subscript"/>
              </w:rPr>
              <w:t>h</w:t>
            </w:r>
            <w:r w:rsidRPr="00445A65">
              <w:rPr>
                <w:rFonts w:cstheme="minorHAnsi"/>
                <w:color w:val="000000" w:themeColor="text1"/>
                <w:sz w:val="18"/>
                <w:szCs w:val="18"/>
              </w:rPr>
              <w:t>=3.6E6</w:t>
            </w:r>
          </w:p>
        </w:tc>
        <w:tc>
          <w:tcPr>
            <w:tcW w:w="2505" w:type="dxa"/>
          </w:tcPr>
          <w:p w14:paraId="07D67C2D" w14:textId="77777777" w:rsidR="00445A65" w:rsidRPr="00445A65" w:rsidRDefault="00445A65" w:rsidP="00F961CB">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445A65">
              <w:rPr>
                <w:rFonts w:cstheme="minorHAnsi"/>
                <w:i/>
                <w:color w:val="000000" w:themeColor="text1"/>
                <w:sz w:val="18"/>
                <w:szCs w:val="18"/>
              </w:rPr>
              <w:t>N</w:t>
            </w:r>
            <w:r w:rsidRPr="00445A65">
              <w:rPr>
                <w:rFonts w:cstheme="minorHAnsi"/>
                <w:color w:val="000000" w:themeColor="text1"/>
                <w:sz w:val="18"/>
                <w:szCs w:val="18"/>
                <w:vertAlign w:val="subscript"/>
              </w:rPr>
              <w:t>h</w:t>
            </w:r>
            <w:r w:rsidRPr="00445A65">
              <w:rPr>
                <w:rFonts w:cstheme="minorHAnsi"/>
                <w:color w:val="000000" w:themeColor="text1"/>
                <w:sz w:val="18"/>
                <w:szCs w:val="18"/>
              </w:rPr>
              <w:t>=1E6</w:t>
            </w:r>
          </w:p>
        </w:tc>
      </w:tr>
      <w:tr w:rsidR="00445A65" w:rsidRPr="00445A65" w14:paraId="6E7E5EF2" w14:textId="77777777" w:rsidTr="00445A65">
        <w:tc>
          <w:tcPr>
            <w:cnfStyle w:val="001000000000" w:firstRow="0" w:lastRow="0" w:firstColumn="1" w:lastColumn="0" w:oddVBand="0" w:evenVBand="0" w:oddHBand="0" w:evenHBand="0" w:firstRowFirstColumn="0" w:firstRowLastColumn="0" w:lastRowFirstColumn="0" w:lastRowLastColumn="0"/>
            <w:tcW w:w="3119" w:type="dxa"/>
          </w:tcPr>
          <w:p w14:paraId="595A74CC" w14:textId="77777777" w:rsidR="00445A65" w:rsidRPr="00445A65" w:rsidRDefault="00445A65" w:rsidP="00F961CB">
            <w:pPr>
              <w:widowControl w:val="0"/>
              <w:autoSpaceDE w:val="0"/>
              <w:autoSpaceDN w:val="0"/>
              <w:adjustRightInd w:val="0"/>
              <w:jc w:val="both"/>
              <w:rPr>
                <w:rFonts w:cstheme="minorHAnsi"/>
                <w:b w:val="0"/>
                <w:color w:val="000000" w:themeColor="text1"/>
                <w:sz w:val="18"/>
                <w:szCs w:val="18"/>
              </w:rPr>
            </w:pPr>
            <w:r w:rsidRPr="00445A65">
              <w:rPr>
                <w:rFonts w:cstheme="minorHAnsi"/>
                <w:b w:val="0"/>
                <w:color w:val="000000" w:themeColor="text1"/>
                <w:sz w:val="18"/>
                <w:szCs w:val="18"/>
              </w:rPr>
              <w:t>Vectors per human host</w:t>
            </w:r>
          </w:p>
        </w:tc>
        <w:tc>
          <w:tcPr>
            <w:tcW w:w="3402" w:type="dxa"/>
          </w:tcPr>
          <w:p w14:paraId="7E3F98B6" w14:textId="77777777" w:rsidR="00445A65" w:rsidRPr="00445A65" w:rsidRDefault="00445A65" w:rsidP="00F961CB">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445A65">
              <w:rPr>
                <w:rFonts w:cstheme="minorHAnsi"/>
                <w:i/>
                <w:color w:val="000000" w:themeColor="text1"/>
                <w:sz w:val="18"/>
                <w:szCs w:val="18"/>
              </w:rPr>
              <w:t>M</w:t>
            </w:r>
            <w:r w:rsidRPr="00445A65">
              <w:rPr>
                <w:rFonts w:cstheme="minorHAnsi"/>
                <w:color w:val="000000" w:themeColor="text1"/>
                <w:sz w:val="18"/>
                <w:szCs w:val="18"/>
              </w:rPr>
              <w:t>=0.95-2</w:t>
            </w:r>
          </w:p>
        </w:tc>
        <w:tc>
          <w:tcPr>
            <w:tcW w:w="2505" w:type="dxa"/>
          </w:tcPr>
          <w:p w14:paraId="68D27FD1" w14:textId="77777777" w:rsidR="00445A65" w:rsidRPr="00445A65" w:rsidRDefault="00445A65" w:rsidP="00F961CB">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445A65">
              <w:rPr>
                <w:rFonts w:cstheme="minorHAnsi"/>
                <w:i/>
                <w:color w:val="000000" w:themeColor="text1"/>
                <w:sz w:val="18"/>
                <w:szCs w:val="18"/>
              </w:rPr>
              <w:t>M</w:t>
            </w:r>
            <w:r w:rsidRPr="00445A65">
              <w:rPr>
                <w:rFonts w:cstheme="minorHAnsi"/>
                <w:color w:val="000000" w:themeColor="text1"/>
                <w:sz w:val="18"/>
                <w:szCs w:val="18"/>
              </w:rPr>
              <w:t>=0.7-1.2</w:t>
            </w:r>
          </w:p>
        </w:tc>
      </w:tr>
      <w:tr w:rsidR="00445A65" w:rsidRPr="00445A65" w14:paraId="35E60FBD" w14:textId="77777777" w:rsidTr="0044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010D6AF2" w14:textId="77777777" w:rsidR="00445A65" w:rsidRPr="00445A65" w:rsidRDefault="00445A65" w:rsidP="00F961CB">
            <w:pPr>
              <w:widowControl w:val="0"/>
              <w:autoSpaceDE w:val="0"/>
              <w:autoSpaceDN w:val="0"/>
              <w:adjustRightInd w:val="0"/>
              <w:jc w:val="both"/>
              <w:rPr>
                <w:rFonts w:cstheme="minorHAnsi"/>
                <w:b w:val="0"/>
                <w:color w:val="000000" w:themeColor="text1"/>
                <w:sz w:val="18"/>
                <w:szCs w:val="18"/>
              </w:rPr>
            </w:pPr>
            <w:r w:rsidRPr="00445A65">
              <w:rPr>
                <w:rFonts w:cstheme="minorHAnsi"/>
                <w:b w:val="0"/>
                <w:color w:val="000000" w:themeColor="text1"/>
                <w:sz w:val="18"/>
                <w:szCs w:val="18"/>
              </w:rPr>
              <w:t>Weibull parameters</w:t>
            </w:r>
          </w:p>
        </w:tc>
        <w:tc>
          <w:tcPr>
            <w:tcW w:w="3402" w:type="dxa"/>
          </w:tcPr>
          <w:p w14:paraId="7ACC714B" w14:textId="77777777" w:rsidR="00445A65" w:rsidRPr="00445A65" w:rsidRDefault="00445A65" w:rsidP="00F961CB">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445A65">
              <w:rPr>
                <w:rFonts w:cstheme="minorHAnsi"/>
                <w:i/>
                <w:color w:val="000000" w:themeColor="text1"/>
                <w:sz w:val="18"/>
                <w:szCs w:val="18"/>
              </w:rPr>
              <w:t>a</w:t>
            </w:r>
            <w:r w:rsidRPr="00445A65">
              <w:rPr>
                <w:rFonts w:cstheme="minorHAnsi"/>
                <w:i/>
                <w:color w:val="000000" w:themeColor="text1"/>
                <w:sz w:val="18"/>
                <w:szCs w:val="18"/>
                <w:vertAlign w:val="subscript"/>
              </w:rPr>
              <w:t>h</w:t>
            </w:r>
            <w:r w:rsidRPr="00445A65">
              <w:rPr>
                <w:rFonts w:cstheme="minorHAnsi"/>
                <w:color w:val="000000" w:themeColor="text1"/>
                <w:sz w:val="18"/>
                <w:szCs w:val="18"/>
              </w:rPr>
              <w:t xml:space="preserve">=2E-4, </w:t>
            </w:r>
            <w:r w:rsidRPr="00445A65">
              <w:rPr>
                <w:rFonts w:cstheme="minorHAnsi"/>
                <w:i/>
                <w:color w:val="000000" w:themeColor="text1"/>
                <w:sz w:val="18"/>
                <w:szCs w:val="18"/>
              </w:rPr>
              <w:t>b</w:t>
            </w:r>
            <w:r w:rsidRPr="00445A65">
              <w:rPr>
                <w:rFonts w:cstheme="minorHAnsi"/>
                <w:i/>
                <w:color w:val="000000" w:themeColor="text1"/>
                <w:sz w:val="18"/>
                <w:szCs w:val="18"/>
                <w:vertAlign w:val="subscript"/>
              </w:rPr>
              <w:t>h</w:t>
            </w:r>
            <w:r w:rsidRPr="00445A65">
              <w:rPr>
                <w:rFonts w:cstheme="minorHAnsi"/>
                <w:color w:val="000000" w:themeColor="text1"/>
                <w:sz w:val="18"/>
                <w:szCs w:val="18"/>
              </w:rPr>
              <w:t>=10</w:t>
            </w:r>
          </w:p>
        </w:tc>
        <w:tc>
          <w:tcPr>
            <w:tcW w:w="2505" w:type="dxa"/>
          </w:tcPr>
          <w:p w14:paraId="102350F9" w14:textId="77777777" w:rsidR="00445A65" w:rsidRPr="00445A65" w:rsidRDefault="00445A65" w:rsidP="00F961CB">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445A65">
              <w:rPr>
                <w:rFonts w:cstheme="minorHAnsi"/>
                <w:i/>
                <w:color w:val="000000" w:themeColor="text1"/>
                <w:sz w:val="18"/>
                <w:szCs w:val="18"/>
              </w:rPr>
              <w:t>a</w:t>
            </w:r>
            <w:r w:rsidRPr="00445A65">
              <w:rPr>
                <w:rFonts w:cstheme="minorHAnsi"/>
                <w:i/>
                <w:color w:val="000000" w:themeColor="text1"/>
                <w:sz w:val="18"/>
                <w:szCs w:val="18"/>
                <w:vertAlign w:val="subscript"/>
              </w:rPr>
              <w:t>h</w:t>
            </w:r>
            <w:r w:rsidRPr="00445A65">
              <w:rPr>
                <w:rFonts w:cstheme="minorHAnsi"/>
                <w:color w:val="000000" w:themeColor="text1"/>
                <w:sz w:val="18"/>
                <w:szCs w:val="18"/>
              </w:rPr>
              <w:t xml:space="preserve">=5.5E-3, </w:t>
            </w:r>
            <w:r w:rsidRPr="00445A65">
              <w:rPr>
                <w:rFonts w:cstheme="minorHAnsi"/>
                <w:i/>
                <w:color w:val="000000" w:themeColor="text1"/>
                <w:sz w:val="18"/>
                <w:szCs w:val="18"/>
              </w:rPr>
              <w:t>b</w:t>
            </w:r>
            <w:r w:rsidRPr="00445A65">
              <w:rPr>
                <w:rFonts w:cstheme="minorHAnsi"/>
                <w:i/>
                <w:color w:val="000000" w:themeColor="text1"/>
                <w:sz w:val="18"/>
                <w:szCs w:val="18"/>
                <w:vertAlign w:val="subscript"/>
              </w:rPr>
              <w:t>h</w:t>
            </w:r>
            <w:r w:rsidRPr="00445A65">
              <w:rPr>
                <w:rFonts w:cstheme="minorHAnsi"/>
                <w:color w:val="000000" w:themeColor="text1"/>
                <w:sz w:val="18"/>
                <w:szCs w:val="18"/>
              </w:rPr>
              <w:t>=5.5</w:t>
            </w:r>
          </w:p>
        </w:tc>
      </w:tr>
      <w:tr w:rsidR="00445A65" w:rsidRPr="00445A65" w14:paraId="1D60A128" w14:textId="77777777" w:rsidTr="00445A65">
        <w:tc>
          <w:tcPr>
            <w:cnfStyle w:val="001000000000" w:firstRow="0" w:lastRow="0" w:firstColumn="1" w:lastColumn="0" w:oddVBand="0" w:evenVBand="0" w:oddHBand="0" w:evenHBand="0" w:firstRowFirstColumn="0" w:firstRowLastColumn="0" w:lastRowFirstColumn="0" w:lastRowLastColumn="0"/>
            <w:tcW w:w="3119" w:type="dxa"/>
          </w:tcPr>
          <w:p w14:paraId="55F690BD" w14:textId="77777777" w:rsidR="00445A65" w:rsidRPr="00445A65" w:rsidRDefault="00445A65" w:rsidP="00F961CB">
            <w:pPr>
              <w:widowControl w:val="0"/>
              <w:autoSpaceDE w:val="0"/>
              <w:autoSpaceDN w:val="0"/>
              <w:adjustRightInd w:val="0"/>
              <w:jc w:val="both"/>
              <w:rPr>
                <w:rFonts w:cstheme="minorHAnsi"/>
                <w:b w:val="0"/>
                <w:color w:val="000000" w:themeColor="text1"/>
                <w:sz w:val="18"/>
                <w:szCs w:val="18"/>
              </w:rPr>
            </w:pPr>
            <w:r w:rsidRPr="00445A65">
              <w:rPr>
                <w:rFonts w:cstheme="minorHAnsi"/>
                <w:b w:val="0"/>
                <w:color w:val="000000" w:themeColor="text1"/>
                <w:sz w:val="18"/>
                <w:szCs w:val="18"/>
              </w:rPr>
              <w:t>Extrinsic incubation period</w:t>
            </w:r>
          </w:p>
        </w:tc>
        <w:tc>
          <w:tcPr>
            <w:tcW w:w="3402" w:type="dxa"/>
          </w:tcPr>
          <w:p w14:paraId="6F1B7CA6" w14:textId="77777777" w:rsidR="00445A65" w:rsidRPr="00445A65" w:rsidRDefault="00445A65" w:rsidP="00F961CB">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445A65">
              <w:rPr>
                <w:rFonts w:cstheme="minorHAnsi"/>
                <w:color w:val="000000" w:themeColor="text1"/>
                <w:sz w:val="18"/>
                <w:szCs w:val="18"/>
              </w:rPr>
              <w:t>1/</w:t>
            </w:r>
            <w:r w:rsidRPr="00445A65">
              <w:rPr>
                <w:rFonts w:cstheme="minorHAnsi"/>
                <w:i/>
                <w:color w:val="000000" w:themeColor="text1"/>
                <w:sz w:val="18"/>
                <w:szCs w:val="18"/>
              </w:rPr>
              <w:t></w:t>
            </w:r>
            <w:r w:rsidRPr="00445A65">
              <w:rPr>
                <w:rFonts w:cstheme="minorHAnsi"/>
                <w:color w:val="000000" w:themeColor="text1"/>
                <w:sz w:val="18"/>
                <w:szCs w:val="18"/>
                <w:vertAlign w:val="subscript"/>
              </w:rPr>
              <w:t>v</w:t>
            </w:r>
            <w:r w:rsidRPr="00445A65">
              <w:rPr>
                <w:rFonts w:cstheme="minorHAnsi"/>
                <w:color w:val="000000" w:themeColor="text1"/>
                <w:sz w:val="18"/>
                <w:szCs w:val="18"/>
              </w:rPr>
              <w:t>=7 days</w:t>
            </w:r>
          </w:p>
        </w:tc>
        <w:tc>
          <w:tcPr>
            <w:tcW w:w="2505" w:type="dxa"/>
          </w:tcPr>
          <w:p w14:paraId="0C89CBEB" w14:textId="77777777" w:rsidR="00445A65" w:rsidRPr="00445A65" w:rsidRDefault="00445A65" w:rsidP="00F961CB">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445A65">
              <w:rPr>
                <w:rFonts w:cstheme="minorHAnsi"/>
                <w:color w:val="000000" w:themeColor="text1"/>
                <w:sz w:val="18"/>
                <w:szCs w:val="18"/>
              </w:rPr>
              <w:t>1/</w:t>
            </w:r>
            <w:r w:rsidRPr="00445A65">
              <w:rPr>
                <w:rFonts w:cstheme="minorHAnsi"/>
                <w:i/>
                <w:color w:val="000000" w:themeColor="text1"/>
                <w:sz w:val="18"/>
                <w:szCs w:val="18"/>
              </w:rPr>
              <w:t></w:t>
            </w:r>
            <w:r w:rsidRPr="00445A65">
              <w:rPr>
                <w:rFonts w:cstheme="minorHAnsi"/>
                <w:color w:val="000000" w:themeColor="text1"/>
                <w:sz w:val="18"/>
                <w:szCs w:val="18"/>
                <w:vertAlign w:val="subscript"/>
              </w:rPr>
              <w:t>v</w:t>
            </w:r>
            <w:r w:rsidRPr="00445A65">
              <w:rPr>
                <w:rFonts w:cstheme="minorHAnsi"/>
                <w:color w:val="000000" w:themeColor="text1"/>
                <w:sz w:val="18"/>
                <w:szCs w:val="18"/>
              </w:rPr>
              <w:t>=6 days</w:t>
            </w:r>
          </w:p>
        </w:tc>
      </w:tr>
      <w:tr w:rsidR="00445A65" w:rsidRPr="00445A65" w14:paraId="7F53B10D" w14:textId="77777777" w:rsidTr="0044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1F134A82" w14:textId="77777777" w:rsidR="00445A65" w:rsidRPr="00445A65" w:rsidRDefault="00445A65" w:rsidP="00F961CB">
            <w:pPr>
              <w:widowControl w:val="0"/>
              <w:autoSpaceDE w:val="0"/>
              <w:autoSpaceDN w:val="0"/>
              <w:adjustRightInd w:val="0"/>
              <w:jc w:val="both"/>
              <w:rPr>
                <w:rFonts w:cstheme="minorHAnsi"/>
                <w:b w:val="0"/>
                <w:color w:val="000000" w:themeColor="text1"/>
                <w:sz w:val="18"/>
                <w:szCs w:val="18"/>
              </w:rPr>
            </w:pPr>
            <w:r w:rsidRPr="00445A65">
              <w:rPr>
                <w:rFonts w:cstheme="minorHAnsi"/>
                <w:b w:val="0"/>
                <w:color w:val="000000" w:themeColor="text1"/>
                <w:sz w:val="18"/>
                <w:szCs w:val="18"/>
              </w:rPr>
              <w:t>Daily mosquito biting rate</w:t>
            </w:r>
          </w:p>
        </w:tc>
        <w:tc>
          <w:tcPr>
            <w:tcW w:w="3402" w:type="dxa"/>
          </w:tcPr>
          <w:p w14:paraId="421E21F0" w14:textId="77777777" w:rsidR="00445A65" w:rsidRPr="00445A65" w:rsidRDefault="00445A65" w:rsidP="00F961CB">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445A65">
              <w:rPr>
                <w:rFonts w:cstheme="minorHAnsi"/>
                <w:i/>
                <w:color w:val="000000" w:themeColor="text1"/>
                <w:sz w:val="18"/>
                <w:szCs w:val="18"/>
              </w:rPr>
              <w:t>a</w:t>
            </w:r>
            <w:r w:rsidRPr="00445A65">
              <w:rPr>
                <w:rFonts w:cstheme="minorHAnsi"/>
                <w:color w:val="000000" w:themeColor="text1"/>
                <w:sz w:val="18"/>
                <w:szCs w:val="18"/>
                <w:vertAlign w:val="subscript"/>
              </w:rPr>
              <w:t>v</w:t>
            </w:r>
            <w:r w:rsidRPr="00445A65">
              <w:rPr>
                <w:rFonts w:cstheme="minorHAnsi"/>
                <w:color w:val="000000" w:themeColor="text1"/>
                <w:sz w:val="18"/>
                <w:szCs w:val="18"/>
              </w:rPr>
              <w:t>=0.55</w:t>
            </w:r>
          </w:p>
        </w:tc>
        <w:tc>
          <w:tcPr>
            <w:tcW w:w="2505" w:type="dxa"/>
          </w:tcPr>
          <w:p w14:paraId="1908BD52" w14:textId="77777777" w:rsidR="00445A65" w:rsidRPr="00445A65" w:rsidRDefault="00445A65" w:rsidP="00F961CB">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445A65">
              <w:rPr>
                <w:rFonts w:cstheme="minorHAnsi"/>
                <w:i/>
                <w:color w:val="000000" w:themeColor="text1"/>
                <w:sz w:val="18"/>
                <w:szCs w:val="18"/>
              </w:rPr>
              <w:t>a</w:t>
            </w:r>
            <w:r w:rsidRPr="00445A65">
              <w:rPr>
                <w:rFonts w:cstheme="minorHAnsi"/>
                <w:color w:val="000000" w:themeColor="text1"/>
                <w:sz w:val="18"/>
                <w:szCs w:val="18"/>
                <w:vertAlign w:val="subscript"/>
              </w:rPr>
              <w:t>v</w:t>
            </w:r>
            <w:r w:rsidRPr="00445A65">
              <w:rPr>
                <w:rFonts w:cstheme="minorHAnsi"/>
                <w:color w:val="000000" w:themeColor="text1"/>
                <w:sz w:val="18"/>
                <w:szCs w:val="18"/>
              </w:rPr>
              <w:t>=0.6</w:t>
            </w:r>
          </w:p>
        </w:tc>
      </w:tr>
      <w:tr w:rsidR="00445A65" w:rsidRPr="00445A65" w14:paraId="1D0A6148" w14:textId="77777777" w:rsidTr="00445A65">
        <w:tc>
          <w:tcPr>
            <w:cnfStyle w:val="001000000000" w:firstRow="0" w:lastRow="0" w:firstColumn="1" w:lastColumn="0" w:oddVBand="0" w:evenVBand="0" w:oddHBand="0" w:evenHBand="0" w:firstRowFirstColumn="0" w:firstRowLastColumn="0" w:lastRowFirstColumn="0" w:lastRowLastColumn="0"/>
            <w:tcW w:w="3119" w:type="dxa"/>
          </w:tcPr>
          <w:p w14:paraId="48BC3DC0" w14:textId="77777777" w:rsidR="00445A65" w:rsidRPr="00445A65" w:rsidRDefault="00445A65" w:rsidP="00F961CB">
            <w:pPr>
              <w:widowControl w:val="0"/>
              <w:autoSpaceDE w:val="0"/>
              <w:autoSpaceDN w:val="0"/>
              <w:adjustRightInd w:val="0"/>
              <w:jc w:val="both"/>
              <w:rPr>
                <w:rFonts w:cstheme="minorHAnsi"/>
                <w:b w:val="0"/>
                <w:color w:val="000000" w:themeColor="text1"/>
                <w:sz w:val="18"/>
                <w:szCs w:val="18"/>
              </w:rPr>
            </w:pPr>
            <w:r w:rsidRPr="00445A65">
              <w:rPr>
                <w:rFonts w:cstheme="minorHAnsi"/>
                <w:b w:val="0"/>
                <w:color w:val="000000" w:themeColor="text1"/>
                <w:sz w:val="18"/>
                <w:szCs w:val="18"/>
              </w:rPr>
              <w:t>Transmission probability (</w:t>
            </w:r>
            <w:r w:rsidRPr="00445A65">
              <w:rPr>
                <w:rFonts w:cstheme="minorHAnsi"/>
                <w:b w:val="0"/>
                <w:i/>
                <w:color w:val="000000" w:themeColor="text1"/>
                <w:sz w:val="18"/>
                <w:szCs w:val="18"/>
              </w:rPr>
              <w:t>h</w:t>
            </w:r>
            <w:r w:rsidRPr="00445A65">
              <w:rPr>
                <w:rFonts w:cstheme="minorHAnsi"/>
                <w:b w:val="0"/>
                <w:color w:val="000000" w:themeColor="text1"/>
                <w:sz w:val="18"/>
                <w:szCs w:val="18"/>
              </w:rPr>
              <w:t>→</w:t>
            </w:r>
            <w:r w:rsidRPr="00445A65">
              <w:rPr>
                <w:rFonts w:cstheme="minorHAnsi"/>
                <w:b w:val="0"/>
                <w:i/>
                <w:color w:val="000000" w:themeColor="text1"/>
                <w:sz w:val="18"/>
                <w:szCs w:val="18"/>
              </w:rPr>
              <w:t>v</w:t>
            </w:r>
            <w:r w:rsidRPr="00445A65">
              <w:rPr>
                <w:rFonts w:cstheme="minorHAnsi"/>
                <w:b w:val="0"/>
                <w:color w:val="000000" w:themeColor="text1"/>
                <w:sz w:val="18"/>
                <w:szCs w:val="18"/>
              </w:rPr>
              <w:t>)</w:t>
            </w:r>
          </w:p>
        </w:tc>
        <w:tc>
          <w:tcPr>
            <w:tcW w:w="3402" w:type="dxa"/>
          </w:tcPr>
          <w:p w14:paraId="7899DCAB" w14:textId="77777777" w:rsidR="00445A65" w:rsidRPr="00445A65" w:rsidRDefault="00445A65" w:rsidP="00F961C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445A65">
              <w:rPr>
                <w:rFonts w:cstheme="minorHAnsi"/>
                <w:i/>
                <w:color w:val="000000" w:themeColor="text1"/>
                <w:sz w:val="18"/>
                <w:szCs w:val="18"/>
              </w:rPr>
              <w:t></w:t>
            </w:r>
            <w:r w:rsidRPr="00445A65">
              <w:rPr>
                <w:rFonts w:cstheme="minorHAnsi"/>
                <w:i/>
                <w:color w:val="000000" w:themeColor="text1"/>
                <w:sz w:val="18"/>
                <w:szCs w:val="18"/>
                <w:vertAlign w:val="subscript"/>
              </w:rPr>
              <w:t>hv</w:t>
            </w:r>
            <w:r w:rsidRPr="00445A65">
              <w:rPr>
                <w:rFonts w:cstheme="minorHAnsi"/>
                <w:color w:val="000000" w:themeColor="text1"/>
                <w:sz w:val="18"/>
                <w:szCs w:val="18"/>
              </w:rPr>
              <w:t>= 0.28 (SP9=10%); 0.38 (SP9=30%); 0.435 (SP9=50%); 0.52 (SP9=70%); 0.565 (SP9=90%)</w:t>
            </w:r>
          </w:p>
        </w:tc>
        <w:tc>
          <w:tcPr>
            <w:tcW w:w="2505" w:type="dxa"/>
          </w:tcPr>
          <w:p w14:paraId="41B377DE" w14:textId="77777777" w:rsidR="00445A65" w:rsidRPr="00445A65" w:rsidRDefault="00445A65" w:rsidP="00F961CB">
            <w:pPr>
              <w:widowControl w:val="0"/>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8"/>
                <w:szCs w:val="18"/>
              </w:rPr>
            </w:pPr>
            <w:r w:rsidRPr="00445A65">
              <w:rPr>
                <w:rFonts w:cstheme="minorHAnsi"/>
                <w:i/>
                <w:color w:val="000000" w:themeColor="text1"/>
                <w:sz w:val="18"/>
                <w:szCs w:val="18"/>
              </w:rPr>
              <w:t></w:t>
            </w:r>
            <w:r w:rsidRPr="00445A65">
              <w:rPr>
                <w:rFonts w:cstheme="minorHAnsi"/>
                <w:i/>
                <w:color w:val="000000" w:themeColor="text1"/>
                <w:sz w:val="18"/>
                <w:szCs w:val="18"/>
                <w:vertAlign w:val="subscript"/>
              </w:rPr>
              <w:t>hv</w:t>
            </w:r>
            <w:r w:rsidRPr="00445A65">
              <w:rPr>
                <w:rFonts w:cstheme="minorHAnsi"/>
                <w:color w:val="000000" w:themeColor="text1"/>
                <w:sz w:val="18"/>
                <w:szCs w:val="18"/>
              </w:rPr>
              <w:t>=0.5</w:t>
            </w:r>
          </w:p>
        </w:tc>
      </w:tr>
      <w:tr w:rsidR="00445A65" w:rsidRPr="00445A65" w14:paraId="57402720" w14:textId="77777777" w:rsidTr="0044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3242D4A2" w14:textId="77777777" w:rsidR="00445A65" w:rsidRPr="00445A65" w:rsidRDefault="00445A65" w:rsidP="00F961CB">
            <w:pPr>
              <w:widowControl w:val="0"/>
              <w:autoSpaceDE w:val="0"/>
              <w:autoSpaceDN w:val="0"/>
              <w:adjustRightInd w:val="0"/>
              <w:rPr>
                <w:rFonts w:cstheme="minorHAnsi"/>
                <w:b w:val="0"/>
                <w:color w:val="000000" w:themeColor="text1"/>
                <w:sz w:val="18"/>
                <w:szCs w:val="18"/>
              </w:rPr>
            </w:pPr>
            <w:r w:rsidRPr="00445A65">
              <w:rPr>
                <w:rFonts w:cstheme="minorHAnsi"/>
                <w:b w:val="0"/>
                <w:color w:val="000000" w:themeColor="text1"/>
                <w:sz w:val="18"/>
                <w:szCs w:val="18"/>
              </w:rPr>
              <w:t>Transmission probability (</w:t>
            </w:r>
            <w:r w:rsidRPr="00445A65">
              <w:rPr>
                <w:rFonts w:cstheme="minorHAnsi"/>
                <w:b w:val="0"/>
                <w:i/>
                <w:color w:val="000000" w:themeColor="text1"/>
                <w:sz w:val="18"/>
                <w:szCs w:val="18"/>
              </w:rPr>
              <w:t>v</w:t>
            </w:r>
            <w:r w:rsidRPr="00445A65">
              <w:rPr>
                <w:rFonts w:cstheme="minorHAnsi"/>
                <w:b w:val="0"/>
                <w:color w:val="000000" w:themeColor="text1"/>
                <w:sz w:val="18"/>
                <w:szCs w:val="18"/>
              </w:rPr>
              <w:t>→</w:t>
            </w:r>
            <w:r w:rsidRPr="00445A65">
              <w:rPr>
                <w:rFonts w:cstheme="minorHAnsi"/>
                <w:b w:val="0"/>
                <w:i/>
                <w:color w:val="000000" w:themeColor="text1"/>
                <w:sz w:val="18"/>
                <w:szCs w:val="18"/>
              </w:rPr>
              <w:t>h</w:t>
            </w:r>
            <w:r w:rsidRPr="00445A65">
              <w:rPr>
                <w:rFonts w:cstheme="minorHAnsi"/>
                <w:b w:val="0"/>
                <w:color w:val="000000" w:themeColor="text1"/>
                <w:sz w:val="18"/>
                <w:szCs w:val="18"/>
              </w:rPr>
              <w:t>)</w:t>
            </w:r>
          </w:p>
        </w:tc>
        <w:tc>
          <w:tcPr>
            <w:tcW w:w="3402" w:type="dxa"/>
          </w:tcPr>
          <w:p w14:paraId="48E41DA6" w14:textId="77777777" w:rsidR="00445A65" w:rsidRPr="00445A65" w:rsidRDefault="00445A65" w:rsidP="00F961C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445A65">
              <w:rPr>
                <w:rFonts w:cstheme="minorHAnsi"/>
                <w:i/>
                <w:color w:val="000000" w:themeColor="text1"/>
                <w:sz w:val="18"/>
                <w:szCs w:val="18"/>
              </w:rPr>
              <w:t></w:t>
            </w:r>
            <w:r w:rsidRPr="00445A65">
              <w:rPr>
                <w:rFonts w:cstheme="minorHAnsi"/>
                <w:i/>
                <w:color w:val="000000" w:themeColor="text1"/>
                <w:sz w:val="18"/>
                <w:szCs w:val="18"/>
                <w:vertAlign w:val="subscript"/>
              </w:rPr>
              <w:t>vh</w:t>
            </w:r>
            <w:r w:rsidRPr="00445A65">
              <w:rPr>
                <w:rFonts w:cstheme="minorHAnsi"/>
                <w:color w:val="000000" w:themeColor="text1"/>
                <w:sz w:val="18"/>
                <w:szCs w:val="18"/>
              </w:rPr>
              <w:t>= 0.28 (SP9=10%); 0.28 (SP9=30%); 0.335 (SP9=50%); 0.41 (SP9=70%); 0.565 (SP9=90%)</w:t>
            </w:r>
          </w:p>
        </w:tc>
        <w:tc>
          <w:tcPr>
            <w:tcW w:w="2505" w:type="dxa"/>
          </w:tcPr>
          <w:p w14:paraId="72523820" w14:textId="77777777" w:rsidR="00445A65" w:rsidRPr="00445A65" w:rsidRDefault="00445A65" w:rsidP="00F961CB">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8"/>
                <w:szCs w:val="18"/>
              </w:rPr>
            </w:pPr>
            <w:r w:rsidRPr="00445A65">
              <w:rPr>
                <w:rFonts w:cstheme="minorHAnsi"/>
                <w:i/>
                <w:color w:val="000000" w:themeColor="text1"/>
                <w:sz w:val="18"/>
                <w:szCs w:val="18"/>
              </w:rPr>
              <w:t></w:t>
            </w:r>
            <w:r w:rsidRPr="00445A65">
              <w:rPr>
                <w:rFonts w:cstheme="minorHAnsi"/>
                <w:i/>
                <w:color w:val="000000" w:themeColor="text1"/>
                <w:sz w:val="18"/>
                <w:szCs w:val="18"/>
                <w:vertAlign w:val="subscript"/>
              </w:rPr>
              <w:t>vh</w:t>
            </w:r>
            <w:r w:rsidRPr="00445A65">
              <w:rPr>
                <w:rFonts w:cstheme="minorHAnsi"/>
                <w:color w:val="000000" w:themeColor="text1"/>
                <w:sz w:val="18"/>
                <w:szCs w:val="18"/>
              </w:rPr>
              <w:t>=0.5</w:t>
            </w:r>
          </w:p>
        </w:tc>
      </w:tr>
    </w:tbl>
    <w:p w14:paraId="5329C812" w14:textId="77777777" w:rsidR="00445A65" w:rsidRPr="00445A65" w:rsidRDefault="00445A65" w:rsidP="00445A65">
      <w:pPr>
        <w:spacing w:after="120" w:line="240" w:lineRule="auto"/>
        <w:jc w:val="both"/>
        <w:rPr>
          <w:b/>
          <w:color w:val="000000" w:themeColor="text1"/>
          <w:u w:val="single"/>
        </w:rPr>
      </w:pPr>
    </w:p>
    <w:p w14:paraId="04ED4564" w14:textId="77777777" w:rsidR="00445A65" w:rsidRPr="00445A65" w:rsidRDefault="00445A65" w:rsidP="00445A65">
      <w:pPr>
        <w:spacing w:after="120" w:line="240" w:lineRule="auto"/>
        <w:jc w:val="both"/>
        <w:rPr>
          <w:color w:val="000000" w:themeColor="text1"/>
        </w:rPr>
      </w:pPr>
      <w:r w:rsidRPr="00445A65">
        <w:rPr>
          <w:color w:val="000000" w:themeColor="text1"/>
        </w:rPr>
        <w:lastRenderedPageBreak/>
        <w:t xml:space="preserve">In line with the CMDVI agreed action of Dengvaxia®, vaccination was administered in three doses six months apart and acts as a silent infection that moves individuals up the infection ladder. It also provides temporary heterologous protection against infection, where protective efficacy wanes exponentially over time (from 100% at the point of the last vaccine dose to 0% with a half-life of 1 year) regardless of the immune status of the individual. </w:t>
      </w:r>
    </w:p>
    <w:p w14:paraId="1D8BC18E" w14:textId="77777777" w:rsidR="00445A65" w:rsidRPr="00445A65" w:rsidRDefault="00445A65" w:rsidP="00445A65">
      <w:pPr>
        <w:spacing w:after="120" w:line="240" w:lineRule="auto"/>
        <w:jc w:val="both"/>
        <w:rPr>
          <w:color w:val="000000" w:themeColor="text1"/>
        </w:rPr>
      </w:pPr>
      <w:r w:rsidRPr="00445A65">
        <w:rPr>
          <w:color w:val="000000" w:themeColor="text1"/>
        </w:rPr>
        <w:t>All transition rates (infection→VCD, VCD→hospitalisation) were determined by fitting the model outcome (within a transmission setting at 70% seroprevalence in 9 year olds) to the CYD14 vaccine trial data using a Bayesian Markov Chain Monte Carlo method, resulting in the following age- and exposure-dependent progression rates:</w:t>
      </w:r>
    </w:p>
    <w:tbl>
      <w:tblPr>
        <w:tblStyle w:val="PlainTable31"/>
        <w:tblW w:w="0" w:type="auto"/>
        <w:tblLook w:val="04A0" w:firstRow="1" w:lastRow="0" w:firstColumn="1" w:lastColumn="0" w:noHBand="0" w:noVBand="1"/>
      </w:tblPr>
      <w:tblGrid>
        <w:gridCol w:w="2668"/>
        <w:gridCol w:w="1423"/>
        <w:gridCol w:w="1269"/>
        <w:gridCol w:w="1408"/>
        <w:gridCol w:w="170"/>
        <w:gridCol w:w="1206"/>
        <w:gridCol w:w="1098"/>
      </w:tblGrid>
      <w:tr w:rsidR="00445A65" w:rsidRPr="00445A65" w14:paraId="3A835189" w14:textId="77777777" w:rsidTr="00445A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2" w:type="dxa"/>
          </w:tcPr>
          <w:p w14:paraId="158D2F38" w14:textId="77777777" w:rsidR="00445A65" w:rsidRPr="00445A65" w:rsidRDefault="00445A65" w:rsidP="00F961CB">
            <w:pPr>
              <w:widowControl w:val="0"/>
              <w:autoSpaceDE w:val="0"/>
              <w:autoSpaceDN w:val="0"/>
              <w:adjustRightInd w:val="0"/>
              <w:rPr>
                <w:color w:val="000000" w:themeColor="text1"/>
                <w:sz w:val="18"/>
                <w:szCs w:val="18"/>
              </w:rPr>
            </w:pPr>
          </w:p>
        </w:tc>
        <w:tc>
          <w:tcPr>
            <w:tcW w:w="1429" w:type="dxa"/>
          </w:tcPr>
          <w:p w14:paraId="64592785" w14:textId="77777777" w:rsidR="00445A65" w:rsidRPr="00445A65" w:rsidRDefault="00445A65" w:rsidP="00F961CB">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p>
        </w:tc>
        <w:tc>
          <w:tcPr>
            <w:tcW w:w="1276" w:type="dxa"/>
          </w:tcPr>
          <w:p w14:paraId="4B4E11A7" w14:textId="77777777" w:rsidR="00445A65" w:rsidRPr="00445A65" w:rsidRDefault="00445A65" w:rsidP="00F961CB">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rPr>
            </w:pPr>
            <w:r w:rsidRPr="00445A65">
              <w:rPr>
                <w:b w:val="0"/>
                <w:color w:val="000000" w:themeColor="text1"/>
                <w:sz w:val="18"/>
                <w:szCs w:val="18"/>
              </w:rPr>
              <w:t>1-8 years</w:t>
            </w:r>
          </w:p>
        </w:tc>
        <w:tc>
          <w:tcPr>
            <w:tcW w:w="1417" w:type="dxa"/>
          </w:tcPr>
          <w:p w14:paraId="0D080292" w14:textId="77777777" w:rsidR="00445A65" w:rsidRPr="00445A65" w:rsidRDefault="00445A65" w:rsidP="00F961CB">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rPr>
            </w:pPr>
            <w:r w:rsidRPr="00445A65">
              <w:rPr>
                <w:b w:val="0"/>
                <w:color w:val="000000" w:themeColor="text1"/>
                <w:sz w:val="18"/>
                <w:szCs w:val="18"/>
              </w:rPr>
              <w:t>9-14 years</w:t>
            </w:r>
          </w:p>
        </w:tc>
        <w:tc>
          <w:tcPr>
            <w:tcW w:w="1385" w:type="dxa"/>
            <w:gridSpan w:val="2"/>
          </w:tcPr>
          <w:p w14:paraId="075758C9" w14:textId="77777777" w:rsidR="00445A65" w:rsidRPr="00445A65" w:rsidRDefault="00445A65" w:rsidP="00F961CB">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rPr>
            </w:pPr>
            <w:r w:rsidRPr="00445A65">
              <w:rPr>
                <w:b w:val="0"/>
                <w:color w:val="000000" w:themeColor="text1"/>
                <w:sz w:val="18"/>
                <w:szCs w:val="18"/>
              </w:rPr>
              <w:t>15-17 years</w:t>
            </w:r>
          </w:p>
        </w:tc>
        <w:tc>
          <w:tcPr>
            <w:tcW w:w="1103" w:type="dxa"/>
          </w:tcPr>
          <w:p w14:paraId="3CF5BDE8" w14:textId="77777777" w:rsidR="00445A65" w:rsidRPr="00445A65" w:rsidRDefault="00445A65" w:rsidP="00F961CB">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rPr>
            </w:pPr>
            <w:r w:rsidRPr="00445A65">
              <w:rPr>
                <w:b w:val="0"/>
                <w:color w:val="000000" w:themeColor="text1"/>
                <w:sz w:val="18"/>
                <w:szCs w:val="18"/>
              </w:rPr>
              <w:t>18+ years</w:t>
            </w:r>
          </w:p>
        </w:tc>
      </w:tr>
      <w:tr w:rsidR="00445A65" w:rsidRPr="00445A65" w14:paraId="71AA7842" w14:textId="77777777" w:rsidTr="0044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tcPr>
          <w:p w14:paraId="5ADBCFF5" w14:textId="77777777" w:rsidR="00445A65" w:rsidRPr="00445A65" w:rsidRDefault="00445A65" w:rsidP="00F961CB">
            <w:pPr>
              <w:widowControl w:val="0"/>
              <w:autoSpaceDE w:val="0"/>
              <w:autoSpaceDN w:val="0"/>
              <w:adjustRightInd w:val="0"/>
              <w:rPr>
                <w:b w:val="0"/>
                <w:color w:val="000000" w:themeColor="text1"/>
                <w:sz w:val="18"/>
                <w:szCs w:val="18"/>
              </w:rPr>
            </w:pPr>
            <w:r w:rsidRPr="00445A65">
              <w:rPr>
                <w:b w:val="0"/>
                <w:color w:val="000000" w:themeColor="text1"/>
                <w:sz w:val="18"/>
                <w:szCs w:val="18"/>
              </w:rPr>
              <w:t>infection → VCD</w:t>
            </w:r>
          </w:p>
        </w:tc>
        <w:tc>
          <w:tcPr>
            <w:tcW w:w="1429" w:type="dxa"/>
          </w:tcPr>
          <w:p w14:paraId="3DC5C604" w14:textId="77777777" w:rsidR="00445A65" w:rsidRPr="00445A65" w:rsidRDefault="00445A65" w:rsidP="00F961C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45A65">
              <w:rPr>
                <w:color w:val="000000" w:themeColor="text1"/>
                <w:sz w:val="18"/>
                <w:szCs w:val="18"/>
              </w:rPr>
              <w:t>primary infection</w:t>
            </w:r>
          </w:p>
        </w:tc>
        <w:tc>
          <w:tcPr>
            <w:tcW w:w="1276" w:type="dxa"/>
          </w:tcPr>
          <w:p w14:paraId="674A6363" w14:textId="77777777" w:rsidR="00445A65" w:rsidRPr="00445A65" w:rsidRDefault="00445A65" w:rsidP="00F961C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45A65">
              <w:rPr>
                <w:color w:val="000000" w:themeColor="text1"/>
                <w:sz w:val="18"/>
                <w:szCs w:val="18"/>
              </w:rPr>
              <w:t>0.439</w:t>
            </w:r>
          </w:p>
        </w:tc>
        <w:tc>
          <w:tcPr>
            <w:tcW w:w="1589" w:type="dxa"/>
            <w:gridSpan w:val="2"/>
          </w:tcPr>
          <w:p w14:paraId="2BD3C84C" w14:textId="77777777" w:rsidR="00445A65" w:rsidRPr="00445A65" w:rsidRDefault="00445A65" w:rsidP="00F961C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45A65">
              <w:rPr>
                <w:color w:val="000000" w:themeColor="text1"/>
                <w:sz w:val="18"/>
                <w:szCs w:val="18"/>
              </w:rPr>
              <w:t>0.439</w:t>
            </w:r>
          </w:p>
        </w:tc>
        <w:tc>
          <w:tcPr>
            <w:tcW w:w="1213" w:type="dxa"/>
          </w:tcPr>
          <w:p w14:paraId="76B7E4B2" w14:textId="77777777" w:rsidR="00445A65" w:rsidRPr="00445A65" w:rsidRDefault="00445A65" w:rsidP="00F961C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45A65">
              <w:rPr>
                <w:color w:val="000000" w:themeColor="text1"/>
                <w:sz w:val="18"/>
                <w:szCs w:val="18"/>
              </w:rPr>
              <w:t>0.439</w:t>
            </w:r>
          </w:p>
        </w:tc>
        <w:tc>
          <w:tcPr>
            <w:tcW w:w="1103" w:type="dxa"/>
          </w:tcPr>
          <w:p w14:paraId="07CD7FBF" w14:textId="77777777" w:rsidR="00445A65" w:rsidRPr="00445A65" w:rsidRDefault="00445A65" w:rsidP="00F961C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45A65">
              <w:rPr>
                <w:color w:val="000000" w:themeColor="text1"/>
                <w:sz w:val="18"/>
                <w:szCs w:val="18"/>
              </w:rPr>
              <w:t>0.439</w:t>
            </w:r>
          </w:p>
        </w:tc>
      </w:tr>
      <w:tr w:rsidR="00445A65" w:rsidRPr="00445A65" w14:paraId="1425CF4C" w14:textId="77777777" w:rsidTr="00445A65">
        <w:tc>
          <w:tcPr>
            <w:cnfStyle w:val="001000000000" w:firstRow="0" w:lastRow="0" w:firstColumn="1" w:lastColumn="0" w:oddVBand="0" w:evenVBand="0" w:oddHBand="0" w:evenHBand="0" w:firstRowFirstColumn="0" w:firstRowLastColumn="0" w:lastRowFirstColumn="0" w:lastRowLastColumn="0"/>
            <w:tcW w:w="2682" w:type="dxa"/>
          </w:tcPr>
          <w:p w14:paraId="33D46CD2" w14:textId="77777777" w:rsidR="00445A65" w:rsidRPr="00445A65" w:rsidRDefault="00445A65" w:rsidP="00F961CB">
            <w:pPr>
              <w:widowControl w:val="0"/>
              <w:autoSpaceDE w:val="0"/>
              <w:autoSpaceDN w:val="0"/>
              <w:adjustRightInd w:val="0"/>
              <w:rPr>
                <w:color w:val="000000" w:themeColor="text1"/>
                <w:sz w:val="18"/>
                <w:szCs w:val="18"/>
              </w:rPr>
            </w:pPr>
          </w:p>
        </w:tc>
        <w:tc>
          <w:tcPr>
            <w:tcW w:w="1429" w:type="dxa"/>
          </w:tcPr>
          <w:p w14:paraId="775F7D0B" w14:textId="77777777" w:rsidR="00445A65" w:rsidRPr="00445A65" w:rsidRDefault="00445A65" w:rsidP="00F961C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45A65">
              <w:rPr>
                <w:color w:val="000000" w:themeColor="text1"/>
                <w:sz w:val="18"/>
                <w:szCs w:val="18"/>
              </w:rPr>
              <w:t>secondary infection</w:t>
            </w:r>
          </w:p>
        </w:tc>
        <w:tc>
          <w:tcPr>
            <w:tcW w:w="1276" w:type="dxa"/>
          </w:tcPr>
          <w:p w14:paraId="254CF726" w14:textId="77777777" w:rsidR="00445A65" w:rsidRPr="00445A65" w:rsidRDefault="00445A65" w:rsidP="00F961CB">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45A65">
              <w:rPr>
                <w:color w:val="000000" w:themeColor="text1"/>
                <w:sz w:val="18"/>
                <w:szCs w:val="18"/>
              </w:rPr>
              <w:t>0.540</w:t>
            </w:r>
          </w:p>
        </w:tc>
        <w:tc>
          <w:tcPr>
            <w:tcW w:w="1589" w:type="dxa"/>
            <w:gridSpan w:val="2"/>
          </w:tcPr>
          <w:p w14:paraId="14B232DE" w14:textId="77777777" w:rsidR="00445A65" w:rsidRPr="00445A65" w:rsidRDefault="00445A65" w:rsidP="00F961CB">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45A65">
              <w:rPr>
                <w:color w:val="000000" w:themeColor="text1"/>
                <w:sz w:val="18"/>
                <w:szCs w:val="18"/>
              </w:rPr>
              <w:t>0.370</w:t>
            </w:r>
          </w:p>
        </w:tc>
        <w:tc>
          <w:tcPr>
            <w:tcW w:w="1213" w:type="dxa"/>
          </w:tcPr>
          <w:p w14:paraId="13561BC2" w14:textId="77777777" w:rsidR="00445A65" w:rsidRPr="00445A65" w:rsidRDefault="00445A65" w:rsidP="00F961CB">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45A65">
              <w:rPr>
                <w:color w:val="000000" w:themeColor="text1"/>
                <w:sz w:val="18"/>
                <w:szCs w:val="18"/>
              </w:rPr>
              <w:t>0.324</w:t>
            </w:r>
          </w:p>
        </w:tc>
        <w:tc>
          <w:tcPr>
            <w:tcW w:w="1103" w:type="dxa"/>
          </w:tcPr>
          <w:p w14:paraId="6973A24A" w14:textId="77777777" w:rsidR="00445A65" w:rsidRPr="00445A65" w:rsidRDefault="00445A65" w:rsidP="00F961CB">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45A65">
              <w:rPr>
                <w:color w:val="000000" w:themeColor="text1"/>
                <w:sz w:val="18"/>
                <w:szCs w:val="18"/>
              </w:rPr>
              <w:t>0.308</w:t>
            </w:r>
          </w:p>
        </w:tc>
      </w:tr>
      <w:tr w:rsidR="00445A65" w:rsidRPr="00445A65" w14:paraId="0AD519E5" w14:textId="77777777" w:rsidTr="0044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tcPr>
          <w:p w14:paraId="098E44FE" w14:textId="77777777" w:rsidR="00445A65" w:rsidRPr="00445A65" w:rsidRDefault="00445A65" w:rsidP="00F961CB">
            <w:pPr>
              <w:widowControl w:val="0"/>
              <w:autoSpaceDE w:val="0"/>
              <w:autoSpaceDN w:val="0"/>
              <w:adjustRightInd w:val="0"/>
              <w:rPr>
                <w:color w:val="000000" w:themeColor="text1"/>
                <w:sz w:val="18"/>
                <w:szCs w:val="18"/>
              </w:rPr>
            </w:pPr>
          </w:p>
        </w:tc>
        <w:tc>
          <w:tcPr>
            <w:tcW w:w="1429" w:type="dxa"/>
          </w:tcPr>
          <w:p w14:paraId="31F98876" w14:textId="77777777" w:rsidR="00445A65" w:rsidRPr="00445A65" w:rsidRDefault="00445A65" w:rsidP="00F961C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45A65">
              <w:rPr>
                <w:color w:val="000000" w:themeColor="text1"/>
                <w:sz w:val="18"/>
                <w:szCs w:val="18"/>
              </w:rPr>
              <w:t>post-secondary infection</w:t>
            </w:r>
          </w:p>
        </w:tc>
        <w:tc>
          <w:tcPr>
            <w:tcW w:w="1276" w:type="dxa"/>
          </w:tcPr>
          <w:p w14:paraId="4CF4D595" w14:textId="77777777" w:rsidR="00445A65" w:rsidRPr="00445A65" w:rsidRDefault="00445A65" w:rsidP="00F961C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45A65">
              <w:rPr>
                <w:color w:val="000000" w:themeColor="text1"/>
                <w:sz w:val="18"/>
                <w:szCs w:val="18"/>
              </w:rPr>
              <w:t>0.209</w:t>
            </w:r>
          </w:p>
        </w:tc>
        <w:tc>
          <w:tcPr>
            <w:tcW w:w="1589" w:type="dxa"/>
            <w:gridSpan w:val="2"/>
          </w:tcPr>
          <w:p w14:paraId="67B2903D" w14:textId="77777777" w:rsidR="00445A65" w:rsidRPr="00445A65" w:rsidRDefault="00445A65" w:rsidP="00F961C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45A65">
              <w:rPr>
                <w:color w:val="000000" w:themeColor="text1"/>
                <w:sz w:val="18"/>
                <w:szCs w:val="18"/>
              </w:rPr>
              <w:t>0.144</w:t>
            </w:r>
          </w:p>
        </w:tc>
        <w:tc>
          <w:tcPr>
            <w:tcW w:w="1213" w:type="dxa"/>
          </w:tcPr>
          <w:p w14:paraId="48546F91" w14:textId="77777777" w:rsidR="00445A65" w:rsidRPr="00445A65" w:rsidRDefault="00445A65" w:rsidP="00F961C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45A65">
              <w:rPr>
                <w:color w:val="000000" w:themeColor="text1"/>
                <w:sz w:val="18"/>
                <w:szCs w:val="18"/>
              </w:rPr>
              <w:t>0.126</w:t>
            </w:r>
          </w:p>
        </w:tc>
        <w:tc>
          <w:tcPr>
            <w:tcW w:w="1103" w:type="dxa"/>
          </w:tcPr>
          <w:p w14:paraId="6A48EDBB" w14:textId="77777777" w:rsidR="00445A65" w:rsidRPr="00445A65" w:rsidRDefault="00445A65" w:rsidP="00F961C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45A65">
              <w:rPr>
                <w:color w:val="000000" w:themeColor="text1"/>
                <w:sz w:val="18"/>
                <w:szCs w:val="18"/>
              </w:rPr>
              <w:t>0.119</w:t>
            </w:r>
          </w:p>
        </w:tc>
      </w:tr>
      <w:tr w:rsidR="00445A65" w:rsidRPr="00445A65" w14:paraId="1D1D49F5" w14:textId="77777777" w:rsidTr="00445A65">
        <w:tc>
          <w:tcPr>
            <w:cnfStyle w:val="001000000000" w:firstRow="0" w:lastRow="0" w:firstColumn="1" w:lastColumn="0" w:oddVBand="0" w:evenVBand="0" w:oddHBand="0" w:evenHBand="0" w:firstRowFirstColumn="0" w:firstRowLastColumn="0" w:lastRowFirstColumn="0" w:lastRowLastColumn="0"/>
            <w:tcW w:w="2682" w:type="dxa"/>
          </w:tcPr>
          <w:p w14:paraId="2C4F1C71" w14:textId="77777777" w:rsidR="00445A65" w:rsidRPr="00445A65" w:rsidRDefault="00445A65" w:rsidP="00F961CB">
            <w:pPr>
              <w:widowControl w:val="0"/>
              <w:autoSpaceDE w:val="0"/>
              <w:autoSpaceDN w:val="0"/>
              <w:adjustRightInd w:val="0"/>
              <w:rPr>
                <w:b w:val="0"/>
                <w:color w:val="000000" w:themeColor="text1"/>
                <w:sz w:val="18"/>
                <w:szCs w:val="18"/>
              </w:rPr>
            </w:pPr>
            <w:r w:rsidRPr="00445A65">
              <w:rPr>
                <w:b w:val="0"/>
                <w:color w:val="000000" w:themeColor="text1"/>
                <w:sz w:val="18"/>
                <w:szCs w:val="18"/>
              </w:rPr>
              <w:t>infection → hospitalisation</w:t>
            </w:r>
          </w:p>
        </w:tc>
        <w:tc>
          <w:tcPr>
            <w:tcW w:w="1429" w:type="dxa"/>
          </w:tcPr>
          <w:p w14:paraId="7202E201" w14:textId="77777777" w:rsidR="00445A65" w:rsidRPr="00445A65" w:rsidRDefault="00445A65" w:rsidP="00F961C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45A65">
              <w:rPr>
                <w:color w:val="000000" w:themeColor="text1"/>
                <w:sz w:val="18"/>
                <w:szCs w:val="18"/>
              </w:rPr>
              <w:t>primary infection</w:t>
            </w:r>
          </w:p>
        </w:tc>
        <w:tc>
          <w:tcPr>
            <w:tcW w:w="1276" w:type="dxa"/>
          </w:tcPr>
          <w:p w14:paraId="73A54116" w14:textId="77777777" w:rsidR="00445A65" w:rsidRPr="00445A65" w:rsidRDefault="00445A65" w:rsidP="00F961CB">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45A65">
              <w:rPr>
                <w:color w:val="000000" w:themeColor="text1"/>
                <w:sz w:val="18"/>
                <w:szCs w:val="18"/>
              </w:rPr>
              <w:t>0.011</w:t>
            </w:r>
          </w:p>
        </w:tc>
        <w:tc>
          <w:tcPr>
            <w:tcW w:w="1589" w:type="dxa"/>
            <w:gridSpan w:val="2"/>
          </w:tcPr>
          <w:p w14:paraId="25BEEB98" w14:textId="77777777" w:rsidR="00445A65" w:rsidRPr="00445A65" w:rsidRDefault="00445A65" w:rsidP="00F961CB">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45A65">
              <w:rPr>
                <w:color w:val="000000" w:themeColor="text1"/>
                <w:sz w:val="18"/>
                <w:szCs w:val="18"/>
              </w:rPr>
              <w:t>0.011</w:t>
            </w:r>
          </w:p>
        </w:tc>
        <w:tc>
          <w:tcPr>
            <w:tcW w:w="1213" w:type="dxa"/>
          </w:tcPr>
          <w:p w14:paraId="2860F0C6" w14:textId="77777777" w:rsidR="00445A65" w:rsidRPr="00445A65" w:rsidRDefault="00445A65" w:rsidP="00F961CB">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45A65">
              <w:rPr>
                <w:color w:val="000000" w:themeColor="text1"/>
                <w:sz w:val="18"/>
                <w:szCs w:val="18"/>
              </w:rPr>
              <w:t>0.011</w:t>
            </w:r>
          </w:p>
        </w:tc>
        <w:tc>
          <w:tcPr>
            <w:tcW w:w="1103" w:type="dxa"/>
          </w:tcPr>
          <w:p w14:paraId="2A01AB81" w14:textId="77777777" w:rsidR="00445A65" w:rsidRPr="00445A65" w:rsidRDefault="00445A65" w:rsidP="00F961CB">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45A65">
              <w:rPr>
                <w:color w:val="000000" w:themeColor="text1"/>
                <w:sz w:val="18"/>
                <w:szCs w:val="18"/>
              </w:rPr>
              <w:t>0.011</w:t>
            </w:r>
          </w:p>
        </w:tc>
      </w:tr>
      <w:tr w:rsidR="00445A65" w:rsidRPr="00445A65" w14:paraId="4D425304" w14:textId="77777777" w:rsidTr="0044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2" w:type="dxa"/>
          </w:tcPr>
          <w:p w14:paraId="07AB0A88" w14:textId="77777777" w:rsidR="00445A65" w:rsidRPr="00445A65" w:rsidRDefault="00445A65" w:rsidP="00F961CB">
            <w:pPr>
              <w:widowControl w:val="0"/>
              <w:autoSpaceDE w:val="0"/>
              <w:autoSpaceDN w:val="0"/>
              <w:adjustRightInd w:val="0"/>
              <w:rPr>
                <w:color w:val="000000" w:themeColor="text1"/>
                <w:sz w:val="18"/>
                <w:szCs w:val="18"/>
              </w:rPr>
            </w:pPr>
          </w:p>
        </w:tc>
        <w:tc>
          <w:tcPr>
            <w:tcW w:w="1429" w:type="dxa"/>
          </w:tcPr>
          <w:p w14:paraId="47BFC4AB" w14:textId="77777777" w:rsidR="00445A65" w:rsidRPr="00445A65" w:rsidRDefault="00445A65" w:rsidP="00F961CB">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45A65">
              <w:rPr>
                <w:color w:val="000000" w:themeColor="text1"/>
                <w:sz w:val="18"/>
                <w:szCs w:val="18"/>
              </w:rPr>
              <w:t>secondary infection</w:t>
            </w:r>
          </w:p>
        </w:tc>
        <w:tc>
          <w:tcPr>
            <w:tcW w:w="1276" w:type="dxa"/>
          </w:tcPr>
          <w:p w14:paraId="22E8B5FB" w14:textId="77777777" w:rsidR="00445A65" w:rsidRPr="00445A65" w:rsidRDefault="00445A65" w:rsidP="00F961C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45A65">
              <w:rPr>
                <w:color w:val="000000" w:themeColor="text1"/>
                <w:sz w:val="18"/>
                <w:szCs w:val="18"/>
              </w:rPr>
              <w:t>0.107</w:t>
            </w:r>
          </w:p>
        </w:tc>
        <w:tc>
          <w:tcPr>
            <w:tcW w:w="1589" w:type="dxa"/>
            <w:gridSpan w:val="2"/>
          </w:tcPr>
          <w:p w14:paraId="549A1A33" w14:textId="77777777" w:rsidR="00445A65" w:rsidRPr="00445A65" w:rsidRDefault="00445A65" w:rsidP="00F961C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45A65">
              <w:rPr>
                <w:color w:val="000000" w:themeColor="text1"/>
                <w:sz w:val="18"/>
                <w:szCs w:val="18"/>
              </w:rPr>
              <w:t>0.073</w:t>
            </w:r>
          </w:p>
        </w:tc>
        <w:tc>
          <w:tcPr>
            <w:tcW w:w="1213" w:type="dxa"/>
          </w:tcPr>
          <w:p w14:paraId="36EC0353" w14:textId="77777777" w:rsidR="00445A65" w:rsidRPr="00445A65" w:rsidRDefault="00445A65" w:rsidP="00F961C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45A65">
              <w:rPr>
                <w:color w:val="000000" w:themeColor="text1"/>
                <w:sz w:val="18"/>
                <w:szCs w:val="18"/>
              </w:rPr>
              <w:t>0.064</w:t>
            </w:r>
          </w:p>
        </w:tc>
        <w:tc>
          <w:tcPr>
            <w:tcW w:w="1103" w:type="dxa"/>
          </w:tcPr>
          <w:p w14:paraId="1748571B" w14:textId="77777777" w:rsidR="00445A65" w:rsidRPr="00445A65" w:rsidRDefault="00445A65" w:rsidP="00F961CB">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445A65">
              <w:rPr>
                <w:color w:val="000000" w:themeColor="text1"/>
                <w:sz w:val="18"/>
                <w:szCs w:val="18"/>
              </w:rPr>
              <w:t>0.061</w:t>
            </w:r>
          </w:p>
        </w:tc>
      </w:tr>
      <w:tr w:rsidR="00445A65" w:rsidRPr="00445A65" w14:paraId="1219E70F" w14:textId="77777777" w:rsidTr="00445A65">
        <w:tc>
          <w:tcPr>
            <w:cnfStyle w:val="001000000000" w:firstRow="0" w:lastRow="0" w:firstColumn="1" w:lastColumn="0" w:oddVBand="0" w:evenVBand="0" w:oddHBand="0" w:evenHBand="0" w:firstRowFirstColumn="0" w:firstRowLastColumn="0" w:lastRowFirstColumn="0" w:lastRowLastColumn="0"/>
            <w:tcW w:w="2682" w:type="dxa"/>
          </w:tcPr>
          <w:p w14:paraId="0477A0BD" w14:textId="77777777" w:rsidR="00445A65" w:rsidRPr="00445A65" w:rsidRDefault="00445A65" w:rsidP="00F961CB">
            <w:pPr>
              <w:widowControl w:val="0"/>
              <w:autoSpaceDE w:val="0"/>
              <w:autoSpaceDN w:val="0"/>
              <w:adjustRightInd w:val="0"/>
              <w:rPr>
                <w:color w:val="000000" w:themeColor="text1"/>
                <w:sz w:val="18"/>
                <w:szCs w:val="18"/>
              </w:rPr>
            </w:pPr>
          </w:p>
        </w:tc>
        <w:tc>
          <w:tcPr>
            <w:tcW w:w="1429" w:type="dxa"/>
          </w:tcPr>
          <w:p w14:paraId="7C5E35CB" w14:textId="77777777" w:rsidR="00445A65" w:rsidRPr="00445A65" w:rsidRDefault="00445A65" w:rsidP="00F961CB">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45A65">
              <w:rPr>
                <w:color w:val="000000" w:themeColor="text1"/>
                <w:sz w:val="18"/>
                <w:szCs w:val="18"/>
              </w:rPr>
              <w:t>post-secondary infection</w:t>
            </w:r>
          </w:p>
        </w:tc>
        <w:tc>
          <w:tcPr>
            <w:tcW w:w="1276" w:type="dxa"/>
          </w:tcPr>
          <w:p w14:paraId="4542A35C" w14:textId="77777777" w:rsidR="00445A65" w:rsidRPr="00445A65" w:rsidRDefault="00445A65" w:rsidP="00F961CB">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45A65">
              <w:rPr>
                <w:color w:val="000000" w:themeColor="text1"/>
                <w:sz w:val="18"/>
                <w:szCs w:val="18"/>
              </w:rPr>
              <w:t>0.019</w:t>
            </w:r>
          </w:p>
        </w:tc>
        <w:tc>
          <w:tcPr>
            <w:tcW w:w="1589" w:type="dxa"/>
            <w:gridSpan w:val="2"/>
          </w:tcPr>
          <w:p w14:paraId="2881C894" w14:textId="77777777" w:rsidR="00445A65" w:rsidRPr="00445A65" w:rsidRDefault="00445A65" w:rsidP="00F961CB">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45A65">
              <w:rPr>
                <w:color w:val="000000" w:themeColor="text1"/>
                <w:sz w:val="18"/>
                <w:szCs w:val="18"/>
              </w:rPr>
              <w:t>0.013</w:t>
            </w:r>
          </w:p>
        </w:tc>
        <w:tc>
          <w:tcPr>
            <w:tcW w:w="1213" w:type="dxa"/>
          </w:tcPr>
          <w:p w14:paraId="15F8AC89" w14:textId="77777777" w:rsidR="00445A65" w:rsidRPr="00445A65" w:rsidRDefault="00445A65" w:rsidP="00F961CB">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45A65">
              <w:rPr>
                <w:color w:val="000000" w:themeColor="text1"/>
                <w:sz w:val="18"/>
                <w:szCs w:val="18"/>
              </w:rPr>
              <w:t>0.012</w:t>
            </w:r>
          </w:p>
        </w:tc>
        <w:tc>
          <w:tcPr>
            <w:tcW w:w="1103" w:type="dxa"/>
          </w:tcPr>
          <w:p w14:paraId="7FFFC447" w14:textId="77777777" w:rsidR="00445A65" w:rsidRPr="00445A65" w:rsidRDefault="00445A65" w:rsidP="00F961CB">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445A65">
              <w:rPr>
                <w:color w:val="000000" w:themeColor="text1"/>
                <w:sz w:val="18"/>
                <w:szCs w:val="18"/>
              </w:rPr>
              <w:t>0.011</w:t>
            </w:r>
          </w:p>
        </w:tc>
      </w:tr>
    </w:tbl>
    <w:p w14:paraId="06C1E951" w14:textId="77777777" w:rsidR="00445A65" w:rsidRPr="00445A65" w:rsidRDefault="00445A65" w:rsidP="00445A65">
      <w:pPr>
        <w:pStyle w:val="Heading3"/>
        <w:rPr>
          <w:color w:val="000000" w:themeColor="text1"/>
        </w:rPr>
      </w:pPr>
    </w:p>
    <w:p w14:paraId="58208B1C" w14:textId="77777777" w:rsidR="00445A65" w:rsidRDefault="00445A65" w:rsidP="00445A65">
      <w:pPr>
        <w:pStyle w:val="Heading3"/>
        <w:rPr>
          <w:color w:val="000000" w:themeColor="text1"/>
        </w:rPr>
      </w:pPr>
    </w:p>
    <w:p w14:paraId="7385A455" w14:textId="77777777" w:rsidR="00445A65" w:rsidRPr="00445A65" w:rsidRDefault="00445A65" w:rsidP="00445A65">
      <w:pPr>
        <w:pStyle w:val="Heading3"/>
        <w:rPr>
          <w:color w:val="000000" w:themeColor="text1"/>
        </w:rPr>
      </w:pPr>
      <w:r w:rsidRPr="00445A65">
        <w:rPr>
          <w:color w:val="000000" w:themeColor="text1"/>
        </w:rPr>
        <w:t>U</w:t>
      </w:r>
      <w:r>
        <w:rPr>
          <w:color w:val="000000" w:themeColor="text1"/>
        </w:rPr>
        <w:t xml:space="preserve">niversity of </w:t>
      </w:r>
      <w:r w:rsidRPr="00445A65">
        <w:rPr>
          <w:color w:val="000000" w:themeColor="text1"/>
        </w:rPr>
        <w:t>F</w:t>
      </w:r>
      <w:r>
        <w:rPr>
          <w:color w:val="000000" w:themeColor="text1"/>
        </w:rPr>
        <w:t>lorida</w:t>
      </w:r>
    </w:p>
    <w:p w14:paraId="68FE580C" w14:textId="27EEAC66" w:rsidR="00445A65" w:rsidRPr="00445A65" w:rsidRDefault="00445A65" w:rsidP="00445A65">
      <w:pPr>
        <w:rPr>
          <w:color w:val="000000" w:themeColor="text1"/>
          <w:lang w:val="en-US"/>
        </w:rPr>
      </w:pPr>
      <w:r w:rsidRPr="00445A65">
        <w:rPr>
          <w:color w:val="000000" w:themeColor="text1"/>
          <w:lang w:val="en-US"/>
        </w:rPr>
        <w:t xml:space="preserve">Our model differs from the previously published version </w:t>
      </w:r>
      <w:r w:rsidRPr="00445A65">
        <w:rPr>
          <w:color w:val="000000" w:themeColor="text1"/>
          <w:lang w:val="en-US"/>
        </w:rPr>
        <w:fldChar w:fldCharType="begin" w:fldLock="1"/>
      </w:r>
      <w:r w:rsidR="00EC3854">
        <w:rPr>
          <w:color w:val="000000" w:themeColor="text1"/>
          <w:lang w:val="en-US"/>
        </w:rPr>
        <w:instrText>ADDIN CSL_CITATION { "citationItems" : [ { "id" : "ITEM-1", "itemData" : { "DOI" : "10.1371/journal.pntd.0004661", "ISSN" : "1935-2735", "abstract" : "Hladish, T., C.A.B. Pearson, D.L. Chao, D.P. Rojas, G.L. Recchia, H. Gomez-Dantes, M.E. Halloran, J.R.C. Pulliam, I.M. Longini (2016) Projected impact of dengue vaccination in Yucatan, Mexico. In review", "author" : [ { "dropping-particle" : "", "family" : "Hladish", "given" : "Thomas J.", "non-dropping-particle" : "", "parse-names" : false, "suffix" : "" }, { "dropping-particle" : "", "family" : "Pearson", "given" : "Carl A. B.", "non-dropping-particle" : "", "parse-names" : false, "suffix" : "" }, { "dropping-particle" : "", "family" : "Chao", "given" : "Dennis L.", "non-dropping-particle" : "", "parse-names" : false, "suffix" : "" }, { "dropping-particle" : "", "family" : "Rojas", "given" : "Diana Patricia", "non-dropping-particle" : "", "parse-names" : false, "suffix" : "" }, { "dropping-particle" : "", "family" : "Recchia", "given" : "Gabriel L.", "non-dropping-particle" : "", "parse-names" : false, "suffix" : "" }, { "dropping-particle" : "", "family" : "G\u00f3mez-Dant\u00e9s", "given" : "H\u00e9ctor", "non-dropping-particle" : "", "parse-names" : false, "suffix" : "" }, { "dropping-particle" : "", "family" : "Halloran", "given" : "M. Elizabeth", "non-dropping-particle" : "", "parse-names" : false, "suffix" : "" }, { "dropping-particle" : "", "family" : "Pulliam", "given" : "Juliet R. C.", "non-dropping-particle" : "", "parse-names" : false, "suffix" : "" }, { "dropping-particle" : "", "family" : "Longini", "given" : "Ira M.", "non-dropping-particle" : "", "parse-names" : false, "suffix" : "" } ], "container-title" : "PLOS Neglected Tropical Diseases", "editor" : [ { "dropping-particle" : "", "family" : "Carvalho", "given" : "Marilia S\u00e1", "non-dropping-particle" : "", "parse-names" : false, "suffix" : "" } ], "id" : "ITEM-1", "issue" : "5", "issued" : { "date-parts" : [ [ "2016", "5", "26" ] ] }, "page" : "e0004661", "title" : "Projected Impact of Dengue Vaccination in Yucat\u00e1n, Mexico", "type" : "article-journal", "volume" : "10" }, "uris" : [ "http://www.mendeley.com/documents/?uuid=8e41e5e6-83a3-4ba5-b29a-812e5ad0cb73" ] } ], "mendeley" : { "formattedCitation" : "[3]", "plainTextFormattedCitation" : "[3]", "previouslyFormattedCitation" : "[3]" }, "properties" : { "noteIndex" : 0 }, "schema" : "https://github.com/citation-style-language/schema/raw/master/csl-citation.json" }</w:instrText>
      </w:r>
      <w:r w:rsidRPr="00445A65">
        <w:rPr>
          <w:color w:val="000000" w:themeColor="text1"/>
          <w:lang w:val="en-US"/>
        </w:rPr>
        <w:fldChar w:fldCharType="separate"/>
      </w:r>
      <w:r w:rsidRPr="00445A65">
        <w:rPr>
          <w:noProof/>
          <w:color w:val="000000" w:themeColor="text1"/>
          <w:lang w:val="en-US"/>
        </w:rPr>
        <w:t>[3]</w:t>
      </w:r>
      <w:r w:rsidRPr="00445A65">
        <w:rPr>
          <w:color w:val="000000" w:themeColor="text1"/>
          <w:lang w:val="en-US"/>
        </w:rPr>
        <w:fldChar w:fldCharType="end"/>
      </w:r>
      <w:r w:rsidRPr="00445A65">
        <w:rPr>
          <w:color w:val="000000" w:themeColor="text1"/>
          <w:lang w:val="en-US"/>
        </w:rPr>
        <w:t xml:space="preserve"> primarily in terms of parameter assumptions.  For this work, we assume several values which differ from those we fit or assumed for the Yucatan forecasts:</w:t>
      </w:r>
    </w:p>
    <w:p w14:paraId="0084B847" w14:textId="77777777" w:rsidR="00445A65" w:rsidRPr="00445A65" w:rsidRDefault="00445A65" w:rsidP="00445A65">
      <w:pPr>
        <w:rPr>
          <w:color w:val="000000" w:themeColor="text1"/>
          <w:lang w:val="en-US"/>
        </w:rPr>
      </w:pPr>
    </w:p>
    <w:tbl>
      <w:tblPr>
        <w:tblStyle w:val="PlainTable31"/>
        <w:tblW w:w="0" w:type="auto"/>
        <w:tblLook w:val="04A0" w:firstRow="1" w:lastRow="0" w:firstColumn="1" w:lastColumn="0" w:noHBand="0" w:noVBand="1"/>
      </w:tblPr>
      <w:tblGrid>
        <w:gridCol w:w="2310"/>
        <w:gridCol w:w="2310"/>
        <w:gridCol w:w="2311"/>
        <w:gridCol w:w="2311"/>
      </w:tblGrid>
      <w:tr w:rsidR="00445A65" w:rsidRPr="00445A65" w14:paraId="659EEEB6" w14:textId="77777777" w:rsidTr="00445A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0" w:type="dxa"/>
          </w:tcPr>
          <w:p w14:paraId="7E9E2F31" w14:textId="77777777" w:rsidR="00445A65" w:rsidRPr="00445A65" w:rsidRDefault="00445A65" w:rsidP="00F961CB">
            <w:pPr>
              <w:jc w:val="center"/>
              <w:rPr>
                <w:b w:val="0"/>
                <w:color w:val="000000" w:themeColor="text1"/>
                <w:sz w:val="18"/>
                <w:szCs w:val="18"/>
                <w:lang w:val="en-US"/>
              </w:rPr>
            </w:pPr>
            <w:r w:rsidRPr="00445A65">
              <w:rPr>
                <w:b w:val="0"/>
                <w:color w:val="000000" w:themeColor="text1"/>
                <w:sz w:val="18"/>
                <w:szCs w:val="18"/>
                <w:lang w:val="en-US"/>
              </w:rPr>
              <w:t>Parameter</w:t>
            </w:r>
          </w:p>
        </w:tc>
        <w:tc>
          <w:tcPr>
            <w:tcW w:w="2310" w:type="dxa"/>
          </w:tcPr>
          <w:p w14:paraId="15855BDF" w14:textId="77777777" w:rsidR="00445A65" w:rsidRPr="00445A65" w:rsidRDefault="00445A65" w:rsidP="00F961CB">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lang w:val="en-US"/>
              </w:rPr>
            </w:pPr>
            <w:r w:rsidRPr="00445A65">
              <w:rPr>
                <w:b w:val="0"/>
                <w:color w:val="000000" w:themeColor="text1"/>
                <w:sz w:val="18"/>
                <w:szCs w:val="18"/>
                <w:lang w:val="en-US"/>
              </w:rPr>
              <w:t>Original fit mean / fixed value</w:t>
            </w:r>
          </w:p>
        </w:tc>
        <w:tc>
          <w:tcPr>
            <w:tcW w:w="2311" w:type="dxa"/>
          </w:tcPr>
          <w:p w14:paraId="38223CC6" w14:textId="77777777" w:rsidR="00445A65" w:rsidRPr="00445A65" w:rsidRDefault="00445A65" w:rsidP="00F961CB">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lang w:val="en-US"/>
              </w:rPr>
            </w:pPr>
            <w:r w:rsidRPr="00445A65">
              <w:rPr>
                <w:b w:val="0"/>
                <w:color w:val="000000" w:themeColor="text1"/>
                <w:sz w:val="18"/>
                <w:szCs w:val="18"/>
                <w:lang w:val="en-US"/>
              </w:rPr>
              <w:t>Assumed value for CMDVI</w:t>
            </w:r>
          </w:p>
        </w:tc>
        <w:tc>
          <w:tcPr>
            <w:tcW w:w="2311" w:type="dxa"/>
          </w:tcPr>
          <w:p w14:paraId="14824BB4" w14:textId="5F54C8EA" w:rsidR="00445A65" w:rsidRPr="00445A65" w:rsidRDefault="00445A65" w:rsidP="00F961CB">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lang w:val="en-US"/>
              </w:rPr>
            </w:pPr>
            <w:r w:rsidRPr="00445A65">
              <w:rPr>
                <w:b w:val="0"/>
                <w:color w:val="000000" w:themeColor="text1"/>
                <w:sz w:val="18"/>
                <w:szCs w:val="18"/>
                <w:lang w:val="en-US"/>
              </w:rPr>
              <w:t xml:space="preserve">Discussion in </w:t>
            </w:r>
            <w:r w:rsidRPr="00445A65">
              <w:rPr>
                <w:color w:val="000000" w:themeColor="text1"/>
                <w:sz w:val="18"/>
                <w:szCs w:val="18"/>
                <w:lang w:val="en-US"/>
              </w:rPr>
              <w:fldChar w:fldCharType="begin" w:fldLock="1"/>
            </w:r>
            <w:r w:rsidR="00262137">
              <w:rPr>
                <w:b w:val="0"/>
                <w:color w:val="000000" w:themeColor="text1"/>
                <w:sz w:val="18"/>
                <w:szCs w:val="18"/>
                <w:lang w:val="en-US"/>
              </w:rPr>
              <w:instrText>ADDIN CSL_CITATION { "citationItems" : [ { "id" : "ITEM-1", "itemData" : { "DOI" : "10.1371/journal.pntd.0004661", "ISSN" : "1935-2735", "abstract" : "Hladish, T., C.A.B. Pearson, D.L. Chao, D.P. Rojas, G.L. Recchia, H. Gomez-Dantes, M.E. Halloran, J.R.C. Pulliam, I.M. Longini (2016) Projected impact of dengue vaccination in Yucatan, Mexico. In review", "author" : [ { "dropping-particle" : "", "family" : "Hladish", "given" : "Thomas J.", "non-dropping-particle" : "", "parse-names" : false, "suffix" : "" }, { "dropping-particle" : "", "family" : "Pearson", "given" : "Carl A. B.", "non-dropping-particle" : "", "parse-names" : false, "suffix" : "" }, { "dropping-particle" : "", "family" : "Chao", "given" : "Dennis L.", "non-dropping-particle" : "", "parse-names" : false, "suffix" : "" }, { "dropping-particle" : "", "family" : "Rojas", "given" : "Diana Patricia", "non-dropping-particle" : "", "parse-names" : false, "suffix" : "" }, { "dropping-particle" : "", "family" : "Recchia", "given" : "Gabriel L.", "non-dropping-particle" : "", "parse-names" : false, "suffix" : "" }, { "dropping-particle" : "", "family" : "G\u00f3mez-Dant\u00e9s", "given" : "H\u00e9ctor", "non-dropping-particle" : "", "parse-names" : false, "suffix" : "" }, { "dropping-particle" : "", "family" : "Halloran", "given" : "M. Elizabeth", "non-dropping-particle" : "", "parse-names" : false, "suffix" : "" }, { "dropping-particle" : "", "family" : "Pulliam", "given" : "Juliet R. C.", "non-dropping-particle" : "", "parse-names" : false, "suffix" : "" }, { "dropping-particle" : "", "family" : "Longini", "given" : "Ira M.", "non-dropping-particle" : "", "parse-names" : false, "suffix" : "" } ], "container-title" : "PLOS Neglected Tropical Diseases", "editor" : [ { "dropping-particle" : "", "family" : "Carvalho", "given" : "Marilia S\u00e1", "non-dropping-particle" : "", "parse-names" : false, "suffix" : "" } ], "id" : "ITEM-1", "issue" : "5", "issued" : { "date-parts" : [ [ "2016", "5", "26" ] ] }, "page" : "e0004661", "title" : "Projected Impact of Dengue Vaccination in Yucat\u00e1n, Mexico", "type" : "article-journal", "volume" : "10" }, "uris" : [ "http://www.mendeley.com/documents/?uuid=8e41e5e6-83a3-4ba5-b29a-812e5ad0cb73" ] } ], "mendeley" : { "formattedCitation" : "[3]", "plainTextFormattedCitation" : "[3]", "previouslyFormattedCitation" : "[3]" }, "properties" : { "noteIndex" : 0 }, "schema" : "https://github.com/citation-style-language/schema/raw/master/csl-citation.json" }</w:instrText>
            </w:r>
            <w:r w:rsidRPr="00445A65">
              <w:rPr>
                <w:color w:val="000000" w:themeColor="text1"/>
                <w:sz w:val="18"/>
                <w:szCs w:val="18"/>
                <w:lang w:val="en-US"/>
              </w:rPr>
              <w:fldChar w:fldCharType="separate"/>
            </w:r>
            <w:r w:rsidRPr="00262137">
              <w:rPr>
                <w:b w:val="0"/>
                <w:noProof/>
                <w:color w:val="000000" w:themeColor="text1"/>
                <w:sz w:val="18"/>
                <w:szCs w:val="18"/>
                <w:lang w:val="en-US"/>
              </w:rPr>
              <w:t>[3]</w:t>
            </w:r>
            <w:r w:rsidRPr="00445A65">
              <w:rPr>
                <w:color w:val="000000" w:themeColor="text1"/>
                <w:sz w:val="18"/>
                <w:szCs w:val="18"/>
                <w:lang w:val="en-US"/>
              </w:rPr>
              <w:fldChar w:fldCharType="end"/>
            </w:r>
          </w:p>
        </w:tc>
      </w:tr>
      <w:tr w:rsidR="00445A65" w:rsidRPr="00445A65" w14:paraId="14C547FA" w14:textId="77777777" w:rsidTr="0044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1D38B069" w14:textId="77777777" w:rsidR="00445A65" w:rsidRPr="00445A65" w:rsidRDefault="00445A65" w:rsidP="00F961CB">
            <w:pPr>
              <w:jc w:val="center"/>
              <w:rPr>
                <w:b w:val="0"/>
                <w:color w:val="000000" w:themeColor="text1"/>
                <w:sz w:val="18"/>
                <w:szCs w:val="18"/>
                <w:lang w:val="en-US"/>
              </w:rPr>
            </w:pPr>
            <w:r w:rsidRPr="00445A65">
              <w:rPr>
                <w:b w:val="0"/>
                <w:color w:val="000000" w:themeColor="text1"/>
                <w:sz w:val="18"/>
                <w:szCs w:val="18"/>
                <w:lang w:val="en-US"/>
              </w:rPr>
              <w:t>Primary infection pathogenicity relative risk</w:t>
            </w:r>
          </w:p>
        </w:tc>
        <w:tc>
          <w:tcPr>
            <w:tcW w:w="2310" w:type="dxa"/>
          </w:tcPr>
          <w:p w14:paraId="22D45C07"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US"/>
              </w:rPr>
            </w:pPr>
            <w:r w:rsidRPr="00445A65">
              <w:rPr>
                <w:color w:val="000000" w:themeColor="text1"/>
                <w:sz w:val="18"/>
                <w:szCs w:val="18"/>
                <w:lang w:val="en-US"/>
              </w:rPr>
              <w:t>Age-stratified</w:t>
            </w:r>
          </w:p>
        </w:tc>
        <w:tc>
          <w:tcPr>
            <w:tcW w:w="2311" w:type="dxa"/>
          </w:tcPr>
          <w:p w14:paraId="47DB2EA4"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US"/>
              </w:rPr>
            </w:pPr>
            <w:r w:rsidRPr="00445A65">
              <w:rPr>
                <w:color w:val="000000" w:themeColor="text1"/>
                <w:sz w:val="18"/>
                <w:szCs w:val="18"/>
                <w:lang w:val="en-US"/>
              </w:rPr>
              <w:t>0.75</w:t>
            </w:r>
          </w:p>
        </w:tc>
        <w:tc>
          <w:tcPr>
            <w:tcW w:w="2311" w:type="dxa"/>
            <w:vMerge w:val="restart"/>
          </w:tcPr>
          <w:p w14:paraId="3E9928F6"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US"/>
              </w:rPr>
            </w:pPr>
            <w:r w:rsidRPr="00445A65">
              <w:rPr>
                <w:color w:val="000000" w:themeColor="text1"/>
                <w:sz w:val="18"/>
                <w:szCs w:val="18"/>
                <w:lang w:val="en-US"/>
              </w:rPr>
              <w:t>SI 1.3</w:t>
            </w:r>
          </w:p>
        </w:tc>
      </w:tr>
      <w:tr w:rsidR="00445A65" w:rsidRPr="00445A65" w14:paraId="50B1CD0E" w14:textId="77777777" w:rsidTr="00445A65">
        <w:tc>
          <w:tcPr>
            <w:cnfStyle w:val="001000000000" w:firstRow="0" w:lastRow="0" w:firstColumn="1" w:lastColumn="0" w:oddVBand="0" w:evenVBand="0" w:oddHBand="0" w:evenHBand="0" w:firstRowFirstColumn="0" w:firstRowLastColumn="0" w:lastRowFirstColumn="0" w:lastRowLastColumn="0"/>
            <w:tcW w:w="2310" w:type="dxa"/>
          </w:tcPr>
          <w:p w14:paraId="6F66F6CB" w14:textId="77777777" w:rsidR="00445A65" w:rsidRPr="00445A65" w:rsidRDefault="00445A65" w:rsidP="00F961CB">
            <w:pPr>
              <w:jc w:val="center"/>
              <w:rPr>
                <w:b w:val="0"/>
                <w:color w:val="000000" w:themeColor="text1"/>
                <w:sz w:val="18"/>
                <w:szCs w:val="18"/>
                <w:lang w:val="en-US"/>
              </w:rPr>
            </w:pPr>
            <w:r w:rsidRPr="00445A65">
              <w:rPr>
                <w:b w:val="0"/>
                <w:color w:val="000000" w:themeColor="text1"/>
                <w:sz w:val="18"/>
                <w:szCs w:val="18"/>
                <w:lang w:val="en-US"/>
              </w:rPr>
              <w:t>Base (secondary DENV1 infection) pathogenicity</w:t>
            </w:r>
          </w:p>
        </w:tc>
        <w:tc>
          <w:tcPr>
            <w:tcW w:w="2310" w:type="dxa"/>
          </w:tcPr>
          <w:p w14:paraId="5C16B3B1"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US"/>
              </w:rPr>
            </w:pPr>
            <w:r w:rsidRPr="00445A65">
              <w:rPr>
                <w:color w:val="000000" w:themeColor="text1"/>
                <w:sz w:val="18"/>
                <w:szCs w:val="18"/>
                <w:lang w:val="en-US"/>
              </w:rPr>
              <w:t>0.69</w:t>
            </w:r>
          </w:p>
        </w:tc>
        <w:tc>
          <w:tcPr>
            <w:tcW w:w="2311" w:type="dxa"/>
          </w:tcPr>
          <w:p w14:paraId="6DF88782"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US"/>
              </w:rPr>
            </w:pPr>
            <w:r w:rsidRPr="00445A65">
              <w:rPr>
                <w:color w:val="000000" w:themeColor="text1"/>
                <w:sz w:val="18"/>
                <w:szCs w:val="18"/>
                <w:lang w:val="en-US"/>
              </w:rPr>
              <w:t>0.60</w:t>
            </w:r>
          </w:p>
        </w:tc>
        <w:tc>
          <w:tcPr>
            <w:tcW w:w="2311" w:type="dxa"/>
            <w:vMerge/>
          </w:tcPr>
          <w:p w14:paraId="727369E1"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US"/>
              </w:rPr>
            </w:pPr>
          </w:p>
        </w:tc>
      </w:tr>
      <w:tr w:rsidR="00445A65" w:rsidRPr="00445A65" w14:paraId="1F05EB53" w14:textId="77777777" w:rsidTr="0044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501476B7" w14:textId="77777777" w:rsidR="00445A65" w:rsidRPr="00445A65" w:rsidRDefault="00445A65" w:rsidP="00F961CB">
            <w:pPr>
              <w:jc w:val="center"/>
              <w:rPr>
                <w:b w:val="0"/>
                <w:color w:val="000000" w:themeColor="text1"/>
                <w:sz w:val="18"/>
                <w:szCs w:val="18"/>
                <w:lang w:val="en-US"/>
              </w:rPr>
            </w:pPr>
            <w:r w:rsidRPr="00445A65">
              <w:rPr>
                <w:b w:val="0"/>
                <w:color w:val="000000" w:themeColor="text1"/>
                <w:sz w:val="18"/>
                <w:szCs w:val="18"/>
                <w:lang w:val="en-US"/>
              </w:rPr>
              <w:t>Post-secondary pathogenicity relative risk</w:t>
            </w:r>
          </w:p>
        </w:tc>
        <w:tc>
          <w:tcPr>
            <w:tcW w:w="2310" w:type="dxa"/>
          </w:tcPr>
          <w:p w14:paraId="3C1B2226"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US"/>
              </w:rPr>
            </w:pPr>
            <w:r w:rsidRPr="00445A65">
              <w:rPr>
                <w:color w:val="000000" w:themeColor="text1"/>
                <w:sz w:val="18"/>
                <w:szCs w:val="18"/>
                <w:lang w:val="en-US"/>
              </w:rPr>
              <w:t>0.1</w:t>
            </w:r>
          </w:p>
        </w:tc>
        <w:tc>
          <w:tcPr>
            <w:tcW w:w="2311" w:type="dxa"/>
          </w:tcPr>
          <w:p w14:paraId="77F9D335"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US"/>
              </w:rPr>
            </w:pPr>
            <w:r w:rsidRPr="00445A65">
              <w:rPr>
                <w:color w:val="000000" w:themeColor="text1"/>
                <w:sz w:val="18"/>
                <w:szCs w:val="18"/>
                <w:lang w:val="en-US"/>
              </w:rPr>
              <w:t>0.167</w:t>
            </w:r>
          </w:p>
        </w:tc>
        <w:tc>
          <w:tcPr>
            <w:tcW w:w="2311" w:type="dxa"/>
            <w:vMerge/>
          </w:tcPr>
          <w:p w14:paraId="46289C6D"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US"/>
              </w:rPr>
            </w:pPr>
          </w:p>
        </w:tc>
      </w:tr>
      <w:tr w:rsidR="00445A65" w:rsidRPr="00445A65" w14:paraId="6DBDC3DB" w14:textId="77777777" w:rsidTr="00445A65">
        <w:tc>
          <w:tcPr>
            <w:cnfStyle w:val="001000000000" w:firstRow="0" w:lastRow="0" w:firstColumn="1" w:lastColumn="0" w:oddVBand="0" w:evenVBand="0" w:oddHBand="0" w:evenHBand="0" w:firstRowFirstColumn="0" w:firstRowLastColumn="0" w:lastRowFirstColumn="0" w:lastRowLastColumn="0"/>
            <w:tcW w:w="2310" w:type="dxa"/>
          </w:tcPr>
          <w:p w14:paraId="41218DF1" w14:textId="77777777" w:rsidR="00445A65" w:rsidRPr="00445A65" w:rsidRDefault="00445A65" w:rsidP="00F961CB">
            <w:pPr>
              <w:jc w:val="center"/>
              <w:rPr>
                <w:b w:val="0"/>
                <w:color w:val="000000" w:themeColor="text1"/>
                <w:sz w:val="18"/>
                <w:szCs w:val="18"/>
                <w:lang w:val="en-US"/>
              </w:rPr>
            </w:pPr>
            <w:r w:rsidRPr="00445A65">
              <w:rPr>
                <w:b w:val="0"/>
                <w:color w:val="000000" w:themeColor="text1"/>
                <w:sz w:val="18"/>
                <w:szCs w:val="18"/>
                <w:lang w:val="en-US"/>
              </w:rPr>
              <w:t>Primary severe proportion</w:t>
            </w:r>
          </w:p>
        </w:tc>
        <w:tc>
          <w:tcPr>
            <w:tcW w:w="2310" w:type="dxa"/>
          </w:tcPr>
          <w:p w14:paraId="3F4F38A2"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US"/>
              </w:rPr>
            </w:pPr>
            <w:r w:rsidRPr="00445A65">
              <w:rPr>
                <w:color w:val="000000" w:themeColor="text1"/>
                <w:sz w:val="18"/>
                <w:szCs w:val="18"/>
                <w:lang w:val="en-US"/>
              </w:rPr>
              <w:t>0.012</w:t>
            </w:r>
          </w:p>
        </w:tc>
        <w:tc>
          <w:tcPr>
            <w:tcW w:w="2311" w:type="dxa"/>
          </w:tcPr>
          <w:p w14:paraId="5D3C6FC6"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US"/>
              </w:rPr>
            </w:pPr>
            <w:r w:rsidRPr="00445A65">
              <w:rPr>
                <w:color w:val="000000" w:themeColor="text1"/>
                <w:sz w:val="18"/>
                <w:szCs w:val="18"/>
                <w:lang w:val="en-US"/>
              </w:rPr>
              <w:t>0.06</w:t>
            </w:r>
          </w:p>
        </w:tc>
        <w:tc>
          <w:tcPr>
            <w:tcW w:w="2311" w:type="dxa"/>
            <w:vMerge/>
          </w:tcPr>
          <w:p w14:paraId="7298DF5C"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US"/>
              </w:rPr>
            </w:pPr>
          </w:p>
        </w:tc>
      </w:tr>
      <w:tr w:rsidR="00445A65" w:rsidRPr="00445A65" w14:paraId="06E95005" w14:textId="77777777" w:rsidTr="0044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240F9714" w14:textId="77777777" w:rsidR="00445A65" w:rsidRPr="00445A65" w:rsidRDefault="00445A65" w:rsidP="00F961CB">
            <w:pPr>
              <w:jc w:val="center"/>
              <w:rPr>
                <w:b w:val="0"/>
                <w:color w:val="000000" w:themeColor="text1"/>
                <w:sz w:val="18"/>
                <w:szCs w:val="18"/>
                <w:lang w:val="en-US"/>
              </w:rPr>
            </w:pPr>
            <w:r w:rsidRPr="00445A65">
              <w:rPr>
                <w:b w:val="0"/>
                <w:color w:val="000000" w:themeColor="text1"/>
                <w:sz w:val="18"/>
                <w:szCs w:val="18"/>
                <w:lang w:val="en-US"/>
              </w:rPr>
              <w:t>Secondary severe proportion</w:t>
            </w:r>
          </w:p>
        </w:tc>
        <w:tc>
          <w:tcPr>
            <w:tcW w:w="2310" w:type="dxa"/>
          </w:tcPr>
          <w:p w14:paraId="0523B11D"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US"/>
              </w:rPr>
            </w:pPr>
            <w:r w:rsidRPr="00445A65">
              <w:rPr>
                <w:color w:val="000000" w:themeColor="text1"/>
                <w:sz w:val="18"/>
                <w:szCs w:val="18"/>
                <w:lang w:val="en-US"/>
              </w:rPr>
              <w:t>0.025</w:t>
            </w:r>
          </w:p>
        </w:tc>
        <w:tc>
          <w:tcPr>
            <w:tcW w:w="2311" w:type="dxa"/>
          </w:tcPr>
          <w:p w14:paraId="454E46A7"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US"/>
              </w:rPr>
            </w:pPr>
            <w:r w:rsidRPr="00445A65">
              <w:rPr>
                <w:color w:val="000000" w:themeColor="text1"/>
                <w:sz w:val="18"/>
                <w:szCs w:val="18"/>
                <w:lang w:val="en-US"/>
              </w:rPr>
              <w:t>0.13</w:t>
            </w:r>
          </w:p>
        </w:tc>
        <w:tc>
          <w:tcPr>
            <w:tcW w:w="2311" w:type="dxa"/>
            <w:vMerge/>
          </w:tcPr>
          <w:p w14:paraId="66F95972"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US"/>
              </w:rPr>
            </w:pPr>
          </w:p>
        </w:tc>
      </w:tr>
      <w:tr w:rsidR="00445A65" w:rsidRPr="00445A65" w14:paraId="5D54E97D" w14:textId="77777777" w:rsidTr="00445A65">
        <w:tc>
          <w:tcPr>
            <w:cnfStyle w:val="001000000000" w:firstRow="0" w:lastRow="0" w:firstColumn="1" w:lastColumn="0" w:oddVBand="0" w:evenVBand="0" w:oddHBand="0" w:evenHBand="0" w:firstRowFirstColumn="0" w:firstRowLastColumn="0" w:lastRowFirstColumn="0" w:lastRowLastColumn="0"/>
            <w:tcW w:w="2310" w:type="dxa"/>
          </w:tcPr>
          <w:p w14:paraId="3FAF8EFB" w14:textId="77777777" w:rsidR="00445A65" w:rsidRPr="00445A65" w:rsidRDefault="00445A65" w:rsidP="00F961CB">
            <w:pPr>
              <w:jc w:val="center"/>
              <w:rPr>
                <w:b w:val="0"/>
                <w:color w:val="000000" w:themeColor="text1"/>
                <w:sz w:val="18"/>
                <w:szCs w:val="18"/>
                <w:lang w:val="en-US"/>
              </w:rPr>
            </w:pPr>
            <w:r w:rsidRPr="00445A65">
              <w:rPr>
                <w:b w:val="0"/>
                <w:color w:val="000000" w:themeColor="text1"/>
                <w:sz w:val="18"/>
                <w:szCs w:val="18"/>
                <w:lang w:val="en-US"/>
              </w:rPr>
              <w:t>Post-secondary severe proportion</w:t>
            </w:r>
          </w:p>
        </w:tc>
        <w:tc>
          <w:tcPr>
            <w:tcW w:w="2310" w:type="dxa"/>
          </w:tcPr>
          <w:p w14:paraId="4D0D11BE"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US"/>
              </w:rPr>
            </w:pPr>
            <w:r w:rsidRPr="00445A65">
              <w:rPr>
                <w:color w:val="000000" w:themeColor="text1"/>
                <w:sz w:val="18"/>
                <w:szCs w:val="18"/>
                <w:lang w:val="en-US"/>
              </w:rPr>
              <w:t>0.005</w:t>
            </w:r>
          </w:p>
        </w:tc>
        <w:tc>
          <w:tcPr>
            <w:tcW w:w="2311" w:type="dxa"/>
          </w:tcPr>
          <w:p w14:paraId="096E88B5"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US"/>
              </w:rPr>
            </w:pPr>
            <w:r w:rsidRPr="00445A65">
              <w:rPr>
                <w:color w:val="000000" w:themeColor="text1"/>
                <w:sz w:val="18"/>
                <w:szCs w:val="18"/>
                <w:lang w:val="en-US"/>
              </w:rPr>
              <w:t>0.033</w:t>
            </w:r>
          </w:p>
        </w:tc>
        <w:tc>
          <w:tcPr>
            <w:tcW w:w="2311" w:type="dxa"/>
            <w:vMerge/>
          </w:tcPr>
          <w:p w14:paraId="707F43B2"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US"/>
              </w:rPr>
            </w:pPr>
          </w:p>
        </w:tc>
      </w:tr>
      <w:tr w:rsidR="00445A65" w:rsidRPr="00445A65" w14:paraId="2CD349B4" w14:textId="77777777" w:rsidTr="00445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14:paraId="1D8E5AEC" w14:textId="77777777" w:rsidR="00445A65" w:rsidRPr="00445A65" w:rsidRDefault="00445A65" w:rsidP="00F961CB">
            <w:pPr>
              <w:jc w:val="center"/>
              <w:rPr>
                <w:b w:val="0"/>
                <w:color w:val="000000" w:themeColor="text1"/>
                <w:sz w:val="18"/>
                <w:szCs w:val="18"/>
                <w:lang w:val="en-US"/>
              </w:rPr>
            </w:pPr>
            <w:r w:rsidRPr="00445A65">
              <w:rPr>
                <w:b w:val="0"/>
                <w:color w:val="000000" w:themeColor="text1"/>
                <w:sz w:val="18"/>
                <w:szCs w:val="18"/>
                <w:lang w:val="en-US"/>
              </w:rPr>
              <w:t>External exposure rate</w:t>
            </w:r>
          </w:p>
        </w:tc>
        <w:tc>
          <w:tcPr>
            <w:tcW w:w="2310" w:type="dxa"/>
          </w:tcPr>
          <w:p w14:paraId="7942C288"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US"/>
              </w:rPr>
            </w:pPr>
            <w:r w:rsidRPr="00445A65">
              <w:rPr>
                <w:color w:val="000000" w:themeColor="text1"/>
                <w:sz w:val="18"/>
                <w:szCs w:val="18"/>
                <w:lang w:val="en-US"/>
              </w:rPr>
              <w:t>0.18 per day</w:t>
            </w:r>
          </w:p>
        </w:tc>
        <w:tc>
          <w:tcPr>
            <w:tcW w:w="2311" w:type="dxa"/>
          </w:tcPr>
          <w:p w14:paraId="112DE175"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US"/>
              </w:rPr>
            </w:pPr>
            <w:r w:rsidRPr="00445A65">
              <w:rPr>
                <w:color w:val="000000" w:themeColor="text1"/>
                <w:sz w:val="18"/>
                <w:szCs w:val="18"/>
                <w:lang w:val="en-US"/>
              </w:rPr>
              <w:t>0.1 per day</w:t>
            </w:r>
          </w:p>
        </w:tc>
        <w:tc>
          <w:tcPr>
            <w:tcW w:w="2311" w:type="dxa"/>
          </w:tcPr>
          <w:p w14:paraId="282EF755"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US"/>
              </w:rPr>
            </w:pPr>
            <w:r w:rsidRPr="00445A65">
              <w:rPr>
                <w:color w:val="000000" w:themeColor="text1"/>
                <w:sz w:val="18"/>
                <w:szCs w:val="18"/>
                <w:lang w:val="en-US"/>
              </w:rPr>
              <w:t>SI 1.4</w:t>
            </w:r>
          </w:p>
        </w:tc>
      </w:tr>
    </w:tbl>
    <w:p w14:paraId="40BF3F5B" w14:textId="77777777" w:rsidR="00445A65" w:rsidRPr="00445A65" w:rsidRDefault="00445A65" w:rsidP="00445A65">
      <w:pPr>
        <w:rPr>
          <w:color w:val="000000" w:themeColor="text1"/>
          <w:lang w:val="en-US"/>
        </w:rPr>
      </w:pPr>
    </w:p>
    <w:p w14:paraId="03EE4C0C" w14:textId="393A3DC3" w:rsidR="00445A65" w:rsidRPr="00445A65" w:rsidRDefault="00445A65" w:rsidP="00445A65">
      <w:pPr>
        <w:rPr>
          <w:color w:val="000000" w:themeColor="text1"/>
          <w:lang w:val="en-US"/>
        </w:rPr>
      </w:pPr>
      <w:r w:rsidRPr="00445A65">
        <w:rPr>
          <w:color w:val="000000" w:themeColor="text1"/>
          <w:lang w:val="en-US"/>
        </w:rPr>
        <w:t xml:space="preserve">We also use only the subset population for Merida and corresponding fit parameters (see SI 5.4 in </w:t>
      </w:r>
      <w:r w:rsidRPr="00445A65">
        <w:rPr>
          <w:color w:val="000000" w:themeColor="text1"/>
          <w:lang w:val="en-US"/>
        </w:rPr>
        <w:fldChar w:fldCharType="begin" w:fldLock="1"/>
      </w:r>
      <w:r w:rsidR="00EC3854">
        <w:rPr>
          <w:color w:val="000000" w:themeColor="text1"/>
          <w:lang w:val="en-US"/>
        </w:rPr>
        <w:instrText>ADDIN CSL_CITATION { "citationItems" : [ { "id" : "ITEM-1", "itemData" : { "DOI" : "10.1371/journal.pntd.0004661", "ISSN" : "1935-2735", "abstract" : "Hladish, T., C.A.B. Pearson, D.L. Chao, D.P. Rojas, G.L. Recchia, H. Gomez-Dantes, M.E. Halloran, J.R.C. Pulliam, I.M. Longini (2016) Projected impact of dengue vaccination in Yucatan, Mexico. In review", "author" : [ { "dropping-particle" : "", "family" : "Hladish", "given" : "Thomas J.", "non-dropping-particle" : "", "parse-names" : false, "suffix" : "" }, { "dropping-particle" : "", "family" : "Pearson", "given" : "Carl A. B.", "non-dropping-particle" : "", "parse-names" : false, "suffix" : "" }, { "dropping-particle" : "", "family" : "Chao", "given" : "Dennis L.", "non-dropping-particle" : "", "parse-names" : false, "suffix" : "" }, { "dropping-particle" : "", "family" : "Rojas", "given" : "Diana Patricia", "non-dropping-particle" : "", "parse-names" : false, "suffix" : "" }, { "dropping-particle" : "", "family" : "Recchia", "given" : "Gabriel L.", "non-dropping-particle" : "", "parse-names" : false, "suffix" : "" }, { "dropping-particle" : "", "family" : "G\u00f3mez-Dant\u00e9s", "given" : "H\u00e9ctor", "non-dropping-particle" : "", "parse-names" : false, "suffix" : "" }, { "dropping-particle" : "", "family" : "Halloran", "given" : "M. Elizabeth", "non-dropping-particle" : "", "parse-names" : false, "suffix" : "" }, { "dropping-particle" : "", "family" : "Pulliam", "given" : "Juliet R. C.", "non-dropping-particle" : "", "parse-names" : false, "suffix" : "" }, { "dropping-particle" : "", "family" : "Longini", "given" : "Ira M.", "non-dropping-particle" : "", "parse-names" : false, "suffix" : "" } ], "container-title" : "PLOS Neglected Tropical Diseases", "editor" : [ { "dropping-particle" : "", "family" : "Carvalho", "given" : "Marilia S\u00e1", "non-dropping-particle" : "", "parse-names" : false, "suffix" : "" } ], "id" : "ITEM-1", "issue" : "5", "issued" : { "date-parts" : [ [ "2016", "5", "26" ] ] }, "page" : "e0004661", "title" : "Projected Impact of Dengue Vaccination in Yucat\u00e1n, Mexico", "type" : "article-journal", "volume" : "10" }, "uris" : [ "http://www.mendeley.com/documents/?uuid=8e41e5e6-83a3-4ba5-b29a-812e5ad0cb73" ] } ], "mendeley" : { "formattedCitation" : "[3]", "plainTextFormattedCitation" : "[3]", "previouslyFormattedCitation" : "[3]" }, "properties" : { "noteIndex" : 0 }, "schema" : "https://github.com/citation-style-language/schema/raw/master/csl-citation.json" }</w:instrText>
      </w:r>
      <w:r w:rsidRPr="00445A65">
        <w:rPr>
          <w:color w:val="000000" w:themeColor="text1"/>
          <w:lang w:val="en-US"/>
        </w:rPr>
        <w:fldChar w:fldCharType="separate"/>
      </w:r>
      <w:r w:rsidRPr="00445A65">
        <w:rPr>
          <w:noProof/>
          <w:color w:val="000000" w:themeColor="text1"/>
          <w:lang w:val="en-US"/>
        </w:rPr>
        <w:t>[3]</w:t>
      </w:r>
      <w:r w:rsidRPr="00445A65">
        <w:rPr>
          <w:color w:val="000000" w:themeColor="text1"/>
          <w:lang w:val="en-US"/>
        </w:rPr>
        <w:fldChar w:fldCharType="end"/>
      </w:r>
      <w:r w:rsidRPr="00445A65">
        <w:rPr>
          <w:color w:val="000000" w:themeColor="text1"/>
          <w:lang w:val="en-US"/>
        </w:rPr>
        <w:t>), similar to approach for initial fitting there, but also used for the CMDVI forecasts.</w:t>
      </w:r>
    </w:p>
    <w:p w14:paraId="67E80E7F" w14:textId="77777777" w:rsidR="00445A65" w:rsidRPr="00445A65" w:rsidRDefault="00445A65" w:rsidP="00445A65">
      <w:pPr>
        <w:rPr>
          <w:color w:val="000000" w:themeColor="text1"/>
          <w:lang w:val="en-US"/>
        </w:rPr>
      </w:pPr>
    </w:p>
    <w:p w14:paraId="4C81096F" w14:textId="77777777" w:rsidR="00445A65" w:rsidRPr="00445A65" w:rsidRDefault="00445A65" w:rsidP="00445A65">
      <w:pPr>
        <w:rPr>
          <w:color w:val="000000" w:themeColor="text1"/>
          <w:lang w:val="en-US"/>
        </w:rPr>
      </w:pPr>
      <w:r w:rsidRPr="00445A65">
        <w:rPr>
          <w:color w:val="000000" w:themeColor="text1"/>
          <w:lang w:val="en-US"/>
        </w:rPr>
        <w:lastRenderedPageBreak/>
        <w:t>Our original model reports mild and severe disease outcomes, which differs from the desired outcomes for the CMDVI work: symptomatic cases, hospitalized cases, and deaths.  To obtain the CMDVI outcomes from our model output, we apply the following transformation to obtain hospitalized cases:</w:t>
      </w:r>
    </w:p>
    <w:p w14:paraId="0D53C55D" w14:textId="77777777" w:rsidR="00445A65" w:rsidRPr="00445A65" w:rsidRDefault="00445A65" w:rsidP="00445A65">
      <w:pPr>
        <w:rPr>
          <w:color w:val="000000" w:themeColor="text1"/>
          <w:lang w:val="en-US"/>
        </w:rPr>
      </w:pPr>
      <m:oMathPara>
        <m:oMath>
          <m:r>
            <w:rPr>
              <w:rFonts w:ascii="Cambria Math" w:hAnsi="Cambria Math"/>
              <w:color w:val="000000" w:themeColor="text1"/>
              <w:lang w:val="en-US"/>
            </w:rPr>
            <m:t>hosp=severe+0.11*mild</m:t>
          </m:r>
        </m:oMath>
      </m:oMathPara>
    </w:p>
    <w:p w14:paraId="61C732B0" w14:textId="3484CE2E" w:rsidR="00445A65" w:rsidRPr="00445A65" w:rsidRDefault="00445A65" w:rsidP="00445A65">
      <w:pPr>
        <w:rPr>
          <w:color w:val="000000" w:themeColor="text1"/>
          <w:lang w:val="en-US"/>
        </w:rPr>
      </w:pPr>
      <w:r w:rsidRPr="00445A65">
        <w:rPr>
          <w:color w:val="000000" w:themeColor="text1"/>
          <w:lang w:val="en-US"/>
        </w:rPr>
        <w:t>Deaths are a simple linear transformation of hospitalized cases (see</w:t>
      </w:r>
      <w:r w:rsidR="00BF0A7D">
        <w:rPr>
          <w:color w:val="000000" w:themeColor="text1"/>
          <w:lang w:val="en-US"/>
        </w:rPr>
        <w:t xml:space="preserve"> </w:t>
      </w:r>
      <w:r w:rsidR="00E3248D">
        <w:rPr>
          <w:color w:val="000000" w:themeColor="text1"/>
          <w:lang w:val="en-US"/>
        </w:rPr>
        <w:t>Table C</w:t>
      </w:r>
      <w:r w:rsidRPr="00445A65">
        <w:rPr>
          <w:color w:val="000000" w:themeColor="text1"/>
          <w:lang w:val="en-US"/>
        </w:rPr>
        <w:t>).</w:t>
      </w:r>
    </w:p>
    <w:p w14:paraId="6E085CC6" w14:textId="77777777" w:rsidR="00445A65" w:rsidRPr="00445A65" w:rsidRDefault="00445A65" w:rsidP="00445A65">
      <w:pPr>
        <w:rPr>
          <w:color w:val="000000" w:themeColor="text1"/>
          <w:lang w:val="en-US"/>
        </w:rPr>
      </w:pPr>
      <w:r w:rsidRPr="00445A65">
        <w:rPr>
          <w:color w:val="000000" w:themeColor="text1"/>
          <w:lang w:val="en-US"/>
        </w:rPr>
        <w:t>To obtain the desired seroprevalence levels in 9 year olds, we use a force-of-infection multiplier, which we apply to the mosquito population size.  That parameter was fit by iteratively guessing multipliers, performing regression on the multiplier-SP9 surface, and then re-guessing multipliers.  Relative to our base parameter fits, we obtained the following multipliers:</w:t>
      </w:r>
    </w:p>
    <w:tbl>
      <w:tblPr>
        <w:tblStyle w:val="PlainTable31"/>
        <w:tblW w:w="0" w:type="auto"/>
        <w:tblLook w:val="04A0" w:firstRow="1" w:lastRow="0" w:firstColumn="1" w:lastColumn="0" w:noHBand="0" w:noVBand="1"/>
      </w:tblPr>
      <w:tblGrid>
        <w:gridCol w:w="528"/>
        <w:gridCol w:w="2698"/>
      </w:tblGrid>
      <w:tr w:rsidR="00445A65" w:rsidRPr="00445A65" w14:paraId="4551EDDE" w14:textId="77777777" w:rsidTr="00A610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51DC04A6" w14:textId="77777777" w:rsidR="00445A65" w:rsidRPr="00A61099" w:rsidRDefault="00445A65" w:rsidP="00F961CB">
            <w:pPr>
              <w:jc w:val="center"/>
              <w:rPr>
                <w:b w:val="0"/>
                <w:color w:val="000000" w:themeColor="text1"/>
                <w:sz w:val="18"/>
                <w:szCs w:val="18"/>
                <w:lang w:val="en-US"/>
              </w:rPr>
            </w:pPr>
            <w:r w:rsidRPr="00A61099">
              <w:rPr>
                <w:b w:val="0"/>
                <w:color w:val="000000" w:themeColor="text1"/>
                <w:sz w:val="18"/>
                <w:szCs w:val="18"/>
                <w:lang w:val="en-US"/>
              </w:rPr>
              <w:t>SP9</w:t>
            </w:r>
          </w:p>
        </w:tc>
        <w:tc>
          <w:tcPr>
            <w:tcW w:w="0" w:type="auto"/>
          </w:tcPr>
          <w:p w14:paraId="00AB43BA" w14:textId="77777777" w:rsidR="00445A65" w:rsidRPr="00A61099" w:rsidRDefault="00445A65" w:rsidP="00F961CB">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18"/>
                <w:szCs w:val="18"/>
                <w:lang w:val="en-US"/>
              </w:rPr>
            </w:pPr>
            <w:r w:rsidRPr="00A61099">
              <w:rPr>
                <w:b w:val="0"/>
                <w:color w:val="000000" w:themeColor="text1"/>
                <w:sz w:val="18"/>
                <w:szCs w:val="18"/>
                <w:lang w:val="en-US"/>
              </w:rPr>
              <w:t>Force of infection multiplier</w:t>
            </w:r>
          </w:p>
        </w:tc>
      </w:tr>
      <w:tr w:rsidR="00445A65" w:rsidRPr="00445A65" w14:paraId="516FF477" w14:textId="77777777" w:rsidTr="00A61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1F396F" w14:textId="77777777" w:rsidR="00445A65" w:rsidRPr="00A61099" w:rsidRDefault="00445A65" w:rsidP="00F961CB">
            <w:pPr>
              <w:jc w:val="center"/>
              <w:rPr>
                <w:b w:val="0"/>
                <w:color w:val="000000" w:themeColor="text1"/>
                <w:sz w:val="18"/>
                <w:szCs w:val="18"/>
                <w:lang w:val="en-US"/>
              </w:rPr>
            </w:pPr>
            <w:r w:rsidRPr="00A61099">
              <w:rPr>
                <w:b w:val="0"/>
                <w:color w:val="000000" w:themeColor="text1"/>
                <w:sz w:val="18"/>
                <w:szCs w:val="18"/>
                <w:lang w:val="en-US"/>
              </w:rPr>
              <w:t>10%</w:t>
            </w:r>
          </w:p>
        </w:tc>
        <w:tc>
          <w:tcPr>
            <w:tcW w:w="0" w:type="auto"/>
          </w:tcPr>
          <w:p w14:paraId="0FEB5030" w14:textId="77777777" w:rsidR="00445A65" w:rsidRPr="00A61099" w:rsidRDefault="00445A65" w:rsidP="00F961CB">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US"/>
              </w:rPr>
            </w:pPr>
            <w:r w:rsidRPr="00A61099">
              <w:rPr>
                <w:color w:val="000000" w:themeColor="text1"/>
                <w:sz w:val="18"/>
                <w:szCs w:val="18"/>
                <w:lang w:val="en-US"/>
              </w:rPr>
              <w:t>0.622</w:t>
            </w:r>
          </w:p>
        </w:tc>
      </w:tr>
      <w:tr w:rsidR="00445A65" w:rsidRPr="00445A65" w14:paraId="25C7F2F5" w14:textId="77777777" w:rsidTr="00A61099">
        <w:tc>
          <w:tcPr>
            <w:cnfStyle w:val="001000000000" w:firstRow="0" w:lastRow="0" w:firstColumn="1" w:lastColumn="0" w:oddVBand="0" w:evenVBand="0" w:oddHBand="0" w:evenHBand="0" w:firstRowFirstColumn="0" w:firstRowLastColumn="0" w:lastRowFirstColumn="0" w:lastRowLastColumn="0"/>
            <w:tcW w:w="0" w:type="auto"/>
          </w:tcPr>
          <w:p w14:paraId="4F024774" w14:textId="77777777" w:rsidR="00445A65" w:rsidRPr="00A61099" w:rsidRDefault="00445A65" w:rsidP="00F961CB">
            <w:pPr>
              <w:jc w:val="center"/>
              <w:rPr>
                <w:b w:val="0"/>
                <w:color w:val="000000" w:themeColor="text1"/>
                <w:sz w:val="18"/>
                <w:szCs w:val="18"/>
                <w:lang w:val="en-US"/>
              </w:rPr>
            </w:pPr>
            <w:r w:rsidRPr="00A61099">
              <w:rPr>
                <w:b w:val="0"/>
                <w:color w:val="000000" w:themeColor="text1"/>
                <w:sz w:val="18"/>
                <w:szCs w:val="18"/>
                <w:lang w:val="en-US"/>
              </w:rPr>
              <w:t>30%</w:t>
            </w:r>
          </w:p>
        </w:tc>
        <w:tc>
          <w:tcPr>
            <w:tcW w:w="0" w:type="auto"/>
          </w:tcPr>
          <w:p w14:paraId="257C1F42" w14:textId="77777777" w:rsidR="00445A65" w:rsidRPr="00A61099" w:rsidRDefault="00445A65" w:rsidP="00F961CB">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US"/>
              </w:rPr>
            </w:pPr>
            <w:r w:rsidRPr="00A61099">
              <w:rPr>
                <w:color w:val="000000" w:themeColor="text1"/>
                <w:sz w:val="18"/>
                <w:szCs w:val="18"/>
                <w:lang w:val="en-US"/>
              </w:rPr>
              <w:t>0.852</w:t>
            </w:r>
          </w:p>
        </w:tc>
      </w:tr>
      <w:tr w:rsidR="00445A65" w:rsidRPr="00445A65" w14:paraId="69D5922C" w14:textId="77777777" w:rsidTr="00A610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2C05B87" w14:textId="77777777" w:rsidR="00445A65" w:rsidRPr="00A61099" w:rsidRDefault="00445A65" w:rsidP="00F961CB">
            <w:pPr>
              <w:jc w:val="center"/>
              <w:rPr>
                <w:b w:val="0"/>
                <w:color w:val="000000" w:themeColor="text1"/>
                <w:sz w:val="18"/>
                <w:szCs w:val="18"/>
                <w:lang w:val="en-US"/>
              </w:rPr>
            </w:pPr>
            <w:r w:rsidRPr="00A61099">
              <w:rPr>
                <w:b w:val="0"/>
                <w:color w:val="000000" w:themeColor="text1"/>
                <w:sz w:val="18"/>
                <w:szCs w:val="18"/>
                <w:lang w:val="en-US"/>
              </w:rPr>
              <w:t>50%</w:t>
            </w:r>
          </w:p>
        </w:tc>
        <w:tc>
          <w:tcPr>
            <w:tcW w:w="0" w:type="auto"/>
          </w:tcPr>
          <w:p w14:paraId="2883F833" w14:textId="77777777" w:rsidR="00445A65" w:rsidRPr="00A61099" w:rsidRDefault="00445A65" w:rsidP="00F961CB">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US"/>
              </w:rPr>
            </w:pPr>
            <w:r w:rsidRPr="00A61099">
              <w:rPr>
                <w:color w:val="000000" w:themeColor="text1"/>
                <w:sz w:val="18"/>
                <w:szCs w:val="18"/>
                <w:lang w:val="en-US"/>
              </w:rPr>
              <w:t>1.09</w:t>
            </w:r>
          </w:p>
        </w:tc>
      </w:tr>
      <w:tr w:rsidR="00445A65" w:rsidRPr="00445A65" w14:paraId="220C0C84" w14:textId="77777777" w:rsidTr="00A61099">
        <w:tc>
          <w:tcPr>
            <w:cnfStyle w:val="001000000000" w:firstRow="0" w:lastRow="0" w:firstColumn="1" w:lastColumn="0" w:oddVBand="0" w:evenVBand="0" w:oddHBand="0" w:evenHBand="0" w:firstRowFirstColumn="0" w:firstRowLastColumn="0" w:lastRowFirstColumn="0" w:lastRowLastColumn="0"/>
            <w:tcW w:w="0" w:type="auto"/>
          </w:tcPr>
          <w:p w14:paraId="41558411" w14:textId="77777777" w:rsidR="00445A65" w:rsidRPr="00A61099" w:rsidRDefault="00445A65" w:rsidP="00F961CB">
            <w:pPr>
              <w:jc w:val="center"/>
              <w:rPr>
                <w:b w:val="0"/>
                <w:color w:val="000000" w:themeColor="text1"/>
                <w:sz w:val="18"/>
                <w:szCs w:val="18"/>
                <w:lang w:val="en-US"/>
              </w:rPr>
            </w:pPr>
            <w:r w:rsidRPr="00A61099">
              <w:rPr>
                <w:b w:val="0"/>
                <w:color w:val="000000" w:themeColor="text1"/>
                <w:sz w:val="18"/>
                <w:szCs w:val="18"/>
                <w:lang w:val="en-US"/>
              </w:rPr>
              <w:t>70%</w:t>
            </w:r>
          </w:p>
        </w:tc>
        <w:tc>
          <w:tcPr>
            <w:tcW w:w="0" w:type="auto"/>
          </w:tcPr>
          <w:p w14:paraId="08B8511A" w14:textId="77777777" w:rsidR="00445A65" w:rsidRPr="00A61099" w:rsidRDefault="00445A65" w:rsidP="00F961CB">
            <w:pPr>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US"/>
              </w:rPr>
            </w:pPr>
            <w:r w:rsidRPr="00A61099">
              <w:rPr>
                <w:color w:val="000000" w:themeColor="text1"/>
                <w:sz w:val="18"/>
                <w:szCs w:val="18"/>
                <w:lang w:val="en-US"/>
              </w:rPr>
              <w:t>1.47</w:t>
            </w:r>
          </w:p>
        </w:tc>
      </w:tr>
      <w:tr w:rsidR="00445A65" w:rsidRPr="00445A65" w14:paraId="78C94B0D" w14:textId="77777777" w:rsidTr="00A6109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tcPr>
          <w:p w14:paraId="4348F507" w14:textId="77777777" w:rsidR="00445A65" w:rsidRPr="00A61099" w:rsidRDefault="00445A65" w:rsidP="00F961CB">
            <w:pPr>
              <w:jc w:val="center"/>
              <w:rPr>
                <w:b w:val="0"/>
                <w:color w:val="000000" w:themeColor="text1"/>
                <w:sz w:val="18"/>
                <w:szCs w:val="18"/>
                <w:lang w:val="en-US"/>
              </w:rPr>
            </w:pPr>
            <w:r w:rsidRPr="00A61099">
              <w:rPr>
                <w:b w:val="0"/>
                <w:color w:val="000000" w:themeColor="text1"/>
                <w:sz w:val="18"/>
                <w:szCs w:val="18"/>
                <w:lang w:val="en-US"/>
              </w:rPr>
              <w:t>90%</w:t>
            </w:r>
          </w:p>
        </w:tc>
        <w:tc>
          <w:tcPr>
            <w:tcW w:w="0" w:type="auto"/>
          </w:tcPr>
          <w:p w14:paraId="60ECD58C" w14:textId="77777777" w:rsidR="00445A65" w:rsidRPr="00A61099" w:rsidRDefault="00445A65" w:rsidP="00F961CB">
            <w:pPr>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en-US"/>
              </w:rPr>
            </w:pPr>
            <w:r w:rsidRPr="00A61099">
              <w:rPr>
                <w:color w:val="000000" w:themeColor="text1"/>
                <w:sz w:val="18"/>
                <w:szCs w:val="18"/>
                <w:lang w:val="en-US"/>
              </w:rPr>
              <w:t>2.29</w:t>
            </w:r>
          </w:p>
        </w:tc>
      </w:tr>
    </w:tbl>
    <w:p w14:paraId="5D5120D7" w14:textId="77777777" w:rsidR="00445A65" w:rsidRPr="00445A65" w:rsidRDefault="00445A65" w:rsidP="00445A65">
      <w:pPr>
        <w:rPr>
          <w:color w:val="000000" w:themeColor="text1"/>
          <w:lang w:val="en-US"/>
        </w:rPr>
      </w:pPr>
    </w:p>
    <w:p w14:paraId="0C65C056" w14:textId="6F25907D" w:rsidR="00445A65" w:rsidRPr="00445A65" w:rsidRDefault="00445A65" w:rsidP="00445A65">
      <w:pPr>
        <w:rPr>
          <w:color w:val="000000" w:themeColor="text1"/>
          <w:lang w:val="en-US"/>
        </w:rPr>
      </w:pPr>
      <w:r w:rsidRPr="00445A65">
        <w:rPr>
          <w:color w:val="000000" w:themeColor="text1"/>
          <w:lang w:val="en-US"/>
        </w:rPr>
        <w:t xml:space="preserve">Finally, our implementation of the vaccine model is identical to our waning model (see SI 4.4 in </w:t>
      </w:r>
      <w:r w:rsidRPr="00445A65">
        <w:rPr>
          <w:color w:val="000000" w:themeColor="text1"/>
          <w:lang w:val="en-US"/>
        </w:rPr>
        <w:fldChar w:fldCharType="begin" w:fldLock="1"/>
      </w:r>
      <w:r w:rsidR="00EC3854">
        <w:rPr>
          <w:color w:val="000000" w:themeColor="text1"/>
          <w:lang w:val="en-US"/>
        </w:rPr>
        <w:instrText>ADDIN CSL_CITATION { "citationItems" : [ { "id" : "ITEM-1", "itemData" : { "DOI" : "10.1371/journal.pntd.0004661", "ISSN" : "1935-2735", "abstract" : "Hladish, T., C.A.B. Pearson, D.L. Chao, D.P. Rojas, G.L. Recchia, H. Gomez-Dantes, M.E. Halloran, J.R.C. Pulliam, I.M. Longini (2016) Projected impact of dengue vaccination in Yucatan, Mexico. In review", "author" : [ { "dropping-particle" : "", "family" : "Hladish", "given" : "Thomas J.", "non-dropping-particle" : "", "parse-names" : false, "suffix" : "" }, { "dropping-particle" : "", "family" : "Pearson", "given" : "Carl A. B.", "non-dropping-particle" : "", "parse-names" : false, "suffix" : "" }, { "dropping-particle" : "", "family" : "Chao", "given" : "Dennis L.", "non-dropping-particle" : "", "parse-names" : false, "suffix" : "" }, { "dropping-particle" : "", "family" : "Rojas", "given" : "Diana Patricia", "non-dropping-particle" : "", "parse-names" : false, "suffix" : "" }, { "dropping-particle" : "", "family" : "Recchia", "given" : "Gabriel L.", "non-dropping-particle" : "", "parse-names" : false, "suffix" : "" }, { "dropping-particle" : "", "family" : "G\u00f3mez-Dant\u00e9s", "given" : "H\u00e9ctor", "non-dropping-particle" : "", "parse-names" : false, "suffix" : "" }, { "dropping-particle" : "", "family" : "Halloran", "given" : "M. Elizabeth", "non-dropping-particle" : "", "parse-names" : false, "suffix" : "" }, { "dropping-particle" : "", "family" : "Pulliam", "given" : "Juliet R. C.", "non-dropping-particle" : "", "parse-names" : false, "suffix" : "" }, { "dropping-particle" : "", "family" : "Longini", "given" : "Ira M.", "non-dropping-particle" : "", "parse-names" : false, "suffix" : "" } ], "container-title" : "PLOS Neglected Tropical Diseases", "editor" : [ { "dropping-particle" : "", "family" : "Carvalho", "given" : "Marilia S\u00e1", "non-dropping-particle" : "", "parse-names" : false, "suffix" : "" } ], "id" : "ITEM-1", "issue" : "5", "issued" : { "date-parts" : [ [ "2016", "5", "26" ] ] }, "page" : "e0004661", "title" : "Projected Impact of Dengue Vaccination in Yucat\u00e1n, Mexico", "type" : "article-journal", "volume" : "10" }, "uris" : [ "http://www.mendeley.com/documents/?uuid=8e41e5e6-83a3-4ba5-b29a-812e5ad0cb73" ] } ], "mendeley" : { "formattedCitation" : "[3]", "plainTextFormattedCitation" : "[3]", "previouslyFormattedCitation" : "[3]" }, "properties" : { "noteIndex" : 0 }, "schema" : "https://github.com/citation-style-language/schema/raw/master/csl-citation.json" }</w:instrText>
      </w:r>
      <w:r w:rsidRPr="00445A65">
        <w:rPr>
          <w:color w:val="000000" w:themeColor="text1"/>
          <w:lang w:val="en-US"/>
        </w:rPr>
        <w:fldChar w:fldCharType="separate"/>
      </w:r>
      <w:r w:rsidRPr="00445A65">
        <w:rPr>
          <w:noProof/>
          <w:color w:val="000000" w:themeColor="text1"/>
          <w:lang w:val="en-US"/>
        </w:rPr>
        <w:t>[3]</w:t>
      </w:r>
      <w:r w:rsidRPr="00445A65">
        <w:rPr>
          <w:color w:val="000000" w:themeColor="text1"/>
          <w:lang w:val="en-US"/>
        </w:rPr>
        <w:fldChar w:fldCharType="end"/>
      </w:r>
      <w:r w:rsidRPr="00445A65">
        <w:rPr>
          <w:color w:val="000000" w:themeColor="text1"/>
          <w:lang w:val="en-US"/>
        </w:rPr>
        <w:t>), but with a 1 year half-life and an initial efficacy of 100%.</w:t>
      </w:r>
    </w:p>
    <w:p w14:paraId="369049C2" w14:textId="77777777" w:rsidR="00445A65" w:rsidRPr="00445A65" w:rsidRDefault="00445A65" w:rsidP="00445A65">
      <w:pPr>
        <w:pStyle w:val="Heading3"/>
        <w:rPr>
          <w:color w:val="000000" w:themeColor="text1"/>
        </w:rPr>
      </w:pPr>
    </w:p>
    <w:p w14:paraId="586A58E3" w14:textId="77777777" w:rsidR="00445A65" w:rsidRPr="00445A65" w:rsidRDefault="00445A65" w:rsidP="00445A65">
      <w:pPr>
        <w:pStyle w:val="Heading3"/>
        <w:rPr>
          <w:color w:val="000000" w:themeColor="text1"/>
        </w:rPr>
      </w:pPr>
      <w:r w:rsidRPr="00445A65">
        <w:rPr>
          <w:color w:val="000000" w:themeColor="text1"/>
        </w:rPr>
        <w:t>Imperial</w:t>
      </w:r>
    </w:p>
    <w:p w14:paraId="02E0EC43" w14:textId="56BBDBCF" w:rsidR="00445A65" w:rsidRPr="00445A65" w:rsidRDefault="00445A65" w:rsidP="00445A65">
      <w:pPr>
        <w:rPr>
          <w:color w:val="000000" w:themeColor="text1"/>
        </w:rPr>
      </w:pPr>
      <w:r w:rsidRPr="00445A65">
        <w:rPr>
          <w:color w:val="000000" w:themeColor="text1"/>
        </w:rPr>
        <w:t xml:space="preserve">We developed a deterministic, age-stratified </w:t>
      </w:r>
      <w:r w:rsidR="00A3768B">
        <w:rPr>
          <w:color w:val="000000" w:themeColor="text1"/>
        </w:rPr>
        <w:t xml:space="preserve">(1 year age groups up to age 20, then 10 year age groups to age 100) </w:t>
      </w:r>
      <w:r w:rsidRPr="00445A65">
        <w:rPr>
          <w:color w:val="000000" w:themeColor="text1"/>
        </w:rPr>
        <w:t xml:space="preserve">compartmental four-serotype dengue transmission model </w:t>
      </w:r>
      <w:r w:rsidRPr="00445A65">
        <w:rPr>
          <w:color w:val="000000" w:themeColor="text1"/>
        </w:rPr>
        <w:fldChar w:fldCharType="begin" w:fldLock="1"/>
      </w:r>
      <w:r w:rsidR="00EC3854">
        <w:rPr>
          <w:color w:val="000000" w:themeColor="text1"/>
        </w:rPr>
        <w:instrText>ADDIN CSL_CITATION { "citationItems" : [ { "id" : "ITEM-1", "itemData" : { "DOI" : "10.1126/science.aaf9590", "ISSN" : "0036-8075", "author" : [ { "dropping-particle" : "", "family" : "Ferguson", "given" : "N. M.", "non-dropping-particle" : "", "parse-names" : false, "suffix" : "" }, { "dropping-particle" : "", "family" : "Rodriguez-Barraquer", "given" : "I.", "non-dropping-particle" : "", "parse-names" : false, "suffix" : "" }, { "dropping-particle" : "", "family" : "Dorigatti", "given" : "I.", "non-dropping-particle" : "", "parse-names" : false, "suffix" : "" }, { "dropping-particle" : "", "family" : "Mier-y-Teran-Romero", "given" : "L.", "non-dropping-particle" : "", "parse-names" : false, "suffix" : "" }, { "dropping-particle" : "", "family" : "Laydon", "given" : "D. J.", "non-dropping-particle" : "", "parse-names" : false, "suffix" : "" }, { "dropping-particle" : "", "family" : "Cummings", "given" : "D. A. T.", "non-dropping-particle" : "", "parse-names" : false, "suffix" : "" } ], "container-title" : "Science", "id" : "ITEM-1", "issue" : "6303", "issued" : { "date-parts" : [ [ "2016", "9", "2" ] ] }, "page" : "1033-1036", "title" : "Benefits and risks of the Sanofi-Pasteur dengue vaccine: Modeling optimal deployment", "type" : "article-journal", "volume" : "353" }, "uris" : [ "http://www.mendeley.com/documents/?uuid=7c1e9363-1081-4546-bc91-b35bff143b06" ] } ], "mendeley" : { "formattedCitation" : "[4]", "plainTextFormattedCitation" : "[4]", "previouslyFormattedCitation" : "[4]"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[4]</w:t>
      </w:r>
      <w:r w:rsidRPr="00445A65">
        <w:rPr>
          <w:color w:val="000000" w:themeColor="text1"/>
        </w:rPr>
        <w:fldChar w:fldCharType="end"/>
      </w:r>
      <w:r w:rsidRPr="00445A65">
        <w:rPr>
          <w:color w:val="000000" w:themeColor="text1"/>
        </w:rPr>
        <w:t xml:space="preserve">. The model represents the dynamics of the female mosquito population; mosquitoes become infected upon feeding on an infectious human, then remain infectious for the rest of their life. Humans are born susceptible and can experience four infections by heterologous serotypes. Infection gives permanent immunity against the homologous serotype and </w:t>
      </w:r>
      <w:r w:rsidR="00A3768B">
        <w:rPr>
          <w:color w:val="000000" w:themeColor="text1"/>
        </w:rPr>
        <w:t>exponentially</w:t>
      </w:r>
      <w:r w:rsidR="00A3768B" w:rsidRPr="00445A65">
        <w:rPr>
          <w:color w:val="000000" w:themeColor="text1"/>
        </w:rPr>
        <w:t xml:space="preserve"> </w:t>
      </w:r>
      <w:r w:rsidRPr="00445A65">
        <w:rPr>
          <w:color w:val="000000" w:themeColor="text1"/>
        </w:rPr>
        <w:t>decaying (mean of 1 year) cross-protection against infection with heterologous serotypes. The chance that infection is symptomatic varies by how many infections an individual has experienced in their life, with these parameters estimated by fitting the model to the phase 3 trial data. We assume that symptomatic infections are twice as infectious as asymptomatic infections.</w:t>
      </w:r>
      <w:r w:rsidR="00A3768B">
        <w:rPr>
          <w:color w:val="000000" w:themeColor="text1"/>
        </w:rPr>
        <w:t xml:space="preserve"> Vector competency and population sizes are assumed to vary seasonally.</w:t>
      </w:r>
    </w:p>
    <w:p w14:paraId="09D47A1E" w14:textId="43E3B70A" w:rsidR="00445A65" w:rsidRPr="00445A65" w:rsidRDefault="00445A65" w:rsidP="00445A65">
      <w:pPr>
        <w:rPr>
          <w:color w:val="000000" w:themeColor="text1"/>
        </w:rPr>
      </w:pPr>
      <w:r w:rsidRPr="00445A65">
        <w:rPr>
          <w:color w:val="000000" w:themeColor="text1"/>
        </w:rPr>
        <w:t xml:space="preserve">The main effect of vaccination is to act as a ‘silent’ natural infection, boosting immunity (and the risk of disease) in seronegative recipients to that experienced by unvaccinated individuals who have only experienced one natural infection (Figure 1). Similarly, recipients who have already experienced one natural infection prior to vaccination have their immunity boosted to that of unvaccinated individuals who have experienced two natural infections. Vaccination was also assumed to give waning heterologous protection against infection, the duration of which was estimated by fitting the model to the phase 3 trial data to be 9 months (95%CI: 3-11 months). The initial efficacy of this transient protection was also estimated, separately for seronegative and seropositive recipients, but was not significantly different from 100% for seronegative recipients, and not significantly different from 0 for seropositive recipients. </w:t>
      </w:r>
    </w:p>
    <w:p w14:paraId="375D9815" w14:textId="486271E1" w:rsidR="00445A65" w:rsidRPr="00445A65" w:rsidRDefault="00445A65" w:rsidP="00445A65">
      <w:pPr>
        <w:rPr>
          <w:color w:val="000000" w:themeColor="text1"/>
        </w:rPr>
      </w:pPr>
      <w:r w:rsidRPr="00445A65">
        <w:rPr>
          <w:color w:val="000000" w:themeColor="text1"/>
        </w:rPr>
        <w:t xml:space="preserve">The model was fitted to both phase 3 trials simultaneously. The model likelihood had 4 components: (a) clinical attack rates of virologically confirmed dengue disease in years 1 and 2 of the active phase </w:t>
      </w:r>
      <w:r w:rsidRPr="00445A65">
        <w:rPr>
          <w:color w:val="000000" w:themeColor="text1"/>
        </w:rPr>
        <w:lastRenderedPageBreak/>
        <w:t>of the trials, by age group; (b) active phase clinical attack rates for the immunogencity subset of the trials, by baseline serostatus; (c) proportion of the immunogenicity subsets who were seronegative prior to receiving their first vaccine or placebo dose, by age group; (d) hospitalisation rates for virologically confirmed dengue disease in the first year of the long-term follow-up phase of the trials, by age group. Three parameters were fitted as trial-specific: the starting time of the trial relative to the start time of the simulation</w:t>
      </w:r>
      <w:r w:rsidR="00A3768B">
        <w:rPr>
          <w:color w:val="000000" w:themeColor="text1"/>
        </w:rPr>
        <w:t xml:space="preserve"> (the model produces chaotic epidemic dynamics, so fitting the start time of the trial is akin to fitting initial conditions, albeit under the constrain that the model dynamics are in pseudo-equilibrium</w:t>
      </w:r>
      <w:r w:rsidRPr="00445A65">
        <w:rPr>
          <w:color w:val="000000" w:themeColor="text1"/>
        </w:rPr>
        <w:t>), the basic reproduction number of dengue in the trial population (</w:t>
      </w:r>
      <w:r w:rsidRPr="00445A65">
        <w:rPr>
          <w:i/>
          <w:color w:val="000000" w:themeColor="text1"/>
        </w:rPr>
        <w:t>R</w:t>
      </w:r>
      <w:r w:rsidRPr="00445A65">
        <w:rPr>
          <w:color w:val="000000" w:themeColor="text1"/>
          <w:vertAlign w:val="subscript"/>
        </w:rPr>
        <w:t>0</w:t>
      </w:r>
      <w:r w:rsidRPr="00445A65">
        <w:rPr>
          <w:color w:val="000000" w:themeColor="text1"/>
        </w:rPr>
        <w:t xml:space="preserve">), and the probability of hospitalisation given symptoms. Six parameters were estimated as being the same for both trials: the probabilities of symptomatic infection for primary, secondary and post-secondary infections, the initial vaccine efficacy against infection in seronegative and seropositive recipients, and the mean duration of that protection against infection. </w:t>
      </w:r>
    </w:p>
    <w:p w14:paraId="1CA03D88" w14:textId="57656536" w:rsidR="00445A65" w:rsidRPr="00445A65" w:rsidRDefault="00A3768B" w:rsidP="00445A65">
      <w:pPr>
        <w:rPr>
          <w:color w:val="000000" w:themeColor="text1"/>
        </w:rPr>
      </w:pPr>
      <w:r>
        <w:rPr>
          <w:color w:val="000000" w:themeColor="text1"/>
        </w:rPr>
        <w:t>When computing forward projections of the potential impact of vaccination strategies, w</w:t>
      </w:r>
      <w:r w:rsidR="00445A65" w:rsidRPr="00445A65">
        <w:rPr>
          <w:color w:val="000000" w:themeColor="text1"/>
        </w:rPr>
        <w:t xml:space="preserve">e generated 70 model realisations for each combination of transmission intensity and age at vaccination. Each realisation used a randomly selected start time for vaccination (between 150 and 250 years after the start of the simulation, to allow the dynamics to equilibrate) and a random sample from the joint posterior density of the estimated parameters. Each realisation was run with and without vaccination. We recorded the proportion of symptomatic dengue disease and hospitalized dengue case incidence averted by vaccination each month over 50 years. </w:t>
      </w:r>
    </w:p>
    <w:p w14:paraId="4A6541C7" w14:textId="77777777" w:rsidR="00445A65" w:rsidRPr="00445A65" w:rsidRDefault="00445A65" w:rsidP="00445A65">
      <w:pPr>
        <w:rPr>
          <w:color w:val="000000" w:themeColor="text1"/>
        </w:rPr>
      </w:pPr>
    </w:p>
    <w:p w14:paraId="2999520D" w14:textId="77777777" w:rsidR="00445A65" w:rsidRPr="00445A65" w:rsidRDefault="00445A65" w:rsidP="00445A65">
      <w:pPr>
        <w:pStyle w:val="Heading3"/>
        <w:rPr>
          <w:color w:val="000000" w:themeColor="text1"/>
        </w:rPr>
      </w:pPr>
      <w:r w:rsidRPr="00445A65">
        <w:rPr>
          <w:color w:val="000000" w:themeColor="text1"/>
        </w:rPr>
        <w:t>Hopkins/UF</w:t>
      </w:r>
    </w:p>
    <w:p w14:paraId="79ED7FA1" w14:textId="46FE828A" w:rsidR="00445A65" w:rsidRPr="00445A65" w:rsidRDefault="00445A65" w:rsidP="00445A65">
      <w:pPr>
        <w:rPr>
          <w:color w:val="000000" w:themeColor="text1"/>
        </w:rPr>
      </w:pPr>
      <w:r w:rsidRPr="00445A65">
        <w:rPr>
          <w:color w:val="000000" w:themeColor="text1"/>
        </w:rPr>
        <w:t xml:space="preserve">We developed a deterministic, four-serotype, age-stratified compartmental dengue transmission model that includes explicit vector dynamics as well as cross-protection between dengue serotypes. It is a four-serotype extension of our previously published model </w:t>
      </w:r>
      <w:r w:rsidRPr="00445A65">
        <w:rPr>
          <w:color w:val="000000" w:themeColor="text1"/>
        </w:rPr>
        <w:fldChar w:fldCharType="begin" w:fldLock="1"/>
      </w:r>
      <w:r w:rsidR="00EC3854">
        <w:rPr>
          <w:color w:val="000000" w:themeColor="text1"/>
        </w:rPr>
        <w:instrText>ADDIN CSL_CITATION { "citationItems" : [ { "id" : "ITEM-1", "itemData" : { "DOI" : "10.1016/j.vaccine.2013.11.020", "ISSN" : "1873-2518", "PMID" : "24269318", "abstract" : "Dengue vaccine development efforts have focused on the development of tetravalent vaccines. However, a recent Phase IIb trial of a tetravalent vaccine indicates a protective effect against only 3 of the 4 serotypes. While vaccines effective against a subset of serotypes may reduce morbidity and mortality, particular profiles could result in an increased number of cases due to immune enhancement and other peculiarities of dengue epidemiology. Here, we use a compartmental transmission model to assess the impact of partially effective vaccines in a hyperendemic Thai population. Crucially, we evaluate the effects that certain serotype heterogeneities may have in the presence of mass-vaccination campaigns. In the majority of scenarios explored, partially effective vaccines lead to 50% or greater reductions in the number of cases. This is true even of vaccines that we would not expect to proceed to licensure due to poor or incomplete immune responses. Our results show that a partially effective vaccine can have significant impacts on serotype distribution and mean age of cases.", "author" : [ { "dropping-particle" : "", "family" : "Rodriguez-Barraquer", "given" : "Isabel", "non-dropping-particle" : "", "parse-names" : false, "suffix" : "" }, { "dropping-particle" : "", "family" : "Mier-y-Teran-Romero", "given" : "Luis", "non-dropping-particle" : "", "parse-names" : false, "suffix" : "" }, { "dropping-particle" : "", "family" : "Schwartz", "given" : "Ira B", "non-dropping-particle" : "", "parse-names" : false, "suffix" : "" }, { "dropping-particle" : "", "family" : "Burke", "given" : "Donald S", "non-dropping-particle" : "", "parse-names" : false, "suffix" : "" }, { "dropping-particle" : "", "family" : "Cummings", "given" : "Derek A T", "non-dropping-particle" : "", "parse-names" : false, "suffix" : "" } ], "container-title" : "Vaccine", "id" : "ITEM-1", "issue" : "4", "issued" : { "date-parts" : [ [ "2014", "1", "16" ] ] }, "page" : "514-20", "title" : "Potential opportunities and perils of imperfect dengue vaccines.", "type" : "article-journal", "volume" : "32" }, "uris" : [ "http://www.mendeley.com/documents/?uuid=742a36a4-6fd7-435a-8781-fec7aaba683f" ] } ], "mendeley" : { "formattedCitation" : "[5]", "plainTextFormattedCitation" : "[5]", "previouslyFormattedCitation" : "[5]"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[5]</w:t>
      </w:r>
      <w:r w:rsidRPr="00445A65">
        <w:rPr>
          <w:color w:val="000000" w:themeColor="text1"/>
        </w:rPr>
        <w:fldChar w:fldCharType="end"/>
      </w:r>
      <w:r w:rsidRPr="00445A65">
        <w:rPr>
          <w:color w:val="000000" w:themeColor="text1"/>
        </w:rPr>
        <w:t>. Briefly, humans are assumed to be born susceptible and can undergo up to four infections by heterologous serotypes.  Upon infection, only a fraction of incident infections progress to symptomatic disease and the rest remain asymptomatic. After each infection, there is a period of cross protection in which individuals can’t be infected by heterologous serotypes. Following the cross-protected state (mean duration of 1 year), individuals enter a state in which they are susceptible to all of the serotypes they have not encountered. Our mosquito population consists of all females; individuals are born susceptible and become infected upon feeding on humans infected with said serotype. We do not account for a period of virus incubation in the vectors and once infected they remain infectious for the rest of their life span.</w:t>
      </w:r>
    </w:p>
    <w:p w14:paraId="27464B8F" w14:textId="7132D63B" w:rsidR="00445A65" w:rsidRPr="00445A65" w:rsidRDefault="00445A65" w:rsidP="00445A65">
      <w:pPr>
        <w:rPr>
          <w:color w:val="000000" w:themeColor="text1"/>
        </w:rPr>
      </w:pPr>
      <w:r w:rsidRPr="00445A65">
        <w:rPr>
          <w:color w:val="000000" w:themeColor="text1"/>
        </w:rPr>
        <w:t xml:space="preserve">Our model assumes that the progression rates to symptomatic disease depend on the infection number. We estimated these progression rates by fitting our model to the CYD14 and CYD15 trial data (see below). Our model also assumes that symptomatic individuals transmit twice as much as asymptomatic individuals, but performed sensitivity analyses varying this assumption. Based on epidemiological studies conducted in Thailand, we assume some heterogeneity in transmissibility between serotypes </w:t>
      </w:r>
      <w:r w:rsidRPr="00445A65">
        <w:rPr>
          <w:color w:val="000000" w:themeColor="text1"/>
        </w:rPr>
        <w:fldChar w:fldCharType="begin" w:fldLock="1"/>
      </w:r>
      <w:r w:rsidR="002C4E44">
        <w:rPr>
          <w:color w:val="000000" w:themeColor="text1"/>
        </w:rPr>
        <w:instrText>ADDIN CSL_CITATION { "citationItems" : [ { "id" : "ITEM-1", "itemData" : { "DOI" : "10.1093/aje/kwt256", "ISSN" : "0002-9262", "PMID" : "24197388", "abstract" : "Dengue virus has traditionally caused substantial morbidity and mortality among children less than 15 years of age in Southeast Asia. Over the last 2 decades, a significant increase in the mean age of cases has been reported, and a once pediatric disease now causes substantial burden among the adult population. An age-stratified serological study (n = 1,736) was conducted in 2010 among schoolchildren in the Mueang Rayong district of Thailand, where a similar study had been conducted in 1980/1981. Serotype-specific forces of infection (\u03bb(t)) and basic reproductive numbers (R0) of dengue were estimated for the periods 1969-1980 and 1993-2010. Despite a significant increase in the age at exposure and a decrease in \u03bb(t) from 0.038/year to 0.019/year, R0 changed only from 3.3 to 3.2. Significant heterogeneity was observed across subdistricts and schools, with R0 ranging between 1.7 and 6.8. These findings are consistent with the idea that the observed age shift might be a consequence of the demographic transition in Thailand. Changes in critical vaccination fractions, estimated by using R0, have not accompanied the increase in age at exposure. These results have implications for dengue control interventions because multiple countries in Southeast Asia are undergoing similar demographic transitions. It is likely that dengue will never again be a disease exclusively of children.", "author" : [ { "dropping-particle" : "", "family" : "Rodr\u00edguez-Barraquer", "given" : "Isabel", "non-dropping-particle" : "", "parse-names" : false, "suffix" : "" }, { "dropping-particle" : "", "family" : "Buathong", "given" : "Rome", "non-dropping-particle" : "", "parse-names" : false, "suffix" : "" }, { "dropping-particle" : "", "family" : "Iamsirithaworn", "given" : "Sopon", "non-dropping-particle" : "", "parse-names" : false, "suffix" : "" }, { "dropping-particle" : "", "family" : "Nisalak", "given" : "Ananda", "non-dropping-particle" : "", "parse-names" : false, "suffix" : "" }, { "dropping-particle" : "", "family" : "Lessler", "given" : "Justin", "non-dropping-particle" : "", "parse-names" : false, "suffix" : "" }, { "dropping-particle" : "", "family" : "Jarman", "given" : "Richard G.", "non-dropping-particle" : "", "parse-names" : false, "suffix" : "" }, { "dropping-particle" : "V.", "family" : "Gibbons", "given" : "Robert", "non-dropping-particle" : "", "parse-names" : false, "suffix" : "" }, { "dropping-particle" : "", "family" : "Cummings", "given" : "Derek A. T.", "non-dropping-particle" : "", "parse-names" : false, "suffix" : "" }, { "dropping-particle" : "", "family" : "Rodriguez-Barraquer", "given" : "I.", "non-dropping-particle" : "", "parse-names" : false, "suffix" : "" }, { "dropping-particle" : "", "family" : "Buathong", "given" : "Rome", "non-dropping-particle" : "", "parse-names" : false, "suffix" : "" }, { "dropping-particle" : "", "family" : "Iamsirithaworn", "given" : "Sopon", "non-dropping-particle" : "", "parse-names" : false, "suffix" : "" }, { "dropping-particle" : "", "family" : "Nisalak", "given" : "Ananda", "non-dropping-particle" : "", "parse-names" : false, "suffix" : "" }, { "dropping-particle" : "", "family" : "Lessler", "given" : "Justin", "non-dropping-particle" : "", "parse-names" : false, "suffix" : "" }, { "dropping-particle" : "", "family" : "Jarman", "given" : "Richard G.", "non-dropping-particle" : "", "parse-names" : false, "suffix" : "" }, { "dropping-particle" : "V.", "family" : "Gibbons", "given" : "Robert", "non-dropping-particle" : "", "parse-names" : false, "suffix" : "" }, { "dropping-particle" : "", "family" : "Cummings", "given" : "Derek A. T.", "non-dropping-particle" : "", "parse-names" : false, "suffix" : "" } ], "container-title" : "American Journal of Epidemiology", "id" : "ITEM-1", "issue" : "3", "issued" : { "date-parts" : [ [ "2014", "2", "1" ] ] }, "page" : "353-360", "title" : "Revisiting Rayong: Shifting Seroprofiles of Dengue in Thailand and Their Implications for Transmission and Control", "type" : "article-journal", "volume" : "179" }, "uris" : [ "http://www.mendeley.com/documents/?uuid=cd5c8ea2-da52-436e-96c8-d4292f0b8760" ] } ], "mendeley" : { "formattedCitation" : "[6]", "plainTextFormattedCitation" : "[6]", "previouslyFormattedCitation" : "[6]"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[6]</w:t>
      </w:r>
      <w:r w:rsidRPr="00445A65">
        <w:rPr>
          <w:color w:val="000000" w:themeColor="text1"/>
        </w:rPr>
        <w:fldChar w:fldCharType="end"/>
      </w:r>
      <w:r w:rsidRPr="00445A65">
        <w:rPr>
          <w:color w:val="000000" w:themeColor="text1"/>
        </w:rPr>
        <w:t>. In particular, we assume that DENV-2 is the most transmissible, and DENV-1, 3, and 4 are 0.85, 0.81 and 0.82 as transmissible, respectively. We assumed a stable population structure and chose demographic (birth/death) rates to reproduce the current age structure of Brazil.</w:t>
      </w:r>
    </w:p>
    <w:p w14:paraId="4ECD8165" w14:textId="0087F873" w:rsidR="00445A65" w:rsidRPr="00445A65" w:rsidRDefault="00445A65" w:rsidP="00445A65">
      <w:pPr>
        <w:rPr>
          <w:color w:val="000000" w:themeColor="text1"/>
        </w:rPr>
      </w:pPr>
      <w:r w:rsidRPr="00445A65">
        <w:rPr>
          <w:color w:val="000000" w:themeColor="text1"/>
        </w:rPr>
        <w:t xml:space="preserve">Given the uncertainty regarding the mode of action of the vaccine, we fit several competing models to the CYD 14 and CYD 15 data, as well as to the long term follow-up data. In all cases, we estimated several vaccine parameters (vaccine efficacy in seropositive and seronegative individuals and </w:t>
      </w:r>
      <w:r w:rsidRPr="00445A65">
        <w:rPr>
          <w:color w:val="000000" w:themeColor="text1"/>
        </w:rPr>
        <w:lastRenderedPageBreak/>
        <w:t>duration of protection) as well as natural history parameters (disease progression rates in primary-quaternary infections and hospitalization rate). These parameter estimates are reported in</w:t>
      </w:r>
      <w:r w:rsidR="00BF0A7D">
        <w:rPr>
          <w:color w:val="000000" w:themeColor="text1"/>
        </w:rPr>
        <w:t xml:space="preserve"> </w:t>
      </w:r>
      <w:r w:rsidR="00E3248D">
        <w:rPr>
          <w:color w:val="000000" w:themeColor="text1"/>
        </w:rPr>
        <w:t>Table B</w:t>
      </w:r>
      <w:r w:rsidRPr="00445A65">
        <w:rPr>
          <w:color w:val="000000" w:themeColor="text1"/>
        </w:rPr>
        <w:t xml:space="preserve">. Models were fit in the Bayesian MCMC framework. </w:t>
      </w:r>
    </w:p>
    <w:p w14:paraId="3CE9CE5E" w14:textId="282E21ED" w:rsidR="00445A65" w:rsidRPr="00445A65" w:rsidRDefault="00445A65" w:rsidP="00445A65">
      <w:pPr>
        <w:rPr>
          <w:color w:val="000000" w:themeColor="text1"/>
        </w:rPr>
      </w:pPr>
      <w:r w:rsidRPr="00445A65">
        <w:rPr>
          <w:color w:val="000000" w:themeColor="text1"/>
        </w:rPr>
        <w:t xml:space="preserve">Consistent with other models presented here, the best fitting model assumes that vaccination acts like a silent natural infection. As such, it leads to short-term cross protection against infection (mean duration of 1.1 years) and moves individuals down the infection line. Thus, for example, primary infections in individuals that are vaccinated while fully susceptible progress to symptomatic disease at the rate of secondary infections in unvaccinated individuals. </w:t>
      </w:r>
    </w:p>
    <w:p w14:paraId="709EBB58" w14:textId="77777777" w:rsidR="00445A65" w:rsidRPr="00445A65" w:rsidRDefault="00445A65" w:rsidP="00445A65">
      <w:pPr>
        <w:rPr>
          <w:color w:val="000000" w:themeColor="text1"/>
        </w:rPr>
      </w:pPr>
      <w:r w:rsidRPr="00445A65">
        <w:rPr>
          <w:color w:val="000000" w:themeColor="text1"/>
        </w:rPr>
        <w:t>For each vaccination scenario, we ran 50 simulations varying the timing of vaccine introduction. Uncertainty in simulated scenarios of vaccine roll-out represents variation due to the timing of introduction.</w:t>
      </w:r>
    </w:p>
    <w:p w14:paraId="14861EF3" w14:textId="77777777" w:rsidR="00445A65" w:rsidRPr="00445A65" w:rsidRDefault="00445A65" w:rsidP="00445A65">
      <w:pPr>
        <w:spacing w:after="0" w:line="240" w:lineRule="auto"/>
        <w:rPr>
          <w:rFonts w:ascii="Times" w:eastAsia="Times New Roman" w:hAnsi="Times" w:cs="Times New Roman"/>
          <w:color w:val="000000" w:themeColor="text1"/>
          <w:sz w:val="20"/>
          <w:szCs w:val="20"/>
          <w:lang w:val="en-US"/>
        </w:rPr>
      </w:pPr>
    </w:p>
    <w:p w14:paraId="785E0D0B" w14:textId="77777777" w:rsidR="00445A65" w:rsidRPr="00445A65" w:rsidRDefault="00445A65" w:rsidP="00445A65">
      <w:pPr>
        <w:pStyle w:val="Heading3"/>
        <w:rPr>
          <w:color w:val="000000" w:themeColor="text1"/>
        </w:rPr>
      </w:pPr>
      <w:r w:rsidRPr="00445A65">
        <w:rPr>
          <w:color w:val="000000" w:themeColor="text1"/>
        </w:rPr>
        <w:t>Notre Dame</w:t>
      </w:r>
    </w:p>
    <w:p w14:paraId="4B2744C0" w14:textId="3C410137" w:rsidR="00445A65" w:rsidRPr="00445A65" w:rsidRDefault="00445A65" w:rsidP="00445A65">
      <w:pPr>
        <w:spacing w:after="0"/>
        <w:rPr>
          <w:color w:val="000000" w:themeColor="text1"/>
        </w:rPr>
      </w:pPr>
      <w:r w:rsidRPr="00445A65">
        <w:rPr>
          <w:color w:val="000000" w:themeColor="text1"/>
        </w:rPr>
        <w:t xml:space="preserve">This model is a stochastic, individual-based model with four dengue serotypes circulating in a population that is configured to resemble the city of Iquitos, Peru. Aspects of the model that are well informed by data from Iquitos include the geographic layout of individual houses and other buildings, population-level demographic composition, household demographic composition, human movement patterns, and biting heterogeneity within houses. Aspects of the model that are currently not informed by data from Iquitos include mosquito densities, population immunity, and patterns of dengue importation from surrounding areas that presumably seed and replenish transmission within the city. The overall result of these strengths and limitations is that the model is highly realistic in its description of the spatial distribution and mixing patterns of people but represents many other factors in a flexible way determined by a limited number of free parameters. The model is described in full detail by Perkins et al. </w:t>
      </w:r>
      <w:r w:rsidRPr="00445A65">
        <w:rPr>
          <w:color w:val="000000" w:themeColor="text1"/>
        </w:rPr>
        <w:fldChar w:fldCharType="begin" w:fldLock="1"/>
      </w:r>
      <w:r w:rsidR="00262137">
        <w:rPr>
          <w:color w:val="000000" w:themeColor="text1"/>
        </w:rPr>
        <w:instrText>ADDIN CSL_CITATION { "citationItems" : [ { "id" : "ITEM-1", "itemData" : { "DOI" : "available from 24/10/16", "author" : [ { "dropping-particle" : "", "family" : "Perkins", "given" : "T A", "non-dropping-particle" : "", "parse-names" : false, "suffix" : "" }, { "dropping-particle" : "", "family" : "Reiner", "given" : "R C", "non-dropping-particle" : "", "parse-names" : false, "suffix" : "" }, { "dropping-particle" : "", "family" : "Bosch", "given" : "Q A", "non-dropping-particle" : "ten", "parse-names" : false, "suffix" : "" }, { "dropping-particle" : "", "family" : "Espana", "given" : "G", "non-dropping-particle" : "", "parse-names" : false, "suffix" : "" }, { "dropping-particle" : "", "family" : "Verma", "given" : "A", "non-dropping-particle" : "", "parse-names" : false, "suffix" : "" }, { "dropping-particle" : "", "family" : "Liebman", "given" : "K A", "non-dropping-particle" : "", "parse-names" : false, "suffix" : "" }, { "dropping-particle" : "", "family" : "Paz-Soldan", "given" : "V A", "non-dropping-particle" : "", "parse-names" : false, "suffix" : "" }, { "dropping-particle" : "", "family" : "Elder", "given" : "J P", "non-dropping-particle" : "", "parse-names" : false, "suffix" : "" }, { "dropping-particle" : "", "family" : "Morrison", "given" : "A C", "non-dropping-particle" : "", "parse-names" : false, "suffix" : "" }, { "dropping-particle" : "", "family" : "Stoddard", "given" : "S T", "non-dropping-particle" : "", "parse-names" : false, "suffix" : "" }, { "dropping-particle" : "", "family" : "Kitron", "given" : "U", "non-dropping-particle" : "", "parse-names" : false, "suffix" : "" }, { "dropping-particle" : "", "family" : "Vazquez-Prokopec", "given" : "G M", "non-dropping-particle" : "", "parse-names" : false, "suffix" : "" }, { "dropping-particle" : "", "family" : "Scott", "given" : "T W", "non-dropping-particle" : "", "parse-names" : false, "suffix" : "" }, { "dropping-particle" : "", "family" : "Smith", "given" : "D L", "non-dropping-particle" : "", "parse-names" : false, "suffix" : "" } ], "container-title" : "bioRxiv", "id" : "ITEM-1", "issued" : { "date-parts" : [ [ "2016" ] ] }, "title" : "Statistical and biological uncertainties associated with vaccine efficacy estimates and their implications for dengue vaccine impact projections", "type" : "article-journal" }, "uris" : [ "http://www.mendeley.com/documents/?uuid=c1c4203b-0675-47c9-9ce5-5d57afb6e312", "http://www.mendeley.com/documents/?uuid=2da0241f-f94e-4d50-b707-8d5019ef673f" ] } ], "mendeley" : { "formattedCitation" : "[7]", "plainTextFormattedCitation" : "[7]", "previouslyFormattedCitation" : "[7]"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[7]</w:t>
      </w:r>
      <w:r w:rsidRPr="00445A65">
        <w:rPr>
          <w:color w:val="000000" w:themeColor="text1"/>
        </w:rPr>
        <w:fldChar w:fldCharType="end"/>
      </w:r>
      <w:r w:rsidRPr="00445A65">
        <w:rPr>
          <w:color w:val="000000" w:themeColor="text1"/>
        </w:rPr>
        <w:t>.</w:t>
      </w:r>
    </w:p>
    <w:p w14:paraId="3C854700" w14:textId="77777777" w:rsidR="00445A65" w:rsidRPr="00445A65" w:rsidRDefault="00445A65" w:rsidP="00445A65">
      <w:pPr>
        <w:spacing w:after="0"/>
        <w:rPr>
          <w:color w:val="000000" w:themeColor="text1"/>
        </w:rPr>
      </w:pPr>
    </w:p>
    <w:p w14:paraId="6001AF41" w14:textId="77777777" w:rsidR="00445A65" w:rsidRPr="00445A65" w:rsidRDefault="00445A65" w:rsidP="00445A65">
      <w:pPr>
        <w:spacing w:after="0"/>
        <w:rPr>
          <w:color w:val="000000" w:themeColor="text1"/>
        </w:rPr>
      </w:pPr>
      <w:r w:rsidRPr="00445A65">
        <w:rPr>
          <w:color w:val="000000" w:themeColor="text1"/>
        </w:rPr>
        <w:t>A parameter sweep was conducted in the original analysis of the model to assess the relationships between SP9 after 40 years of transmission and four free parameters: mosquito emergence rate, mosquito death rate, infectiousness of mosquitoes to people, and the force of infection due to importation of dengue from elsewhere. Variation in SP9 across the parameter sweep was best explained by a combination of variation in the force of importation parameter and vectorial capacity, a standard metric of transmission intensity and a composite of the latter three of the model’s free parameters and some of its fixed parameters. To obtain values of the free parameters that would yield SP9 values consistent with the 10-90% scenarios, we first chose a range of values of the force of importation parameter (1.0x10</w:t>
      </w:r>
      <w:r w:rsidRPr="00445A65">
        <w:rPr>
          <w:color w:val="000000" w:themeColor="text1"/>
          <w:vertAlign w:val="superscript"/>
        </w:rPr>
        <w:t>-5</w:t>
      </w:r>
      <w:r w:rsidRPr="00445A65">
        <w:rPr>
          <w:color w:val="000000" w:themeColor="text1"/>
        </w:rPr>
        <w:t>, 3.25x10</w:t>
      </w:r>
      <w:r w:rsidRPr="00445A65">
        <w:rPr>
          <w:color w:val="000000" w:themeColor="text1"/>
          <w:vertAlign w:val="superscript"/>
        </w:rPr>
        <w:t>-5</w:t>
      </w:r>
      <w:r w:rsidRPr="00445A65">
        <w:rPr>
          <w:color w:val="000000" w:themeColor="text1"/>
        </w:rPr>
        <w:t>, 5.5x10</w:t>
      </w:r>
      <w:r w:rsidRPr="00445A65">
        <w:rPr>
          <w:color w:val="000000" w:themeColor="text1"/>
          <w:vertAlign w:val="superscript"/>
        </w:rPr>
        <w:t>-5</w:t>
      </w:r>
      <w:r w:rsidRPr="00445A65">
        <w:rPr>
          <w:color w:val="000000" w:themeColor="text1"/>
        </w:rPr>
        <w:t>, 7.75x10</w:t>
      </w:r>
      <w:r w:rsidRPr="00445A65">
        <w:rPr>
          <w:color w:val="000000" w:themeColor="text1"/>
          <w:vertAlign w:val="superscript"/>
        </w:rPr>
        <w:t>-5</w:t>
      </w:r>
      <w:r w:rsidRPr="00445A65">
        <w:rPr>
          <w:color w:val="000000" w:themeColor="text1"/>
        </w:rPr>
        <w:t>, 1.0x10</w:t>
      </w:r>
      <w:r w:rsidRPr="00445A65">
        <w:rPr>
          <w:color w:val="000000" w:themeColor="text1"/>
          <w:vertAlign w:val="superscript"/>
        </w:rPr>
        <w:t>-4</w:t>
      </w:r>
      <w:r w:rsidRPr="00445A65">
        <w:rPr>
          <w:color w:val="000000" w:themeColor="text1"/>
        </w:rPr>
        <w:t>) and the mosquito infectiousness parameter (0.2, 0.4, 0.6, 0.8, 1) that represented a broad range of values explored in the parameter sweep. We furthermore adopted a single value of daily mosquito mortality of 0.11 across all scenarios. Finally, we selected values of mosquito emergence rate of 0.20, 0.25, 0.29, 0.35, and 0.46 that, in combination with the other parameters, resulted in SP9 values consistent with the 10-90% SP9 scenarios.</w:t>
      </w:r>
    </w:p>
    <w:p w14:paraId="3BAD2BCD" w14:textId="77777777" w:rsidR="00445A65" w:rsidRPr="00445A65" w:rsidRDefault="00445A65" w:rsidP="00445A65">
      <w:pPr>
        <w:spacing w:after="0"/>
        <w:rPr>
          <w:color w:val="000000" w:themeColor="text1"/>
        </w:rPr>
      </w:pPr>
    </w:p>
    <w:p w14:paraId="7D76337B" w14:textId="77777777" w:rsidR="00445A65" w:rsidRPr="00445A65" w:rsidRDefault="00445A65" w:rsidP="00445A65">
      <w:pPr>
        <w:spacing w:after="0"/>
        <w:rPr>
          <w:color w:val="000000" w:themeColor="text1"/>
        </w:rPr>
      </w:pPr>
      <w:r w:rsidRPr="00445A65">
        <w:rPr>
          <w:color w:val="000000" w:themeColor="text1"/>
        </w:rPr>
        <w:t xml:space="preserve">The vaccine was implemented consistent with harmonized assumptions, as were progression rates to VCD, hospitalization, and death. Efforts were made to use this model to fit parameters describing how the vaccine works—i.e., degree and half-life of temporary infection blocking—but no values of those parameters performing better than the harmonized values of 100% and 1 year were found. This does not preclude the possibility that better-fitting values of these parameters exist, but if they </w:t>
      </w:r>
      <w:r w:rsidRPr="00445A65">
        <w:rPr>
          <w:color w:val="000000" w:themeColor="text1"/>
        </w:rPr>
        <w:lastRenderedPageBreak/>
        <w:t>do exist they were not identifiable based on a crude parameter sweep approach to seeking better-fitting values.</w:t>
      </w:r>
    </w:p>
    <w:p w14:paraId="3AA1F7FC" w14:textId="77777777" w:rsidR="00445A65" w:rsidRPr="00445A65" w:rsidRDefault="00445A65" w:rsidP="00445A65">
      <w:pPr>
        <w:spacing w:after="0"/>
        <w:rPr>
          <w:color w:val="000000" w:themeColor="text1"/>
        </w:rPr>
      </w:pPr>
    </w:p>
    <w:p w14:paraId="72B35396" w14:textId="77777777" w:rsidR="00445A65" w:rsidRPr="00445A65" w:rsidRDefault="00445A65" w:rsidP="00445A65">
      <w:pPr>
        <w:spacing w:after="0"/>
        <w:rPr>
          <w:color w:val="000000" w:themeColor="text1"/>
        </w:rPr>
      </w:pPr>
      <w:r w:rsidRPr="00445A65">
        <w:rPr>
          <w:color w:val="000000" w:themeColor="text1"/>
        </w:rPr>
        <w:t>All realizations of the model were simulated for 40 years prior to vaccination to allow for the build-up of population immunity and another 30 years following the introduction of the vaccine. Each realization of the model involving vaccination was paired with an otherwise identical realization of the model without vaccination. Each pair of simulations was identical in terms of two distinct random number seeds: one that pertained to random events related to demography, movement, biting, and importation of infections from outside the simulated population, and another that pertained to infection, disease, and vaccination outcomes. This resulted in pairs of simulations that were directly comparable and thus isolated the impacts of vaccination from stochastic noise to the greatest extent possible (although not completely). For each transmission and vaccination scenario, 100 replicates were performed and the average and interquartile range across the set of 100 replicates were reported for comparison with other models’ outputs.</w:t>
      </w:r>
    </w:p>
    <w:p w14:paraId="649AA7E9" w14:textId="77777777" w:rsidR="00445A65" w:rsidRPr="00445A65" w:rsidRDefault="00445A65" w:rsidP="00445A65">
      <w:pPr>
        <w:pStyle w:val="Heading3"/>
        <w:rPr>
          <w:color w:val="000000" w:themeColor="text1"/>
        </w:rPr>
      </w:pPr>
    </w:p>
    <w:p w14:paraId="1C2890C1" w14:textId="77777777" w:rsidR="00445A65" w:rsidRPr="00445A65" w:rsidRDefault="00445A65" w:rsidP="00445A65">
      <w:pPr>
        <w:pStyle w:val="Heading3"/>
        <w:rPr>
          <w:color w:val="000000" w:themeColor="text1"/>
        </w:rPr>
      </w:pPr>
      <w:r w:rsidRPr="00445A65">
        <w:rPr>
          <w:color w:val="000000" w:themeColor="text1"/>
        </w:rPr>
        <w:t>Sanofi Pasteur</w:t>
      </w:r>
    </w:p>
    <w:p w14:paraId="5B46004C" w14:textId="188B669C" w:rsidR="00445A65" w:rsidRPr="00445A65" w:rsidRDefault="00445A65" w:rsidP="00445A65">
      <w:pPr>
        <w:rPr>
          <w:color w:val="000000" w:themeColor="text1"/>
        </w:rPr>
      </w:pPr>
      <w:r w:rsidRPr="00445A65">
        <w:rPr>
          <w:color w:val="000000" w:themeColor="text1"/>
        </w:rPr>
        <w:t xml:space="preserve">This model is an age-structured, host-vector compartmental model accounting for the transmission dynamics of the four dengue serotypes. Vaccination was assumed to act as a silent infection but, in contrast with other models, its parameters were not estimated from publicly available summary statistics but from detailed, country-specific information collected during the active surveillance phase of Dengvavia® efficacy studies </w:t>
      </w:r>
      <w:r w:rsidRPr="00445A65">
        <w:rPr>
          <w:color w:val="000000" w:themeColor="text1"/>
        </w:rPr>
        <w:fldChar w:fldCharType="begin" w:fldLock="1"/>
      </w:r>
      <w:r w:rsidR="00EC3854">
        <w:rPr>
          <w:color w:val="000000" w:themeColor="text1"/>
        </w:rPr>
        <w:instrText>ADDIN CSL_CITATION { "citationItems" : [ { "id" : "ITEM-1", "itemData" : { "DOI" : "10.1016/j.vaccine.2015.11.023", "ISSN" : "0264410X", "abstract" : "BACKGROUND\\nA tetravalent dengue vaccine was shown to be efficacious against symptomatic dengue in two phase III efficacy studies performed in five Asian and five Latin American countries. The objective here was to estimate key parameters of a dengue transmission model using the data collected during these studies. \\n\\nMETHODS\\nParameter estimation was based on a Sequential Monte Carlo approach and used a cohort version of the transmission model. Serotype-specific basic reproduction numbers were derived for each country. Parameters related to serotype interactions included duration of cross-protection and level of cross-enhancement characterized by differences in symptomaticity for primary, secondary and post-secondary infections. We tested several vaccine efficacy profiles and simulated the evolution of vaccine efficacy over time for the scenarios providing the best fit to the data. \\n\\nRESULTS\\nTwo reference scenarios were identified. The first included temporary cross-protection and the second combined cross-protection and cross-enhancement upon wild-type infection and following vaccination. Both scenarios were associated with differences in efficacy by serotype, higher efficacy for pre-exposed subjects and against severe dengue, increase in efficacy with doses for na\u00efve subjects and by a more important waning of vaccine protection for subjects when na\u00efve than when pre-exposed. Over 20 years, the median reduction of dengue risk induced by the direct protection conferred by the vaccine ranged from 24% to 47% according to country for the first scenario and from 34% to 54% for the second. \\n\\nCONCLUSION\\nOur study is an important first step in deriving a general framework that combines disease dynamics and mechanisms of vaccine protection that could be used to assess the impact of vaccination at a population level.", "author" : [ { "dropping-particle" : "", "family" : "Coudeville", "given" : "Laurent", "non-dropping-particle" : "", "parse-names" : false, "suffix" : "" }, { "dropping-particle" : "", "family" : "Baurin", "given" : "Nicolas", "non-dropping-particle" : "", "parse-names" : false, "suffix" : "" }, { "dropping-particle" : "", "family" : "Vergu", "given" : "Elisabeta", "non-dropping-particle" : "", "parse-names" : false, "suffix" : "" } ], "container-title" : "Vaccine", "id" : "ITEM-1", "issued" : { "date-parts" : [ [ "2015", "11" ] ] }, "page" : "1-9", "title" : "Estimation of parameters related to vaccine efficacy and dengue transmission from two large phase III studies", "type" : "article-journal" }, "uris" : [ "http://www.mendeley.com/documents/?uuid=fefb8ed7-6639-47fe-bb4c-25114b2bba88" ] } ], "mendeley" : { "formattedCitation" : "[8]", "plainTextFormattedCitation" : "[8]", "previouslyFormattedCitation" : "[8]"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[8]</w:t>
      </w:r>
      <w:r w:rsidRPr="00445A65">
        <w:rPr>
          <w:color w:val="000000" w:themeColor="text1"/>
        </w:rPr>
        <w:fldChar w:fldCharType="end"/>
      </w:r>
      <w:r w:rsidRPr="00445A65">
        <w:rPr>
          <w:color w:val="000000" w:themeColor="text1"/>
        </w:rPr>
        <w:t xml:space="preserve">. As a consequence, in contrast with other models, vaccine efficacy accounts for observed differences by serotype, higher efficacy against hospitalizations and increase in efficacy with doses for seronegative subjects. Point estimates for initial efficacy ranges from 13% (Dengue 2 - 1 dose for seronegative subjects) to 93% (Dengue 4, Hospitalised cases for seropositives). The relative risk of developing a symptomatic case or a severe case requiring hospitalization upon primary, secondary and post-secondary infection were also adjusted to best represent country-specific information. </w:t>
      </w:r>
    </w:p>
    <w:p w14:paraId="278648B1" w14:textId="77777777" w:rsidR="00445A65" w:rsidRPr="00445A65" w:rsidRDefault="00445A65" w:rsidP="00445A65">
      <w:pPr>
        <w:rPr>
          <w:color w:val="000000" w:themeColor="text1"/>
        </w:rPr>
      </w:pPr>
      <w:r w:rsidRPr="00445A65">
        <w:rPr>
          <w:color w:val="000000" w:themeColor="text1"/>
        </w:rPr>
        <w:t xml:space="preserve">Vaccine efficacy was assumed to provide partial protection to all vaccinees (leaky vaccine). For the results reported here, the annual waning rates of vaccine protection were 100% for seronegative subjects and 15% for seropositive subjects. Based on an analysis of immunogenicity data, vaccine efficacy against asymptomatic infections was considered to be 50% of the efficacy against ambulatory cases in the base case. This model also differs from most models regarding the evolution of symptomaticity with age. The comparison between reported surveillance data and model outcomes led us to consider an increased symptomaticy upon infection during childhood. </w:t>
      </w:r>
    </w:p>
    <w:p w14:paraId="659F630C" w14:textId="77777777" w:rsidR="00445A65" w:rsidRPr="00445A65" w:rsidRDefault="00445A65" w:rsidP="00445A65">
      <w:pPr>
        <w:rPr>
          <w:color w:val="000000" w:themeColor="text1"/>
        </w:rPr>
      </w:pPr>
      <w:r w:rsidRPr="00445A65">
        <w:rPr>
          <w:color w:val="000000" w:themeColor="text1"/>
        </w:rPr>
        <w:t>For all transmission intensity considered here, we used Brazilian demographic information and reported average and 95% confidence interval based on 100 simulations. For each of these simulations we drew values from the posterior distribution of the estimated vaccine efficacy parameters. We also considered different starting points for the introduction of the vaccine (with a 10 year reference period) and used a uniform distribution for the relative efficacy against asymptomatic infections (0–100% of the efficacy against ambulatory cases).</w:t>
      </w:r>
    </w:p>
    <w:p w14:paraId="2EA7BEC5" w14:textId="77777777" w:rsidR="00445A65" w:rsidRPr="00445A65" w:rsidRDefault="00445A65" w:rsidP="00445A65">
      <w:pPr>
        <w:rPr>
          <w:color w:val="000000" w:themeColor="text1"/>
        </w:rPr>
      </w:pPr>
    </w:p>
    <w:p w14:paraId="744E4542" w14:textId="77777777" w:rsidR="00445A65" w:rsidRPr="00445A65" w:rsidRDefault="00445A65" w:rsidP="00445A65">
      <w:pPr>
        <w:pStyle w:val="Heading3"/>
        <w:rPr>
          <w:color w:val="000000" w:themeColor="text1"/>
        </w:rPr>
      </w:pPr>
      <w:r w:rsidRPr="00445A65">
        <w:rPr>
          <w:color w:val="000000" w:themeColor="text1"/>
        </w:rPr>
        <w:t>UWA</w:t>
      </w:r>
      <w:r w:rsidRPr="00445A65">
        <w:rPr>
          <w:i w:val="0"/>
          <w:color w:val="000000" w:themeColor="text1"/>
        </w:rPr>
        <w:t xml:space="preserve"> </w:t>
      </w:r>
    </w:p>
    <w:p w14:paraId="79C3EFEE" w14:textId="003607B2" w:rsidR="00445A65" w:rsidRPr="00445A65" w:rsidRDefault="00445A65" w:rsidP="00445A65">
      <w:pPr>
        <w:rPr>
          <w:color w:val="000000" w:themeColor="text1"/>
          <w:lang w:val="en-AU"/>
        </w:rPr>
      </w:pPr>
      <w:r w:rsidRPr="00445A65">
        <w:rPr>
          <w:color w:val="000000" w:themeColor="text1"/>
          <w:lang w:val="en-AU"/>
        </w:rPr>
        <w:t xml:space="preserve">The University of Western Australia (UWA) dengue model is a development of one produced previously for the city of Cairns in tropical Australia, where dengue epidemics occur almost every year </w:t>
      </w:r>
      <w:r w:rsidRPr="00445A65">
        <w:rPr>
          <w:color w:val="000000" w:themeColor="text1"/>
          <w:lang w:val="en-AU"/>
        </w:rPr>
        <w:fldChar w:fldCharType="begin" w:fldLock="1"/>
      </w:r>
      <w:r w:rsidR="00EC3854">
        <w:rPr>
          <w:color w:val="000000" w:themeColor="text1"/>
          <w:lang w:val="en-AU"/>
        </w:rPr>
        <w:instrText>ADDIN CSL_CITATION { "citationItems" : [ { "id" : "ITEM-1", "itemData" : { "DOI" : "10.1186/1471-2334-14-447", "ISSN" : "1471-2334", "PMID" : "25139524", "abstract" : "The World Health Organization estimates that the global number of dengue infections range between 80-100 million per year, with some studies estimating approximately three times higher numbers. Furthermore, the geographic range of dengue virus transmission is extending with the disease now occurring more frequently in areas such as southern Europe. Ae. aegypti, one of the most prominent dengue vectors, is endemic to the far north-east of Australia and the city of Cairns frequently experiences dengue outbreaks which sometimes lead to large epidemics.\\nPMID: 25139524", "author" : [ { "dropping-particle" : "", "family" : "Karl", "given" : "Stephan", "non-dropping-particle" : "", "parse-names" : false, "suffix" : "" }, { "dropping-particle" : "", "family" : "Halder", "given" : "Nilimesh", "non-dropping-particle" : "", "parse-names" : false, "suffix" : "" }, { "dropping-particle" : "", "family" : "Kelso", "given" : "Joel K.", "non-dropping-particle" : "", "parse-names" : false, "suffix" : "" }, { "dropping-particle" : "", "family" : "Ritchie", "given" : "Scott a.", "non-dropping-particle" : "", "parse-names" : false, "suffix" : "" }, { "dropping-particle" : "", "family" : "Milne", "given" : "George J.", "non-dropping-particle" : "", "parse-names" : false, "suffix" : "" } ], "container-title" : "BMC Infectious Diseases", "id" : "ITEM-1", "issue" : "1", "issued" : { "date-parts" : [ [ "2014" ] ] }, "page" : "447", "title" : "A spatial simulation model for dengue virus infection in urban areas", "type" : "article-journal", "volume" : "14" }, "uris" : [ "http://www.mendeley.com/documents/?uuid=8cb8f451-8d2b-4a2d-b818-b4c811c08594", "http://www.mendeley.com/documents/?uuid=d7e9bc81-d62a-4225-9fb2-6e66203dbef6", "http://www.mendeley.com/documents/?uuid=a4997fd9-fcd8-40b5-bf84-2d3879e629fd" ] } ], "mendeley" : { "formattedCitation" : "[9]", "plainTextFormattedCitation" : "[9]", "previouslyFormattedCitation" : "[9]" }, "properties" : { "noteIndex" : 0 }, "schema" : "https://github.com/citation-style-language/schema/raw/master/csl-citation.json" }</w:instrText>
      </w:r>
      <w:r w:rsidRPr="00445A65">
        <w:rPr>
          <w:color w:val="000000" w:themeColor="text1"/>
          <w:lang w:val="en-AU"/>
        </w:rPr>
        <w:fldChar w:fldCharType="separate"/>
      </w:r>
      <w:r w:rsidRPr="00445A65">
        <w:rPr>
          <w:noProof/>
          <w:color w:val="000000" w:themeColor="text1"/>
          <w:lang w:val="en-AU"/>
        </w:rPr>
        <w:t>[9]</w:t>
      </w:r>
      <w:r w:rsidRPr="00445A65">
        <w:rPr>
          <w:color w:val="000000" w:themeColor="text1"/>
          <w:lang w:val="en-AU"/>
        </w:rPr>
        <w:fldChar w:fldCharType="end"/>
      </w:r>
      <w:r w:rsidRPr="00445A65">
        <w:rPr>
          <w:color w:val="000000" w:themeColor="text1"/>
          <w:lang w:val="en-AU"/>
        </w:rPr>
        <w:t xml:space="preserve">. In Cairns the </w:t>
      </w:r>
      <w:r w:rsidRPr="00445A65">
        <w:rPr>
          <w:i/>
          <w:color w:val="000000" w:themeColor="text1"/>
          <w:lang w:val="en-AU"/>
        </w:rPr>
        <w:t xml:space="preserve">Aedes aegypti </w:t>
      </w:r>
      <w:r w:rsidRPr="00445A65">
        <w:rPr>
          <w:color w:val="000000" w:themeColor="text1"/>
          <w:lang w:val="en-AU"/>
        </w:rPr>
        <w:t xml:space="preserve">population naturally enters a state of stasis in winter due to low </w:t>
      </w:r>
      <w:r w:rsidRPr="00445A65">
        <w:rPr>
          <w:color w:val="000000" w:themeColor="text1"/>
          <w:lang w:val="en-AU"/>
        </w:rPr>
        <w:lastRenderedPageBreak/>
        <w:t>minimum temperatures halting the development cycle of this dengue vector. The mosquito population starts to grow in spring when the weather warms and rainfall increases. Dengue transmission is thus not endemic and the lack of adult vectors in winter breaks ongoing transmission. Arrival of dengue infectious individuals in the spring restarts virus transmission, often leading to significant numbers of cases, with rigorous vector control being instigated to mitigate case numbers. Infectious individuals are seeded into the model and randomly located into specific households.</w:t>
      </w:r>
    </w:p>
    <w:p w14:paraId="6CD88082" w14:textId="77777777" w:rsidR="00445A65" w:rsidRPr="00445A65" w:rsidRDefault="00445A65" w:rsidP="00445A65">
      <w:pPr>
        <w:rPr>
          <w:color w:val="000000" w:themeColor="text1"/>
          <w:lang w:val="en-AU"/>
        </w:rPr>
      </w:pPr>
      <w:r w:rsidRPr="00445A65">
        <w:rPr>
          <w:color w:val="000000" w:themeColor="text1"/>
          <w:lang w:val="en-AU"/>
        </w:rPr>
        <w:t xml:space="preserve">The model developed for this study is “Thai-like”; the </w:t>
      </w:r>
      <w:r w:rsidRPr="00445A65">
        <w:rPr>
          <w:i/>
          <w:color w:val="000000" w:themeColor="text1"/>
          <w:lang w:val="en-AU"/>
        </w:rPr>
        <w:t>Aedes aegypti</w:t>
      </w:r>
      <w:r w:rsidRPr="00445A65">
        <w:rPr>
          <w:color w:val="000000" w:themeColor="text1"/>
          <w:lang w:val="en-AU"/>
        </w:rPr>
        <w:t xml:space="preserve"> population fluctuates according to the season in Thailand, with the population at a lower level in January and peaking during the wet season (April to October). This generates an annual peak in dengue transmission consistent with incidence data for central Thailand, i.e. in the region of Bangkok. The Thai vector population dynamics model is simplified from the Cairns model, omitting the immature (egg, larva and pupa) life stages and models only adult female mosquitos. The simulated human population of approximately 74,000 (average over a projected 30 year period) has the same household size, age structure and age-specific birth and death rates found in central Thailand as reported by the National Statistical Office Thailand (2010). Population size and ages predicted in the future are consistent with World Bank projections.</w:t>
      </w:r>
    </w:p>
    <w:p w14:paraId="48C6EF97" w14:textId="77777777" w:rsidR="00445A65" w:rsidRPr="00445A65" w:rsidRDefault="00445A65" w:rsidP="00445A65">
      <w:pPr>
        <w:rPr>
          <w:color w:val="000000" w:themeColor="text1"/>
          <w:lang w:val="en-AU"/>
        </w:rPr>
      </w:pPr>
      <w:r w:rsidRPr="00445A65">
        <w:rPr>
          <w:color w:val="000000" w:themeColor="text1"/>
          <w:lang w:val="en-AU"/>
        </w:rPr>
        <w:t>The Thai model used here, and the related Cairns model, are spatially-explicit allowing geographical variation of vector and human populations to be captured. These individual-based simulation models utilise census data to represent the make-up of households, and other data sources to estimate human movement between households, schools, workplaces and the wider community. Vector population dynamics follows standard techniques with temperature (impacting mosquito activity and reproduction rate) and rainfall (impacting availability of breeding sites) the main drivers in population development. The model includes a number of stochastic processes (e.g. contact of mosquito and human; biting events resulting in infection; vaccination outcomes) and thus multiple simulation runs (24 in fact) are required with averages taken to generate infection data over a 30 year time period. The reported 95% confidence intervals quantify the uncertainty in outcomes due to stochastic variation between different simulation runs.</w:t>
      </w:r>
    </w:p>
    <w:p w14:paraId="12E25125" w14:textId="460DE4F6" w:rsidR="00445A65" w:rsidRPr="00445A65" w:rsidRDefault="00445A65" w:rsidP="00445A65">
      <w:pPr>
        <w:rPr>
          <w:color w:val="000000" w:themeColor="text1"/>
          <w:lang w:val="en-AU"/>
        </w:rPr>
      </w:pPr>
      <w:r w:rsidRPr="00445A65">
        <w:rPr>
          <w:color w:val="000000" w:themeColor="text1"/>
          <w:lang w:val="en-AU"/>
        </w:rPr>
        <w:t xml:space="preserve">All 4 dengue serotypes are included. Following an infection from a particular serotype, an individual will remain immune to that serotype for life. From the time at which an individual recovers from a given serotype, he/she will be immune to infection from other serotypes for 6 months (cross protection). There is no simultaneous co-infection; multiple serial infections can occur. The simulated average annual dengue incidence rate for a baseline no-vaccination scenario was calibrated to be consistent with the observed Thai average annual incidence rate, assuming the above and that dengue cases are under-reported by a factor of ~4, which is consistent with estimates </w:t>
      </w:r>
      <w:r w:rsidRPr="00445A65">
        <w:rPr>
          <w:color w:val="000000" w:themeColor="text1"/>
          <w:lang w:val="en-AU"/>
        </w:rPr>
        <w:fldChar w:fldCharType="begin" w:fldLock="1"/>
      </w:r>
      <w:r w:rsidR="00EC3854">
        <w:rPr>
          <w:color w:val="000000" w:themeColor="text1"/>
          <w:lang w:val="en-AU"/>
        </w:rPr>
        <w:instrText>ADDIN CSL_CITATION { "citationItems" : [ { "id" : "ITEM-1", "itemData" : { "DOI" : "10.1056/NEJMoa1506223", "ISSN" : "0028-4793", "author" : [ { "dropping-particle" : "", "family" : "Hadinegoro", "given" : "Sri Rezeki", "non-dropping-particle" : "", "parse-names" : false, "suffix" : "" }, { "dropping-particle" : "", "family" : "Arredondo-Garc\u00eda", "given" : "Jose Luis", "non-dropping-particle" : "", "parse-names" : false, "suffix" : "" }, { "dropping-particle" : "", "family" : "Capeding", "given" : "Maria Rosario", "non-dropping-particle" : "", "parse-names" : false, "suffix" : "" }, { "dropping-particle" : "", "family" : "Deseda", "given" : "Carmen", "non-dropping-particle" : "", "parse-names" : false, "suffix" : "" }, { "dropping-particle" : "", "family" : "Chotpitayasunondh", "given" : "Tawee", "non-dropping-particle" : "", "parse-names" : false, "suffix" : "" }, { "dropping-particle" : "", "family" : "Dietze", "given" : "Reynaldo", "non-dropping-particle" : "", "parse-names" : false, "suffix" : "" }, { "dropping-particle" : "", "family" : "Ismail", "given" : "H.I. Hj Muhammad", "non-dropping-particle" : "", "parse-names" : false, "suffix" : "" }, { "dropping-particle" : "", "family" : "Reynales", "given" : "Humberto", "non-dropping-particle" : "", "parse-names" : false, "suffix" : "" }, { "dropping-particle" : "", "family" : "Limkittikul", "given" : "Kriengsak", "non-dropping-particle" : "", "parse-names" : false, "suffix" : "" }, { "dropping-particle" : "", "family" : "Rivera-Medina", "given" : "Doris Maribel", "non-dropping-particle" : "", "parse-names" : false, "suffix" : "" }, { "dropping-particle" : "", "family" : "Tran", "given" : "Huu Ngoc", "non-dropping-particle" : "", "parse-names" : false, "suffix" : "" }, { "dropping-particle" : "", "family" : "Bouckenooghe", "given" : "Alain", "non-dropping-particle" : "", "parse-names" : false, "suffix" : "" }, { "dropping-particle" : "", "family" : "Chansinghakul", "given" : "Danaya", "non-dropping-particle" : "", "parse-names" : false, "suffix" : "" }, { "dropping-particle" : "", "family" : "Cort\u00e9s", "given" : "Margarita", "non-dropping-particle" : "", "parse-names" : false, "suffix" : "" }, { "dropping-particle" : "", "family" : "Fanouillere", "given" : "Karen", "non-dropping-particle" : "", "parse-names" : false, "suffix" : "" }, { "dropping-particle" : "", "family" : "Forrat", "given" : "Remi", "non-dropping-particle" : "", "parse-names" : false, "suffix" : "" }, { "dropping-particle" : "", "family" : "Frago", "given" : "Carina", "non-dropping-particle" : "", "parse-names" : false, "suffix" : "" }, { "dropping-particle" : "", "family" : "Gailhardou", "given" : "Sophia", "non-dropping-particle" : "", "parse-names" : false, "suffix" : "" }, { "dropping-particle" : "", "family" : "Jackson", "given" : "Nicholas", "non-dropping-particle" : "", "parse-names" : false, "suffix" : "" }, { "dropping-particle" : "", "family" : "Noriega", "given" : "Fernando", "non-dropping-particle" : "", "parse-names" : false, "suffix" : "" }, { "dropping-particle" : "", "family" : "Plennevaux", "given" : "Eric", "non-dropping-particle" : "", "parse-names" : false, "suffix" : "" }, { "dropping-particle" : "", "family" : "Wartel", "given" : "T. Anh", "non-dropping-particle" : "", "parse-names" : false, "suffix" : "" }, { "dropping-particle" : "", "family" : "Zambrano", "given" : "Betzana", "non-dropping-particle" : "", "parse-names" : false, "suffix" : "" }, { "dropping-particle" : "", "family" : "Saville", "given" : "Melanie", "non-dropping-particle" : "", "parse-names" : false, "suffix" : "" } ], "container-title" : "New England Journal of Medicine", "id" : "ITEM-1", "issued" : { "date-parts" : [ [ "2015", "7", "27" ] ] }, "page" : "150727090428004", "title" : "Efficacy and Long-Term Safety of a Dengue Vaccine in Regions of Endemic Disease", "type" : "article-journal" }, "uris" : [ "http://www.mendeley.com/documents/?uuid=8eaf136e-2ac4-499f-b912-ed8d72f40868" ] } ], "mendeley" : { "formattedCitation" : "[10]", "plainTextFormattedCitation" : "[10]", "previouslyFormattedCitation" : "[10]" }, "properties" : { "noteIndex" : 0 }, "schema" : "https://github.com/citation-style-language/schema/raw/master/csl-citation.json" }</w:instrText>
      </w:r>
      <w:r w:rsidRPr="00445A65">
        <w:rPr>
          <w:color w:val="000000" w:themeColor="text1"/>
          <w:lang w:val="en-AU"/>
        </w:rPr>
        <w:fldChar w:fldCharType="separate"/>
      </w:r>
      <w:r w:rsidRPr="00445A65">
        <w:rPr>
          <w:noProof/>
          <w:color w:val="000000" w:themeColor="text1"/>
          <w:lang w:val="en-AU"/>
        </w:rPr>
        <w:t>[10]</w:t>
      </w:r>
      <w:r w:rsidRPr="00445A65">
        <w:rPr>
          <w:color w:val="000000" w:themeColor="text1"/>
          <w:lang w:val="en-AU"/>
        </w:rPr>
        <w:fldChar w:fldCharType="end"/>
      </w:r>
      <w:r w:rsidRPr="00445A65">
        <w:rPr>
          <w:color w:val="000000" w:themeColor="text1"/>
          <w:lang w:val="en-AU"/>
        </w:rPr>
        <w:t>. The R</w:t>
      </w:r>
      <w:r w:rsidRPr="00445A65">
        <w:rPr>
          <w:color w:val="000000" w:themeColor="text1"/>
          <w:vertAlign w:val="subscript"/>
          <w:lang w:val="en-AU"/>
        </w:rPr>
        <w:t>0</w:t>
      </w:r>
      <w:r w:rsidRPr="00445A65">
        <w:rPr>
          <w:color w:val="000000" w:themeColor="text1"/>
          <w:lang w:val="en-AU"/>
        </w:rPr>
        <w:t xml:space="preserve"> measured from initial simulations was 3.3 (compare with 3.2 for Thailand in </w:t>
      </w:r>
      <w:r w:rsidRPr="00445A65">
        <w:rPr>
          <w:color w:val="000000" w:themeColor="text1"/>
          <w:lang w:val="en-AU"/>
        </w:rPr>
        <w:fldChar w:fldCharType="begin" w:fldLock="1"/>
      </w:r>
      <w:r w:rsidR="00EC3854">
        <w:rPr>
          <w:color w:val="000000" w:themeColor="text1"/>
          <w:lang w:val="en-AU"/>
        </w:rPr>
        <w:instrText>ADDIN CSL_CITATION { "citationItems" : [ { "id" : "ITEM-1", "itemData" : { "DOI" : "10.1016/j.vaccine.2013.11.020", "ISSN" : "1873-2518", "PMID" : "24269318", "abstract" : "Dengue vaccine development efforts have focused on the development of tetravalent vaccines. However, a recent Phase IIb trial of a tetravalent vaccine indicates a protective effect against only 3 of the 4 serotypes. While vaccines effective against a subset of serotypes may reduce morbidity and mortality, particular profiles could result in an increased number of cases due to immune enhancement and other peculiarities of dengue epidemiology. Here, we use a compartmental transmission model to assess the impact of partially effective vaccines in a hyperendemic Thai population. Crucially, we evaluate the effects that certain serotype heterogeneities may have in the presence of mass-vaccination campaigns. In the majority of scenarios explored, partially effective vaccines lead to 50% or greater reductions in the number of cases. This is true even of vaccines that we would not expect to proceed to licensure due to poor or incomplete immune responses. Our results show that a partially effective vaccine can have significant impacts on serotype distribution and mean age of cases.", "author" : [ { "dropping-particle" : "", "family" : "Rodriguez-Barraquer", "given" : "Isabel", "non-dropping-particle" : "", "parse-names" : false, "suffix" : "" }, { "dropping-particle" : "", "family" : "Mier-y-Teran-Romero", "given" : "Luis", "non-dropping-particle" : "", "parse-names" : false, "suffix" : "" }, { "dropping-particle" : "", "family" : "Schwartz", "given" : "Ira B", "non-dropping-particle" : "", "parse-names" : false, "suffix" : "" }, { "dropping-particle" : "", "family" : "Burke", "given" : "Donald S", "non-dropping-particle" : "", "parse-names" : false, "suffix" : "" }, { "dropping-particle" : "", "family" : "Cummings", "given" : "Derek A T", "non-dropping-particle" : "", "parse-names" : false, "suffix" : "" } ], "container-title" : "Vaccine", "id" : "ITEM-1", "issue" : "4", "issued" : { "date-parts" : [ [ "2014", "1", "16" ] ] }, "page" : "514-20", "title" : "Potential opportunities and perils of imperfect dengue vaccines.", "type" : "article-journal", "volume" : "32" }, "uris" : [ "http://www.mendeley.com/documents/?uuid=742a36a4-6fd7-435a-8781-fec7aaba683f" ] } ], "mendeley" : { "formattedCitation" : "[5]", "plainTextFormattedCitation" : "[5]", "previouslyFormattedCitation" : "[5]" }, "properties" : { "noteIndex" : 0 }, "schema" : "https://github.com/citation-style-language/schema/raw/master/csl-citation.json" }</w:instrText>
      </w:r>
      <w:r w:rsidRPr="00445A65">
        <w:rPr>
          <w:color w:val="000000" w:themeColor="text1"/>
          <w:lang w:val="en-AU"/>
        </w:rPr>
        <w:fldChar w:fldCharType="separate"/>
      </w:r>
      <w:r w:rsidRPr="00445A65">
        <w:rPr>
          <w:noProof/>
          <w:color w:val="000000" w:themeColor="text1"/>
          <w:lang w:val="en-AU"/>
        </w:rPr>
        <w:t>[5]</w:t>
      </w:r>
      <w:r w:rsidRPr="00445A65">
        <w:rPr>
          <w:color w:val="000000" w:themeColor="text1"/>
          <w:lang w:val="en-AU"/>
        </w:rPr>
        <w:fldChar w:fldCharType="end"/>
      </w:r>
      <w:r w:rsidRPr="00445A65">
        <w:rPr>
          <w:color w:val="000000" w:themeColor="text1"/>
          <w:lang w:val="en-AU"/>
        </w:rPr>
        <w:t>) giving seropositivity among of 9 year olds (SP9) of 65%. For this study higher and lower SP9 settings, ranging from 10% to 90%, were created by adjusting the vector population density.</w:t>
      </w:r>
    </w:p>
    <w:p w14:paraId="0F4FB164" w14:textId="77777777" w:rsidR="00445A65" w:rsidRPr="00445A65" w:rsidRDefault="00445A65" w:rsidP="00445A65">
      <w:pPr>
        <w:rPr>
          <w:color w:val="000000" w:themeColor="text1"/>
          <w:lang w:val="en-AU"/>
        </w:rPr>
      </w:pPr>
      <w:r w:rsidRPr="00445A65">
        <w:rPr>
          <w:color w:val="000000" w:themeColor="text1"/>
          <w:lang w:val="en-AU"/>
        </w:rPr>
        <w:t>Vaccine effect is modelled as being “all-or-nothing”: successfully vaccinated individuals are fully protected from infection after the final vaccine dose, while unsuccessful vaccination offers no protection i.e. vaccination does not provide additional protection against symptomatic dengue or hospitalisation in the case of breakthrough infections. Successful versus unsuccessful vaccination is determined stochastically for each strain for each recipient, with a probability based on virus strain and sero-status. Vaccine half-life is assumed to be 1 year for seronegative individuals and life-long for seropositive individuals. In other respects vaccine effect is modelled as described in the Methods section.</w:t>
      </w:r>
    </w:p>
    <w:p w14:paraId="7F54FE99" w14:textId="77777777" w:rsidR="00445A65" w:rsidRPr="00445A65" w:rsidRDefault="00445A65" w:rsidP="00445A65">
      <w:pPr>
        <w:rPr>
          <w:color w:val="000000" w:themeColor="text1"/>
          <w:lang w:val="en-AU"/>
        </w:rPr>
      </w:pPr>
      <w:r w:rsidRPr="00445A65">
        <w:rPr>
          <w:color w:val="000000" w:themeColor="text1"/>
          <w:lang w:val="en-AU"/>
        </w:rPr>
        <w:lastRenderedPageBreak/>
        <w:t>The relatively small population modelled required ongoing seeding of infectious individuals to replicate the natural movement into and out of the modelled community. Much of the detail found in both the Thai and Cairns models developed at the University of Western Australia is unnecessary for the purposes of modelling dengue vaccination, as in this study (e.g. spatial vector density heterogeneity and vector movement). This resulted in long simulation times running on the Western Australian Pawsey Centre high-performance computing facilities; however, such detail is necessary to also capture vector control interventions, a future use of the UWA models.</w:t>
      </w:r>
    </w:p>
    <w:p w14:paraId="7AB83967" w14:textId="77777777" w:rsidR="00445A65" w:rsidRPr="00445A65" w:rsidRDefault="00445A65" w:rsidP="00445A65">
      <w:pPr>
        <w:rPr>
          <w:b/>
          <w:color w:val="000000" w:themeColor="text1"/>
          <w:lang w:val="en-AU"/>
        </w:rPr>
      </w:pPr>
    </w:p>
    <w:p w14:paraId="087F0E25" w14:textId="77777777" w:rsidR="00445A65" w:rsidRPr="00445A65" w:rsidRDefault="00445A65" w:rsidP="00445A65">
      <w:pPr>
        <w:pStyle w:val="Caption"/>
        <w:keepNext/>
        <w:rPr>
          <w:color w:val="000000" w:themeColor="text1"/>
        </w:rPr>
        <w:sectPr w:rsidR="00445A65" w:rsidRPr="00445A65" w:rsidSect="00F961CB">
          <w:footerReference w:type="default" r:id="rId8"/>
          <w:pgSz w:w="11906" w:h="16838"/>
          <w:pgMar w:top="1440" w:right="1440" w:bottom="1440" w:left="1440" w:header="708" w:footer="708" w:gutter="0"/>
          <w:lnNumType w:countBy="1" w:restart="continuous"/>
          <w:cols w:space="708"/>
          <w:docGrid w:linePitch="360"/>
        </w:sectPr>
      </w:pPr>
    </w:p>
    <w:p w14:paraId="0D4E604F" w14:textId="172BFE24" w:rsidR="00445A65" w:rsidRPr="00B14CCB" w:rsidRDefault="00445A65" w:rsidP="00A61099">
      <w:pPr>
        <w:rPr>
          <w:b/>
        </w:rPr>
      </w:pPr>
      <w:r w:rsidRPr="00B14CCB">
        <w:rPr>
          <w:b/>
        </w:rPr>
        <w:lastRenderedPageBreak/>
        <w:t xml:space="preserve">Table </w:t>
      </w:r>
      <w:r w:rsidR="00E3248D">
        <w:rPr>
          <w:b/>
        </w:rPr>
        <w:t>A</w:t>
      </w:r>
      <w:r w:rsidRPr="00B14CCB">
        <w:rPr>
          <w:b/>
        </w:rPr>
        <w:t xml:space="preserve">: </w:t>
      </w:r>
      <w:r w:rsidR="00B14CCB">
        <w:rPr>
          <w:b/>
        </w:rPr>
        <w:t>Model specific descriptions of the v</w:t>
      </w:r>
      <w:r w:rsidRPr="00B14CCB">
        <w:rPr>
          <w:b/>
        </w:rPr>
        <w:t>accine mode of action</w:t>
      </w:r>
    </w:p>
    <w:tbl>
      <w:tblPr>
        <w:tblW w:w="14338" w:type="dxa"/>
        <w:tblLayout w:type="fixed"/>
        <w:tblLook w:val="04A0" w:firstRow="1" w:lastRow="0" w:firstColumn="1" w:lastColumn="0" w:noHBand="0" w:noVBand="1"/>
      </w:tblPr>
      <w:tblGrid>
        <w:gridCol w:w="1242"/>
        <w:gridCol w:w="142"/>
        <w:gridCol w:w="1769"/>
        <w:gridCol w:w="1398"/>
        <w:gridCol w:w="1398"/>
        <w:gridCol w:w="1398"/>
        <w:gridCol w:w="1398"/>
        <w:gridCol w:w="1398"/>
        <w:gridCol w:w="1398"/>
        <w:gridCol w:w="1398"/>
        <w:gridCol w:w="1399"/>
      </w:tblGrid>
      <w:tr w:rsidR="00445A65" w:rsidRPr="00A61099" w14:paraId="27C0228B" w14:textId="77777777" w:rsidTr="00F961CB">
        <w:trPr>
          <w:trHeight w:val="375"/>
        </w:trPr>
        <w:tc>
          <w:tcPr>
            <w:tcW w:w="1384" w:type="dxa"/>
            <w:gridSpan w:val="2"/>
            <w:tcBorders>
              <w:top w:val="nil"/>
              <w:left w:val="nil"/>
              <w:bottom w:val="single" w:sz="4" w:space="0" w:color="auto"/>
            </w:tcBorders>
            <w:shd w:val="clear" w:color="auto" w:fill="FFFFFF" w:themeFill="background1"/>
            <w:hideMark/>
          </w:tcPr>
          <w:p w14:paraId="12D17963" w14:textId="77777777" w:rsidR="00445A65" w:rsidRPr="00A61099" w:rsidRDefault="00445A65" w:rsidP="00F961CB">
            <w:pPr>
              <w:spacing w:after="0" w:line="240" w:lineRule="auto"/>
              <w:rPr>
                <w:rFonts w:ascii="Calibri" w:eastAsia="Times New Roman" w:hAnsi="Calibri" w:cs="Calibri"/>
                <w:bCs/>
                <w:color w:val="000000" w:themeColor="text1"/>
                <w:sz w:val="20"/>
                <w:szCs w:val="20"/>
                <w:lang w:eastAsia="en-GB"/>
              </w:rPr>
            </w:pPr>
            <w:r w:rsidRPr="00A61099">
              <w:rPr>
                <w:rFonts w:ascii="Calibri" w:eastAsia="Times New Roman" w:hAnsi="Calibri" w:cs="Calibri"/>
                <w:bCs/>
                <w:color w:val="000000" w:themeColor="text1"/>
                <w:sz w:val="20"/>
                <w:szCs w:val="20"/>
                <w:lang w:eastAsia="en-GB"/>
              </w:rPr>
              <w:t>MODEL</w:t>
            </w:r>
          </w:p>
        </w:tc>
        <w:tc>
          <w:tcPr>
            <w:tcW w:w="1769" w:type="dxa"/>
            <w:tcBorders>
              <w:top w:val="nil"/>
              <w:bottom w:val="single" w:sz="4" w:space="0" w:color="auto"/>
              <w:right w:val="single" w:sz="4" w:space="0" w:color="auto"/>
            </w:tcBorders>
            <w:shd w:val="clear" w:color="auto" w:fill="FFFFFF" w:themeFill="background1"/>
          </w:tcPr>
          <w:p w14:paraId="092A97C5" w14:textId="77777777" w:rsidR="00445A65" w:rsidRPr="00A61099" w:rsidRDefault="00445A65" w:rsidP="00F961CB">
            <w:pPr>
              <w:spacing w:after="0" w:line="240" w:lineRule="auto"/>
              <w:jc w:val="center"/>
              <w:rPr>
                <w:rFonts w:ascii="Calibri" w:eastAsia="Times New Roman" w:hAnsi="Calibri" w:cs="Calibri"/>
                <w:bCs/>
                <w:color w:val="000000" w:themeColor="text1"/>
                <w:sz w:val="20"/>
                <w:szCs w:val="20"/>
                <w:lang w:eastAsia="en-GB"/>
              </w:rPr>
            </w:pPr>
          </w:p>
        </w:tc>
        <w:tc>
          <w:tcPr>
            <w:tcW w:w="1398" w:type="dxa"/>
            <w:tcBorders>
              <w:top w:val="nil"/>
              <w:left w:val="single" w:sz="4" w:space="0" w:color="auto"/>
              <w:bottom w:val="single" w:sz="4" w:space="0" w:color="auto"/>
            </w:tcBorders>
            <w:shd w:val="clear" w:color="auto" w:fill="FFFFFF" w:themeFill="background1"/>
            <w:hideMark/>
          </w:tcPr>
          <w:p w14:paraId="420D1B03" w14:textId="77777777" w:rsidR="00445A65" w:rsidRPr="00A61099" w:rsidRDefault="00445A65" w:rsidP="00F961CB">
            <w:pPr>
              <w:spacing w:after="0" w:line="240" w:lineRule="auto"/>
              <w:jc w:val="center"/>
              <w:rPr>
                <w:rFonts w:ascii="Calibri" w:eastAsia="Times New Roman" w:hAnsi="Calibri" w:cs="Calibri"/>
                <w:bCs/>
                <w:color w:val="000000" w:themeColor="text1"/>
                <w:sz w:val="20"/>
                <w:szCs w:val="20"/>
                <w:lang w:eastAsia="en-GB"/>
              </w:rPr>
            </w:pPr>
            <w:r w:rsidRPr="00A61099">
              <w:rPr>
                <w:rFonts w:ascii="Calibri" w:eastAsia="Times New Roman" w:hAnsi="Calibri" w:cs="Calibri"/>
                <w:bCs/>
                <w:color w:val="000000" w:themeColor="text1"/>
                <w:sz w:val="20"/>
                <w:szCs w:val="20"/>
                <w:lang w:eastAsia="en-GB"/>
              </w:rPr>
              <w:t>Sanofi Pasteur</w:t>
            </w:r>
          </w:p>
        </w:tc>
        <w:tc>
          <w:tcPr>
            <w:tcW w:w="1398" w:type="dxa"/>
            <w:tcBorders>
              <w:top w:val="nil"/>
              <w:bottom w:val="single" w:sz="4" w:space="0" w:color="auto"/>
            </w:tcBorders>
            <w:shd w:val="clear" w:color="auto" w:fill="FFFFFF" w:themeFill="background1"/>
            <w:hideMark/>
          </w:tcPr>
          <w:p w14:paraId="0BD20FA5" w14:textId="77777777" w:rsidR="00445A65" w:rsidRPr="00A61099" w:rsidRDefault="00445A65" w:rsidP="00F961CB">
            <w:pPr>
              <w:spacing w:after="0" w:line="240" w:lineRule="auto"/>
              <w:jc w:val="center"/>
              <w:rPr>
                <w:rFonts w:ascii="Calibri" w:eastAsia="Times New Roman" w:hAnsi="Calibri" w:cs="Calibri"/>
                <w:bCs/>
                <w:color w:val="000000" w:themeColor="text1"/>
                <w:sz w:val="20"/>
                <w:szCs w:val="20"/>
                <w:lang w:eastAsia="en-GB"/>
              </w:rPr>
            </w:pPr>
            <w:r w:rsidRPr="00A61099">
              <w:rPr>
                <w:rFonts w:ascii="Calibri" w:eastAsia="Times New Roman" w:hAnsi="Calibri" w:cs="Calibri"/>
                <w:bCs/>
                <w:color w:val="000000" w:themeColor="text1"/>
                <w:sz w:val="20"/>
                <w:szCs w:val="20"/>
                <w:lang w:eastAsia="en-GB"/>
              </w:rPr>
              <w:t>Hopkins / UF</w:t>
            </w:r>
          </w:p>
        </w:tc>
        <w:tc>
          <w:tcPr>
            <w:tcW w:w="1398" w:type="dxa"/>
            <w:tcBorders>
              <w:top w:val="nil"/>
              <w:bottom w:val="single" w:sz="4" w:space="0" w:color="auto"/>
            </w:tcBorders>
            <w:shd w:val="clear" w:color="auto" w:fill="FFFFFF" w:themeFill="background1"/>
            <w:hideMark/>
          </w:tcPr>
          <w:p w14:paraId="14AEE058" w14:textId="77777777" w:rsidR="00445A65" w:rsidRPr="00A61099" w:rsidRDefault="00445A65" w:rsidP="00F961CB">
            <w:pPr>
              <w:spacing w:after="0" w:line="240" w:lineRule="auto"/>
              <w:jc w:val="center"/>
              <w:rPr>
                <w:rFonts w:ascii="Calibri" w:eastAsia="Times New Roman" w:hAnsi="Calibri" w:cs="Calibri"/>
                <w:bCs/>
                <w:color w:val="000000" w:themeColor="text1"/>
                <w:sz w:val="20"/>
                <w:szCs w:val="20"/>
                <w:lang w:eastAsia="en-GB"/>
              </w:rPr>
            </w:pPr>
            <w:r w:rsidRPr="00A61099">
              <w:rPr>
                <w:rFonts w:ascii="Calibri" w:eastAsia="Times New Roman" w:hAnsi="Calibri" w:cs="Calibri"/>
                <w:bCs/>
                <w:color w:val="000000" w:themeColor="text1"/>
                <w:sz w:val="20"/>
                <w:szCs w:val="20"/>
                <w:lang w:eastAsia="en-GB"/>
              </w:rPr>
              <w:t>Imperial</w:t>
            </w:r>
          </w:p>
        </w:tc>
        <w:tc>
          <w:tcPr>
            <w:tcW w:w="1398" w:type="dxa"/>
            <w:tcBorders>
              <w:top w:val="nil"/>
              <w:bottom w:val="single" w:sz="4" w:space="0" w:color="auto"/>
            </w:tcBorders>
            <w:shd w:val="clear" w:color="auto" w:fill="FFFFFF" w:themeFill="background1"/>
            <w:hideMark/>
          </w:tcPr>
          <w:p w14:paraId="13E15AAD" w14:textId="77777777" w:rsidR="00445A65" w:rsidRPr="00A61099" w:rsidRDefault="00445A65" w:rsidP="00F961CB">
            <w:pPr>
              <w:spacing w:after="0" w:line="240" w:lineRule="auto"/>
              <w:jc w:val="center"/>
              <w:rPr>
                <w:rFonts w:ascii="Calibri" w:eastAsia="Times New Roman" w:hAnsi="Calibri" w:cs="Calibri"/>
                <w:bCs/>
                <w:color w:val="000000" w:themeColor="text1"/>
                <w:sz w:val="20"/>
                <w:szCs w:val="20"/>
                <w:lang w:eastAsia="en-GB"/>
              </w:rPr>
            </w:pPr>
            <w:r w:rsidRPr="00A61099">
              <w:rPr>
                <w:rFonts w:ascii="Calibri" w:eastAsia="Times New Roman" w:hAnsi="Calibri" w:cs="Calibri"/>
                <w:bCs/>
                <w:color w:val="000000" w:themeColor="text1"/>
                <w:sz w:val="20"/>
                <w:szCs w:val="20"/>
                <w:lang w:eastAsia="en-GB"/>
              </w:rPr>
              <w:t>Duke</w:t>
            </w:r>
          </w:p>
        </w:tc>
        <w:tc>
          <w:tcPr>
            <w:tcW w:w="1398" w:type="dxa"/>
            <w:tcBorders>
              <w:top w:val="nil"/>
              <w:bottom w:val="single" w:sz="4" w:space="0" w:color="auto"/>
            </w:tcBorders>
            <w:shd w:val="clear" w:color="auto" w:fill="FFFFFF" w:themeFill="background1"/>
            <w:hideMark/>
          </w:tcPr>
          <w:p w14:paraId="476055FF" w14:textId="77777777" w:rsidR="00445A65" w:rsidRPr="00A61099" w:rsidRDefault="00445A65" w:rsidP="00F961CB">
            <w:pPr>
              <w:spacing w:after="0" w:line="240" w:lineRule="auto"/>
              <w:jc w:val="center"/>
              <w:rPr>
                <w:rFonts w:ascii="Calibri" w:eastAsia="Times New Roman" w:hAnsi="Calibri" w:cs="Calibri"/>
                <w:bCs/>
                <w:color w:val="000000" w:themeColor="text1"/>
                <w:sz w:val="20"/>
                <w:szCs w:val="20"/>
                <w:lang w:eastAsia="en-GB"/>
              </w:rPr>
            </w:pPr>
            <w:r w:rsidRPr="00A61099">
              <w:rPr>
                <w:rFonts w:ascii="Calibri" w:eastAsia="Times New Roman" w:hAnsi="Calibri" w:cs="Calibri"/>
                <w:bCs/>
                <w:color w:val="000000" w:themeColor="text1"/>
                <w:sz w:val="20"/>
                <w:szCs w:val="20"/>
                <w:lang w:eastAsia="en-GB"/>
              </w:rPr>
              <w:t>UF</w:t>
            </w:r>
          </w:p>
        </w:tc>
        <w:tc>
          <w:tcPr>
            <w:tcW w:w="1398" w:type="dxa"/>
            <w:tcBorders>
              <w:top w:val="nil"/>
              <w:bottom w:val="single" w:sz="4" w:space="0" w:color="auto"/>
            </w:tcBorders>
            <w:shd w:val="clear" w:color="auto" w:fill="FFFFFF" w:themeFill="background1"/>
            <w:hideMark/>
          </w:tcPr>
          <w:p w14:paraId="55CFE57C" w14:textId="77777777" w:rsidR="00445A65" w:rsidRPr="00A61099" w:rsidRDefault="00445A65" w:rsidP="00F961CB">
            <w:pPr>
              <w:spacing w:after="0" w:line="240" w:lineRule="auto"/>
              <w:jc w:val="center"/>
              <w:rPr>
                <w:rFonts w:ascii="Calibri" w:eastAsia="Times New Roman" w:hAnsi="Calibri" w:cs="Calibri"/>
                <w:bCs/>
                <w:color w:val="000000" w:themeColor="text1"/>
                <w:sz w:val="20"/>
                <w:szCs w:val="20"/>
                <w:lang w:eastAsia="en-GB"/>
              </w:rPr>
            </w:pPr>
            <w:r w:rsidRPr="00A61099">
              <w:rPr>
                <w:rFonts w:ascii="Calibri" w:eastAsia="Times New Roman" w:hAnsi="Calibri" w:cs="Calibri"/>
                <w:bCs/>
                <w:color w:val="000000" w:themeColor="text1"/>
                <w:sz w:val="20"/>
                <w:szCs w:val="20"/>
                <w:lang w:eastAsia="en-GB"/>
              </w:rPr>
              <w:t>UWA</w:t>
            </w:r>
          </w:p>
        </w:tc>
        <w:tc>
          <w:tcPr>
            <w:tcW w:w="1398" w:type="dxa"/>
            <w:tcBorders>
              <w:top w:val="nil"/>
              <w:bottom w:val="single" w:sz="4" w:space="0" w:color="auto"/>
            </w:tcBorders>
            <w:shd w:val="clear" w:color="auto" w:fill="FFFFFF" w:themeFill="background1"/>
            <w:hideMark/>
          </w:tcPr>
          <w:p w14:paraId="23A3BBB0" w14:textId="77777777" w:rsidR="00445A65" w:rsidRPr="00A61099" w:rsidRDefault="00445A65" w:rsidP="00F961CB">
            <w:pPr>
              <w:spacing w:after="0" w:line="240" w:lineRule="auto"/>
              <w:jc w:val="center"/>
              <w:rPr>
                <w:rFonts w:ascii="Calibri" w:eastAsia="Times New Roman" w:hAnsi="Calibri" w:cs="Calibri"/>
                <w:bCs/>
                <w:color w:val="000000" w:themeColor="text1"/>
                <w:sz w:val="20"/>
                <w:szCs w:val="20"/>
                <w:lang w:eastAsia="en-GB"/>
              </w:rPr>
            </w:pPr>
            <w:r w:rsidRPr="00A61099">
              <w:rPr>
                <w:rFonts w:ascii="Calibri" w:eastAsia="Times New Roman" w:hAnsi="Calibri" w:cs="Calibri"/>
                <w:bCs/>
                <w:color w:val="000000" w:themeColor="text1"/>
                <w:sz w:val="20"/>
                <w:szCs w:val="20"/>
                <w:lang w:eastAsia="en-GB"/>
              </w:rPr>
              <w:t>Notre Dame</w:t>
            </w:r>
          </w:p>
        </w:tc>
        <w:tc>
          <w:tcPr>
            <w:tcW w:w="1399" w:type="dxa"/>
            <w:tcBorders>
              <w:top w:val="nil"/>
              <w:bottom w:val="single" w:sz="4" w:space="0" w:color="auto"/>
            </w:tcBorders>
            <w:shd w:val="clear" w:color="auto" w:fill="FFFFFF" w:themeFill="background1"/>
            <w:hideMark/>
          </w:tcPr>
          <w:p w14:paraId="5B640928" w14:textId="77777777" w:rsidR="00445A65" w:rsidRPr="00A61099" w:rsidRDefault="00445A65" w:rsidP="00F961CB">
            <w:pPr>
              <w:spacing w:after="0" w:line="240" w:lineRule="auto"/>
              <w:jc w:val="center"/>
              <w:rPr>
                <w:rFonts w:ascii="Calibri" w:eastAsia="Times New Roman" w:hAnsi="Calibri" w:cs="Calibri"/>
                <w:bCs/>
                <w:color w:val="000000" w:themeColor="text1"/>
                <w:sz w:val="20"/>
                <w:szCs w:val="20"/>
                <w:lang w:eastAsia="en-GB"/>
              </w:rPr>
            </w:pPr>
            <w:r w:rsidRPr="00A61099">
              <w:rPr>
                <w:rFonts w:ascii="Calibri" w:eastAsia="Times New Roman" w:hAnsi="Calibri" w:cs="Calibri"/>
                <w:bCs/>
                <w:color w:val="000000" w:themeColor="text1"/>
                <w:sz w:val="20"/>
                <w:szCs w:val="20"/>
                <w:lang w:eastAsia="en-GB"/>
              </w:rPr>
              <w:t>Exeter / Oxford</w:t>
            </w:r>
          </w:p>
        </w:tc>
      </w:tr>
      <w:tr w:rsidR="00445A65" w:rsidRPr="00A61099" w14:paraId="77305897" w14:textId="77777777" w:rsidTr="00F961CB">
        <w:trPr>
          <w:trHeight w:val="300"/>
        </w:trPr>
        <w:tc>
          <w:tcPr>
            <w:tcW w:w="3153" w:type="dxa"/>
            <w:gridSpan w:val="3"/>
            <w:tcBorders>
              <w:top w:val="single" w:sz="4" w:space="0" w:color="auto"/>
              <w:left w:val="nil"/>
              <w:right w:val="single" w:sz="4" w:space="0" w:color="auto"/>
            </w:tcBorders>
            <w:shd w:val="clear" w:color="000000" w:fill="F2F2F2"/>
          </w:tcPr>
          <w:p w14:paraId="10F9EE43" w14:textId="77777777" w:rsidR="00445A65" w:rsidRPr="00A61099" w:rsidRDefault="00445A65" w:rsidP="00F961CB">
            <w:pPr>
              <w:spacing w:after="0" w:line="240" w:lineRule="auto"/>
              <w:rPr>
                <w:rFonts w:ascii="Calibri" w:eastAsia="Times New Roman" w:hAnsi="Calibri" w:cs="Calibri"/>
                <w:color w:val="000000" w:themeColor="text1"/>
                <w:sz w:val="20"/>
                <w:szCs w:val="20"/>
                <w:lang w:eastAsia="en-GB"/>
              </w:rPr>
            </w:pPr>
            <w:r w:rsidRPr="00A61099">
              <w:rPr>
                <w:rFonts w:ascii="Calibri" w:eastAsia="Times New Roman" w:hAnsi="Calibri" w:cs="Calibri"/>
                <w:color w:val="000000" w:themeColor="text1"/>
                <w:sz w:val="20"/>
                <w:szCs w:val="20"/>
                <w:lang w:eastAsia="en-GB"/>
              </w:rPr>
              <w:t>Natural infection</w:t>
            </w:r>
          </w:p>
        </w:tc>
        <w:tc>
          <w:tcPr>
            <w:tcW w:w="1398" w:type="dxa"/>
            <w:tcBorders>
              <w:top w:val="single" w:sz="4" w:space="0" w:color="auto"/>
              <w:left w:val="single" w:sz="4" w:space="0" w:color="auto"/>
            </w:tcBorders>
            <w:shd w:val="clear" w:color="000000" w:fill="F2F2F2"/>
          </w:tcPr>
          <w:p w14:paraId="5F3649EB"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8" w:type="dxa"/>
            <w:tcBorders>
              <w:top w:val="single" w:sz="4" w:space="0" w:color="auto"/>
            </w:tcBorders>
            <w:shd w:val="clear" w:color="000000" w:fill="F2F2F2"/>
          </w:tcPr>
          <w:p w14:paraId="40BEA472"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8" w:type="dxa"/>
            <w:tcBorders>
              <w:top w:val="single" w:sz="4" w:space="0" w:color="auto"/>
            </w:tcBorders>
            <w:shd w:val="clear" w:color="000000" w:fill="F2F2F2"/>
          </w:tcPr>
          <w:p w14:paraId="6CB78EB7"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8" w:type="dxa"/>
            <w:tcBorders>
              <w:top w:val="single" w:sz="4" w:space="0" w:color="auto"/>
            </w:tcBorders>
            <w:shd w:val="clear" w:color="auto" w:fill="F2F2F2" w:themeFill="background1" w:themeFillShade="F2"/>
          </w:tcPr>
          <w:p w14:paraId="58EAF27F"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8" w:type="dxa"/>
            <w:tcBorders>
              <w:top w:val="single" w:sz="4" w:space="0" w:color="auto"/>
            </w:tcBorders>
            <w:shd w:val="clear" w:color="000000" w:fill="F2F2F2"/>
          </w:tcPr>
          <w:p w14:paraId="4865E141"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8" w:type="dxa"/>
            <w:tcBorders>
              <w:top w:val="single" w:sz="4" w:space="0" w:color="auto"/>
            </w:tcBorders>
            <w:shd w:val="clear" w:color="000000" w:fill="F2F2F2"/>
          </w:tcPr>
          <w:p w14:paraId="077F62C4"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8" w:type="dxa"/>
            <w:tcBorders>
              <w:top w:val="single" w:sz="4" w:space="0" w:color="auto"/>
            </w:tcBorders>
            <w:shd w:val="clear" w:color="000000" w:fill="F2F2F2"/>
          </w:tcPr>
          <w:p w14:paraId="3CFCBF1D"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9" w:type="dxa"/>
            <w:tcBorders>
              <w:top w:val="single" w:sz="4" w:space="0" w:color="auto"/>
            </w:tcBorders>
            <w:shd w:val="clear" w:color="000000" w:fill="F2F2F2"/>
          </w:tcPr>
          <w:p w14:paraId="473C8112"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r>
      <w:tr w:rsidR="00445A65" w:rsidRPr="00A61099" w14:paraId="4984E2EB" w14:textId="77777777" w:rsidTr="00F961CB">
        <w:trPr>
          <w:trHeight w:val="300"/>
        </w:trPr>
        <w:tc>
          <w:tcPr>
            <w:tcW w:w="1242" w:type="dxa"/>
            <w:tcBorders>
              <w:left w:val="nil"/>
              <w:bottom w:val="nil"/>
            </w:tcBorders>
            <w:shd w:val="clear" w:color="auto" w:fill="FFFFFF" w:themeFill="background1"/>
          </w:tcPr>
          <w:p w14:paraId="14C39CE2" w14:textId="77777777" w:rsidR="00445A65" w:rsidRPr="00A61099" w:rsidRDefault="00445A65" w:rsidP="00F961CB">
            <w:pPr>
              <w:spacing w:after="0" w:line="240" w:lineRule="auto"/>
              <w:rPr>
                <w:rFonts w:ascii="Calibri" w:eastAsia="Times New Roman" w:hAnsi="Calibri" w:cs="Calibri"/>
                <w:color w:val="000000" w:themeColor="text1"/>
                <w:sz w:val="20"/>
                <w:szCs w:val="20"/>
                <w:lang w:eastAsia="en-GB"/>
              </w:rPr>
            </w:pPr>
          </w:p>
        </w:tc>
        <w:tc>
          <w:tcPr>
            <w:tcW w:w="1911" w:type="dxa"/>
            <w:gridSpan w:val="2"/>
            <w:tcBorders>
              <w:bottom w:val="nil"/>
              <w:right w:val="single" w:sz="4" w:space="0" w:color="auto"/>
            </w:tcBorders>
            <w:shd w:val="clear" w:color="auto" w:fill="FFFFFF" w:themeFill="background1"/>
            <w:vAlign w:val="center"/>
          </w:tcPr>
          <w:p w14:paraId="2F663FAD" w14:textId="77777777" w:rsidR="00445A65" w:rsidRPr="00A61099" w:rsidRDefault="00445A65" w:rsidP="00F961CB">
            <w:pPr>
              <w:spacing w:after="0" w:line="240" w:lineRule="auto"/>
              <w:jc w:val="center"/>
              <w:rPr>
                <w:rFonts w:ascii="Calibri" w:eastAsia="Times New Roman" w:hAnsi="Calibri" w:cs="Calibri"/>
                <w:color w:val="000000" w:themeColor="text1"/>
                <w:sz w:val="20"/>
                <w:szCs w:val="20"/>
                <w:lang w:eastAsia="en-GB"/>
              </w:rPr>
            </w:pPr>
            <w:r w:rsidRPr="00A61099">
              <w:rPr>
                <w:rFonts w:ascii="Calibri" w:eastAsia="Times New Roman" w:hAnsi="Calibri" w:cs="Calibri"/>
                <w:color w:val="000000" w:themeColor="text1"/>
                <w:sz w:val="20"/>
                <w:szCs w:val="20"/>
                <w:lang w:eastAsia="en-GB"/>
              </w:rPr>
              <w:t>Transient protection</w:t>
            </w:r>
          </w:p>
        </w:tc>
        <w:tc>
          <w:tcPr>
            <w:tcW w:w="1398" w:type="dxa"/>
            <w:tcBorders>
              <w:left w:val="single" w:sz="4" w:space="0" w:color="auto"/>
            </w:tcBorders>
            <w:shd w:val="clear" w:color="auto" w:fill="FFFFFF" w:themeFill="background1"/>
          </w:tcPr>
          <w:p w14:paraId="00A5A4D2"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Life-long homologous protection, 1-year heterologous protection</w:t>
            </w:r>
          </w:p>
        </w:tc>
        <w:tc>
          <w:tcPr>
            <w:tcW w:w="1398" w:type="dxa"/>
            <w:shd w:val="clear" w:color="auto" w:fill="FFFFFF" w:themeFill="background1"/>
          </w:tcPr>
          <w:p w14:paraId="6DB0BF03"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Life-long homologous protection against infection; 1-year heterologous protection</w:t>
            </w:r>
          </w:p>
        </w:tc>
        <w:tc>
          <w:tcPr>
            <w:tcW w:w="1398" w:type="dxa"/>
            <w:shd w:val="clear" w:color="auto" w:fill="FFFFFF" w:themeFill="background1"/>
          </w:tcPr>
          <w:p w14:paraId="309CD52C"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Life-long homologous protection against infection; 1-year heterologous protection</w:t>
            </w:r>
          </w:p>
        </w:tc>
        <w:tc>
          <w:tcPr>
            <w:tcW w:w="1398" w:type="dxa"/>
            <w:shd w:val="clear" w:color="auto" w:fill="FFFFFF" w:themeFill="background1"/>
          </w:tcPr>
          <w:p w14:paraId="0BAABA66"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Life-long homologous protection against infection; 2 year heterologous protection, against symptom development and onward transmission.</w:t>
            </w:r>
          </w:p>
        </w:tc>
        <w:tc>
          <w:tcPr>
            <w:tcW w:w="1398" w:type="dxa"/>
            <w:shd w:val="clear" w:color="auto" w:fill="FFFFFF" w:themeFill="background1"/>
          </w:tcPr>
          <w:p w14:paraId="2FBDA47C"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Life-long homologous protection against infection, 2-year heterologous protection.</w:t>
            </w:r>
          </w:p>
        </w:tc>
        <w:tc>
          <w:tcPr>
            <w:tcW w:w="1398" w:type="dxa"/>
            <w:shd w:val="clear" w:color="auto" w:fill="FFFFFF" w:themeFill="background1"/>
          </w:tcPr>
          <w:p w14:paraId="195C0330"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Life-long homologous protection against infection, 6-month heterologous protection.</w:t>
            </w:r>
          </w:p>
        </w:tc>
        <w:tc>
          <w:tcPr>
            <w:tcW w:w="1398" w:type="dxa"/>
            <w:shd w:val="clear" w:color="auto" w:fill="FFFFFF" w:themeFill="background1"/>
          </w:tcPr>
          <w:p w14:paraId="79F30F9E"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Life-long homologous protection against infection, 2-year heterologous protection</w:t>
            </w:r>
          </w:p>
        </w:tc>
        <w:tc>
          <w:tcPr>
            <w:tcW w:w="1399" w:type="dxa"/>
            <w:shd w:val="clear" w:color="auto" w:fill="FFFFFF" w:themeFill="background1"/>
          </w:tcPr>
          <w:p w14:paraId="7CAB0FAA" w14:textId="5AF9FE0B" w:rsidR="00445A65" w:rsidRPr="00A61099" w:rsidRDefault="00FE7B9F" w:rsidP="00FE7B9F">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Life-long homologous protection against infection</w:t>
            </w:r>
            <w:r>
              <w:rPr>
                <w:rFonts w:ascii="Calibri" w:eastAsia="Times New Roman" w:hAnsi="Calibri" w:cs="Calibri"/>
                <w:color w:val="000000" w:themeColor="text1"/>
                <w:sz w:val="16"/>
                <w:szCs w:val="16"/>
                <w:lang w:eastAsia="en-GB"/>
              </w:rPr>
              <w:t>;</w:t>
            </w:r>
            <w:r w:rsidRPr="00A61099">
              <w:rPr>
                <w:rFonts w:ascii="Calibri" w:eastAsia="Times New Roman" w:hAnsi="Calibri" w:cs="Calibri"/>
                <w:color w:val="000000" w:themeColor="text1"/>
                <w:sz w:val="16"/>
                <w:szCs w:val="16"/>
                <w:lang w:eastAsia="en-GB"/>
              </w:rPr>
              <w:t xml:space="preserve"> </w:t>
            </w:r>
            <w:r w:rsidR="00445A65" w:rsidRPr="00A61099">
              <w:rPr>
                <w:rFonts w:ascii="Calibri" w:eastAsia="Times New Roman" w:hAnsi="Calibri" w:cs="Calibri"/>
                <w:color w:val="000000" w:themeColor="text1"/>
                <w:sz w:val="16"/>
                <w:szCs w:val="16"/>
                <w:lang w:eastAsia="en-GB"/>
              </w:rPr>
              <w:t>No</w:t>
            </w:r>
            <w:r w:rsidR="00445CE5">
              <w:rPr>
                <w:rFonts w:ascii="Calibri" w:eastAsia="Times New Roman" w:hAnsi="Calibri" w:cs="Calibri"/>
                <w:color w:val="000000" w:themeColor="text1"/>
                <w:sz w:val="16"/>
                <w:szCs w:val="16"/>
                <w:lang w:eastAsia="en-GB"/>
              </w:rPr>
              <w:t xml:space="preserve"> heterologous protection</w:t>
            </w:r>
          </w:p>
        </w:tc>
      </w:tr>
      <w:tr w:rsidR="00445A65" w:rsidRPr="00A61099" w14:paraId="31BDCEA7" w14:textId="77777777" w:rsidTr="00F961CB">
        <w:trPr>
          <w:trHeight w:val="300"/>
        </w:trPr>
        <w:tc>
          <w:tcPr>
            <w:tcW w:w="1242" w:type="dxa"/>
            <w:tcBorders>
              <w:left w:val="nil"/>
              <w:bottom w:val="nil"/>
            </w:tcBorders>
            <w:shd w:val="clear" w:color="000000" w:fill="F2F2F2"/>
          </w:tcPr>
          <w:p w14:paraId="0A023C72" w14:textId="77777777" w:rsidR="00445A65" w:rsidRPr="00A61099" w:rsidRDefault="00445A65" w:rsidP="00F961CB">
            <w:pPr>
              <w:spacing w:after="0" w:line="240" w:lineRule="auto"/>
              <w:rPr>
                <w:rFonts w:ascii="Calibri" w:eastAsia="Times New Roman" w:hAnsi="Calibri" w:cs="Calibri"/>
                <w:color w:val="000000" w:themeColor="text1"/>
                <w:sz w:val="20"/>
                <w:szCs w:val="20"/>
                <w:lang w:eastAsia="en-GB"/>
              </w:rPr>
            </w:pPr>
          </w:p>
        </w:tc>
        <w:tc>
          <w:tcPr>
            <w:tcW w:w="1911" w:type="dxa"/>
            <w:gridSpan w:val="2"/>
            <w:tcBorders>
              <w:bottom w:val="nil"/>
              <w:right w:val="single" w:sz="4" w:space="0" w:color="auto"/>
            </w:tcBorders>
            <w:shd w:val="clear" w:color="000000" w:fill="F2F2F2"/>
            <w:vAlign w:val="center"/>
          </w:tcPr>
          <w:p w14:paraId="12D5AA8C" w14:textId="77777777" w:rsidR="00445A65" w:rsidRPr="00A61099" w:rsidRDefault="00445A65" w:rsidP="00F961CB">
            <w:pPr>
              <w:spacing w:after="0" w:line="240" w:lineRule="auto"/>
              <w:jc w:val="center"/>
              <w:rPr>
                <w:rFonts w:ascii="Calibri" w:eastAsia="Times New Roman" w:hAnsi="Calibri" w:cs="Calibri"/>
                <w:color w:val="000000" w:themeColor="text1"/>
                <w:sz w:val="20"/>
                <w:szCs w:val="20"/>
                <w:lang w:eastAsia="en-GB"/>
              </w:rPr>
            </w:pPr>
            <w:r w:rsidRPr="00A61099">
              <w:rPr>
                <w:rFonts w:ascii="Calibri" w:eastAsia="Times New Roman" w:hAnsi="Calibri" w:cs="Calibri"/>
                <w:color w:val="000000" w:themeColor="text1"/>
                <w:sz w:val="20"/>
                <w:szCs w:val="20"/>
                <w:lang w:eastAsia="en-GB"/>
              </w:rPr>
              <w:t>Immunopathogenic response</w:t>
            </w:r>
          </w:p>
        </w:tc>
        <w:tc>
          <w:tcPr>
            <w:tcW w:w="11185" w:type="dxa"/>
            <w:gridSpan w:val="8"/>
            <w:tcBorders>
              <w:left w:val="single" w:sz="4" w:space="0" w:color="auto"/>
            </w:tcBorders>
            <w:shd w:val="clear" w:color="000000" w:fill="F2F2F2"/>
          </w:tcPr>
          <w:p w14:paraId="29FC7B20"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Increasing the immune memory of past infections by one</w:t>
            </w:r>
          </w:p>
          <w:p w14:paraId="560C524A"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r>
      <w:tr w:rsidR="00445A65" w:rsidRPr="00A61099" w14:paraId="22AA66C2" w14:textId="77777777" w:rsidTr="00F961CB">
        <w:trPr>
          <w:trHeight w:val="300"/>
        </w:trPr>
        <w:tc>
          <w:tcPr>
            <w:tcW w:w="3153" w:type="dxa"/>
            <w:gridSpan w:val="3"/>
            <w:tcBorders>
              <w:left w:val="nil"/>
              <w:bottom w:val="nil"/>
              <w:right w:val="single" w:sz="4" w:space="0" w:color="auto"/>
            </w:tcBorders>
            <w:shd w:val="clear" w:color="auto" w:fill="FFFFFF" w:themeFill="background1"/>
          </w:tcPr>
          <w:p w14:paraId="59ADBA7A" w14:textId="77777777" w:rsidR="00445A65" w:rsidRPr="00A61099" w:rsidRDefault="00445A65" w:rsidP="00F961CB">
            <w:pPr>
              <w:spacing w:after="0" w:line="240" w:lineRule="auto"/>
              <w:rPr>
                <w:rFonts w:ascii="Calibri" w:eastAsia="Times New Roman" w:hAnsi="Calibri" w:cs="Calibri"/>
                <w:color w:val="000000" w:themeColor="text1"/>
                <w:sz w:val="20"/>
                <w:szCs w:val="20"/>
                <w:lang w:eastAsia="en-GB"/>
              </w:rPr>
            </w:pPr>
            <w:r w:rsidRPr="00A61099">
              <w:rPr>
                <w:rFonts w:ascii="Calibri" w:eastAsia="Times New Roman" w:hAnsi="Calibri" w:cs="Calibri"/>
                <w:color w:val="000000" w:themeColor="text1"/>
                <w:sz w:val="20"/>
                <w:szCs w:val="20"/>
                <w:lang w:eastAsia="en-GB"/>
              </w:rPr>
              <w:t>Vaccine in seronegative</w:t>
            </w:r>
          </w:p>
        </w:tc>
        <w:tc>
          <w:tcPr>
            <w:tcW w:w="1398" w:type="dxa"/>
            <w:tcBorders>
              <w:left w:val="single" w:sz="4" w:space="0" w:color="auto"/>
            </w:tcBorders>
            <w:shd w:val="clear" w:color="auto" w:fill="FFFFFF" w:themeFill="background1"/>
          </w:tcPr>
          <w:p w14:paraId="78D7C40A"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8" w:type="dxa"/>
            <w:shd w:val="clear" w:color="auto" w:fill="FFFFFF" w:themeFill="background1"/>
          </w:tcPr>
          <w:p w14:paraId="0888BF27"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8" w:type="dxa"/>
            <w:shd w:val="clear" w:color="auto" w:fill="FFFFFF" w:themeFill="background1"/>
          </w:tcPr>
          <w:p w14:paraId="0119F70A"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8" w:type="dxa"/>
            <w:shd w:val="clear" w:color="auto" w:fill="FFFFFF" w:themeFill="background1"/>
          </w:tcPr>
          <w:p w14:paraId="5C26F321"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8" w:type="dxa"/>
            <w:shd w:val="clear" w:color="auto" w:fill="FFFFFF" w:themeFill="background1"/>
          </w:tcPr>
          <w:p w14:paraId="5D4A112E"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8" w:type="dxa"/>
            <w:shd w:val="clear" w:color="auto" w:fill="FFFFFF" w:themeFill="background1"/>
          </w:tcPr>
          <w:p w14:paraId="7D81EEFE"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8" w:type="dxa"/>
            <w:shd w:val="clear" w:color="auto" w:fill="FFFFFF" w:themeFill="background1"/>
          </w:tcPr>
          <w:p w14:paraId="7CBA8BF1"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9" w:type="dxa"/>
            <w:shd w:val="clear" w:color="auto" w:fill="FFFFFF" w:themeFill="background1"/>
          </w:tcPr>
          <w:p w14:paraId="1B979E8E"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r>
      <w:tr w:rsidR="00445A65" w:rsidRPr="00A61099" w14:paraId="088214BA" w14:textId="77777777" w:rsidTr="00A61099">
        <w:trPr>
          <w:trHeight w:val="300"/>
        </w:trPr>
        <w:tc>
          <w:tcPr>
            <w:tcW w:w="1242" w:type="dxa"/>
            <w:tcBorders>
              <w:top w:val="nil"/>
              <w:left w:val="nil"/>
              <w:bottom w:val="nil"/>
            </w:tcBorders>
            <w:shd w:val="clear" w:color="auto" w:fill="E7E6E6" w:themeFill="background2"/>
          </w:tcPr>
          <w:p w14:paraId="7E34EAA7" w14:textId="77777777" w:rsidR="00445A65" w:rsidRPr="00A61099" w:rsidRDefault="00445A65" w:rsidP="00F961CB">
            <w:pPr>
              <w:spacing w:after="0" w:line="240" w:lineRule="auto"/>
              <w:rPr>
                <w:rFonts w:ascii="Calibri" w:eastAsia="Times New Roman" w:hAnsi="Calibri" w:cs="Calibri"/>
                <w:color w:val="000000" w:themeColor="text1"/>
                <w:sz w:val="20"/>
                <w:szCs w:val="20"/>
                <w:lang w:eastAsia="en-GB"/>
              </w:rPr>
            </w:pPr>
          </w:p>
        </w:tc>
        <w:tc>
          <w:tcPr>
            <w:tcW w:w="1911" w:type="dxa"/>
            <w:gridSpan w:val="2"/>
            <w:tcBorders>
              <w:top w:val="nil"/>
              <w:bottom w:val="nil"/>
              <w:right w:val="single" w:sz="4" w:space="0" w:color="auto"/>
            </w:tcBorders>
            <w:shd w:val="clear" w:color="auto" w:fill="E7E6E6" w:themeFill="background2"/>
            <w:vAlign w:val="center"/>
          </w:tcPr>
          <w:p w14:paraId="4F1B0220" w14:textId="77777777" w:rsidR="00445A65" w:rsidRPr="00A61099" w:rsidRDefault="00445A65" w:rsidP="00A61099">
            <w:pPr>
              <w:spacing w:after="0" w:line="240" w:lineRule="auto"/>
              <w:jc w:val="center"/>
              <w:rPr>
                <w:rFonts w:ascii="Calibri" w:eastAsia="Times New Roman" w:hAnsi="Calibri" w:cs="Calibri"/>
                <w:color w:val="000000" w:themeColor="text1"/>
                <w:sz w:val="20"/>
                <w:szCs w:val="20"/>
                <w:lang w:eastAsia="en-GB"/>
              </w:rPr>
            </w:pPr>
            <w:r w:rsidRPr="00A61099">
              <w:rPr>
                <w:rFonts w:ascii="Calibri" w:eastAsia="Times New Roman" w:hAnsi="Calibri" w:cs="Calibri"/>
                <w:color w:val="000000" w:themeColor="text1"/>
                <w:sz w:val="20"/>
                <w:szCs w:val="20"/>
                <w:lang w:eastAsia="en-GB"/>
              </w:rPr>
              <w:t>Transient protection</w:t>
            </w:r>
          </w:p>
        </w:tc>
        <w:tc>
          <w:tcPr>
            <w:tcW w:w="1398" w:type="dxa"/>
            <w:tcBorders>
              <w:left w:val="single" w:sz="4" w:space="0" w:color="auto"/>
            </w:tcBorders>
            <w:shd w:val="clear" w:color="auto" w:fill="E7E6E6" w:themeFill="background2"/>
          </w:tcPr>
          <w:p w14:paraId="5A2D7066"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Imperfect, serotype-specific protection against infection (increasing with disease severity) of 35% for 1.5 years</w:t>
            </w:r>
          </w:p>
        </w:tc>
        <w:tc>
          <w:tcPr>
            <w:tcW w:w="1398" w:type="dxa"/>
            <w:shd w:val="clear" w:color="auto" w:fill="E7E6E6" w:themeFill="background2"/>
          </w:tcPr>
          <w:p w14:paraId="1C3DCCAD"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Protection against infection with any of the 4 serotypes of 1.1 years</w:t>
            </w:r>
          </w:p>
        </w:tc>
        <w:tc>
          <w:tcPr>
            <w:tcW w:w="1398" w:type="dxa"/>
            <w:shd w:val="clear" w:color="auto" w:fill="E7E6E6" w:themeFill="background2"/>
          </w:tcPr>
          <w:p w14:paraId="09E1D79A"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Protection against infection with any of the 4 serotypes of 7 months</w:t>
            </w:r>
          </w:p>
        </w:tc>
        <w:tc>
          <w:tcPr>
            <w:tcW w:w="1398" w:type="dxa"/>
            <w:shd w:val="clear" w:color="auto" w:fill="E7E6E6" w:themeFill="background2"/>
          </w:tcPr>
          <w:p w14:paraId="3818DEC0"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Protection against symptom development and onward transmission with any of the 4 serotypes of 8 month.</w:t>
            </w:r>
          </w:p>
        </w:tc>
        <w:tc>
          <w:tcPr>
            <w:tcW w:w="1398" w:type="dxa"/>
            <w:shd w:val="clear" w:color="auto" w:fill="E7E6E6" w:themeFill="background2"/>
          </w:tcPr>
          <w:p w14:paraId="2D26413F"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Protection against infection with any of the 4 serotypes of 1 year</w:t>
            </w:r>
            <w:r w:rsidRPr="00A61099" w:rsidDel="00F863F1">
              <w:rPr>
                <w:rFonts w:ascii="Calibri" w:eastAsia="Times New Roman" w:hAnsi="Calibri" w:cs="Calibri"/>
                <w:color w:val="000000" w:themeColor="text1"/>
                <w:sz w:val="16"/>
                <w:szCs w:val="16"/>
                <w:lang w:eastAsia="en-GB"/>
              </w:rPr>
              <w:t xml:space="preserve"> </w:t>
            </w:r>
          </w:p>
        </w:tc>
        <w:tc>
          <w:tcPr>
            <w:tcW w:w="1398" w:type="dxa"/>
            <w:shd w:val="clear" w:color="auto" w:fill="E7E6E6" w:themeFill="background2"/>
          </w:tcPr>
          <w:p w14:paraId="2FA1CB08"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 xml:space="preserve"> Serotype specific probability of 1 year protection with subsequent 1 year half-life.</w:t>
            </w:r>
          </w:p>
        </w:tc>
        <w:tc>
          <w:tcPr>
            <w:tcW w:w="1398" w:type="dxa"/>
            <w:shd w:val="clear" w:color="auto" w:fill="E7E6E6" w:themeFill="background2"/>
          </w:tcPr>
          <w:p w14:paraId="6CF6ADC6"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Protection against infection with any of the 4 serotypes of 1 year</w:t>
            </w:r>
          </w:p>
        </w:tc>
        <w:tc>
          <w:tcPr>
            <w:tcW w:w="1399" w:type="dxa"/>
            <w:shd w:val="clear" w:color="auto" w:fill="E7E6E6" w:themeFill="background2"/>
          </w:tcPr>
          <w:p w14:paraId="4E7563CA"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Protection against infection with any of the 4 serotypes of 1 year</w:t>
            </w:r>
          </w:p>
        </w:tc>
      </w:tr>
      <w:tr w:rsidR="00445A65" w:rsidRPr="00A61099" w14:paraId="339665D5" w14:textId="77777777" w:rsidTr="00A61099">
        <w:trPr>
          <w:trHeight w:val="300"/>
        </w:trPr>
        <w:tc>
          <w:tcPr>
            <w:tcW w:w="1242" w:type="dxa"/>
            <w:tcBorders>
              <w:top w:val="nil"/>
              <w:left w:val="nil"/>
              <w:bottom w:val="nil"/>
            </w:tcBorders>
            <w:shd w:val="clear" w:color="auto" w:fill="FFFFFF" w:themeFill="background1"/>
          </w:tcPr>
          <w:p w14:paraId="0161DCF8" w14:textId="77777777" w:rsidR="00445A65" w:rsidRPr="00A61099" w:rsidRDefault="00445A65" w:rsidP="00F961CB">
            <w:pPr>
              <w:spacing w:after="0" w:line="240" w:lineRule="auto"/>
              <w:rPr>
                <w:rFonts w:ascii="Calibri" w:eastAsia="Times New Roman" w:hAnsi="Calibri" w:cs="Calibri"/>
                <w:color w:val="000000" w:themeColor="text1"/>
                <w:sz w:val="20"/>
                <w:szCs w:val="20"/>
                <w:lang w:eastAsia="en-GB"/>
              </w:rPr>
            </w:pPr>
          </w:p>
        </w:tc>
        <w:tc>
          <w:tcPr>
            <w:tcW w:w="1911" w:type="dxa"/>
            <w:gridSpan w:val="2"/>
            <w:tcBorders>
              <w:top w:val="nil"/>
              <w:bottom w:val="nil"/>
              <w:right w:val="single" w:sz="4" w:space="0" w:color="auto"/>
            </w:tcBorders>
            <w:shd w:val="clear" w:color="auto" w:fill="FFFFFF" w:themeFill="background1"/>
            <w:vAlign w:val="center"/>
          </w:tcPr>
          <w:p w14:paraId="2266CED1" w14:textId="77777777" w:rsidR="00445A65" w:rsidRPr="00A61099" w:rsidRDefault="00445A65" w:rsidP="00A61099">
            <w:pPr>
              <w:spacing w:after="0" w:line="240" w:lineRule="auto"/>
              <w:jc w:val="center"/>
              <w:rPr>
                <w:rFonts w:ascii="Calibri" w:eastAsia="Times New Roman" w:hAnsi="Calibri" w:cs="Calibri"/>
                <w:color w:val="000000" w:themeColor="text1"/>
                <w:sz w:val="20"/>
                <w:szCs w:val="20"/>
                <w:lang w:eastAsia="en-GB"/>
              </w:rPr>
            </w:pPr>
            <w:r w:rsidRPr="00A61099">
              <w:rPr>
                <w:rFonts w:ascii="Calibri" w:eastAsia="Times New Roman" w:hAnsi="Calibri" w:cs="Calibri"/>
                <w:color w:val="000000" w:themeColor="text1"/>
                <w:sz w:val="20"/>
                <w:szCs w:val="20"/>
                <w:lang w:eastAsia="en-GB"/>
              </w:rPr>
              <w:t>Immunopathogenic response</w:t>
            </w:r>
          </w:p>
        </w:tc>
        <w:tc>
          <w:tcPr>
            <w:tcW w:w="11185" w:type="dxa"/>
            <w:gridSpan w:val="8"/>
            <w:tcBorders>
              <w:left w:val="single" w:sz="4" w:space="0" w:color="auto"/>
            </w:tcBorders>
            <w:shd w:val="clear" w:color="auto" w:fill="FFFFFF" w:themeFill="background1"/>
          </w:tcPr>
          <w:p w14:paraId="5D18EEA8"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Same as natural infection</w:t>
            </w:r>
          </w:p>
          <w:p w14:paraId="20889A5B"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r>
      <w:tr w:rsidR="00445A65" w:rsidRPr="00A61099" w14:paraId="1B7594BC" w14:textId="77777777" w:rsidTr="00F961CB">
        <w:trPr>
          <w:trHeight w:val="300"/>
        </w:trPr>
        <w:tc>
          <w:tcPr>
            <w:tcW w:w="3153" w:type="dxa"/>
            <w:gridSpan w:val="3"/>
            <w:tcBorders>
              <w:top w:val="nil"/>
              <w:left w:val="nil"/>
              <w:bottom w:val="nil"/>
              <w:right w:val="single" w:sz="4" w:space="0" w:color="auto"/>
            </w:tcBorders>
            <w:shd w:val="clear" w:color="auto" w:fill="E7E6E6" w:themeFill="background2"/>
          </w:tcPr>
          <w:p w14:paraId="2BCD6EE0" w14:textId="77777777" w:rsidR="00445A65" w:rsidRPr="00A61099" w:rsidRDefault="00445A65" w:rsidP="00F961CB">
            <w:pPr>
              <w:spacing w:after="0" w:line="240" w:lineRule="auto"/>
              <w:rPr>
                <w:rFonts w:ascii="Calibri" w:eastAsia="Times New Roman" w:hAnsi="Calibri" w:cs="Calibri"/>
                <w:color w:val="000000" w:themeColor="text1"/>
                <w:sz w:val="20"/>
                <w:szCs w:val="20"/>
                <w:lang w:eastAsia="en-GB"/>
              </w:rPr>
            </w:pPr>
            <w:r w:rsidRPr="00A61099">
              <w:rPr>
                <w:rFonts w:ascii="Calibri" w:eastAsia="Times New Roman" w:hAnsi="Calibri" w:cs="Calibri"/>
                <w:color w:val="000000" w:themeColor="text1"/>
                <w:sz w:val="20"/>
                <w:szCs w:val="20"/>
                <w:lang w:eastAsia="en-GB"/>
              </w:rPr>
              <w:t>Vaccine in seropositive</w:t>
            </w:r>
          </w:p>
        </w:tc>
        <w:tc>
          <w:tcPr>
            <w:tcW w:w="1398" w:type="dxa"/>
            <w:tcBorders>
              <w:left w:val="single" w:sz="4" w:space="0" w:color="auto"/>
            </w:tcBorders>
            <w:shd w:val="clear" w:color="auto" w:fill="E7E6E6" w:themeFill="background2"/>
          </w:tcPr>
          <w:p w14:paraId="032360B2"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8" w:type="dxa"/>
            <w:shd w:val="clear" w:color="auto" w:fill="E7E6E6" w:themeFill="background2"/>
          </w:tcPr>
          <w:p w14:paraId="7F412D8E"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8" w:type="dxa"/>
            <w:shd w:val="clear" w:color="auto" w:fill="E7E6E6" w:themeFill="background2"/>
          </w:tcPr>
          <w:p w14:paraId="027D96D4"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8" w:type="dxa"/>
            <w:shd w:val="clear" w:color="auto" w:fill="E7E6E6" w:themeFill="background2"/>
          </w:tcPr>
          <w:p w14:paraId="270FFF56"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8" w:type="dxa"/>
            <w:shd w:val="clear" w:color="auto" w:fill="E7E6E6" w:themeFill="background2"/>
          </w:tcPr>
          <w:p w14:paraId="2BC34230"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8" w:type="dxa"/>
            <w:shd w:val="clear" w:color="auto" w:fill="E7E6E6" w:themeFill="background2"/>
          </w:tcPr>
          <w:p w14:paraId="7CCF01E7"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8" w:type="dxa"/>
            <w:shd w:val="clear" w:color="auto" w:fill="E7E6E6" w:themeFill="background2"/>
          </w:tcPr>
          <w:p w14:paraId="2C88EC49"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c>
          <w:tcPr>
            <w:tcW w:w="1399" w:type="dxa"/>
            <w:shd w:val="clear" w:color="auto" w:fill="E7E6E6" w:themeFill="background2"/>
          </w:tcPr>
          <w:p w14:paraId="1BDD7F9E"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p>
        </w:tc>
      </w:tr>
      <w:tr w:rsidR="00445A65" w:rsidRPr="00A61099" w14:paraId="687F3B1C" w14:textId="77777777" w:rsidTr="00A61099">
        <w:trPr>
          <w:trHeight w:val="300"/>
        </w:trPr>
        <w:tc>
          <w:tcPr>
            <w:tcW w:w="1242" w:type="dxa"/>
            <w:tcBorders>
              <w:top w:val="nil"/>
              <w:left w:val="nil"/>
              <w:bottom w:val="nil"/>
            </w:tcBorders>
            <w:shd w:val="clear" w:color="auto" w:fill="FFFFFF" w:themeFill="background1"/>
          </w:tcPr>
          <w:p w14:paraId="08D7BCF4" w14:textId="77777777" w:rsidR="00445A65" w:rsidRPr="00A61099" w:rsidRDefault="00445A65" w:rsidP="00F961CB">
            <w:pPr>
              <w:spacing w:after="0" w:line="240" w:lineRule="auto"/>
              <w:rPr>
                <w:rFonts w:ascii="Calibri" w:eastAsia="Times New Roman" w:hAnsi="Calibri" w:cs="Calibri"/>
                <w:color w:val="000000" w:themeColor="text1"/>
                <w:sz w:val="20"/>
                <w:szCs w:val="20"/>
                <w:lang w:eastAsia="en-GB"/>
              </w:rPr>
            </w:pPr>
          </w:p>
        </w:tc>
        <w:tc>
          <w:tcPr>
            <w:tcW w:w="1911" w:type="dxa"/>
            <w:gridSpan w:val="2"/>
            <w:tcBorders>
              <w:top w:val="nil"/>
              <w:bottom w:val="nil"/>
              <w:right w:val="single" w:sz="4" w:space="0" w:color="auto"/>
            </w:tcBorders>
            <w:shd w:val="clear" w:color="auto" w:fill="FFFFFF" w:themeFill="background1"/>
            <w:vAlign w:val="center"/>
          </w:tcPr>
          <w:p w14:paraId="57788926" w14:textId="77777777" w:rsidR="00445A65" w:rsidRPr="00A61099" w:rsidRDefault="00445A65" w:rsidP="00A61099">
            <w:pPr>
              <w:spacing w:after="0" w:line="240" w:lineRule="auto"/>
              <w:jc w:val="center"/>
              <w:rPr>
                <w:rFonts w:ascii="Calibri" w:eastAsia="Times New Roman" w:hAnsi="Calibri" w:cs="Calibri"/>
                <w:color w:val="000000" w:themeColor="text1"/>
                <w:sz w:val="20"/>
                <w:szCs w:val="20"/>
                <w:lang w:eastAsia="en-GB"/>
              </w:rPr>
            </w:pPr>
            <w:r w:rsidRPr="00A61099">
              <w:rPr>
                <w:rFonts w:ascii="Calibri" w:eastAsia="Times New Roman" w:hAnsi="Calibri" w:cs="Calibri"/>
                <w:color w:val="000000" w:themeColor="text1"/>
                <w:sz w:val="20"/>
                <w:szCs w:val="20"/>
                <w:lang w:eastAsia="en-GB"/>
              </w:rPr>
              <w:t>Transient protection</w:t>
            </w:r>
          </w:p>
        </w:tc>
        <w:tc>
          <w:tcPr>
            <w:tcW w:w="1398" w:type="dxa"/>
            <w:tcBorders>
              <w:left w:val="single" w:sz="4" w:space="0" w:color="auto"/>
            </w:tcBorders>
            <w:shd w:val="clear" w:color="auto" w:fill="FFFFFF" w:themeFill="background1"/>
          </w:tcPr>
          <w:p w14:paraId="46324C99"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 xml:space="preserve">Imperfect, serotype-specific protection against infection (increasing with disease severity) of 75% for 10 years </w:t>
            </w:r>
          </w:p>
        </w:tc>
        <w:tc>
          <w:tcPr>
            <w:tcW w:w="1398" w:type="dxa"/>
            <w:shd w:val="clear" w:color="auto" w:fill="FFFFFF" w:themeFill="background1"/>
          </w:tcPr>
          <w:p w14:paraId="12B1629A"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None</w:t>
            </w:r>
          </w:p>
        </w:tc>
        <w:tc>
          <w:tcPr>
            <w:tcW w:w="1398" w:type="dxa"/>
            <w:shd w:val="clear" w:color="auto" w:fill="FFFFFF" w:themeFill="background1"/>
          </w:tcPr>
          <w:p w14:paraId="3A205954"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None</w:t>
            </w:r>
          </w:p>
        </w:tc>
        <w:tc>
          <w:tcPr>
            <w:tcW w:w="1398" w:type="dxa"/>
            <w:shd w:val="clear" w:color="auto" w:fill="FFFFFF" w:themeFill="background1"/>
          </w:tcPr>
          <w:p w14:paraId="060FCBE1"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Same as in seronegative recipients</w:t>
            </w:r>
          </w:p>
        </w:tc>
        <w:tc>
          <w:tcPr>
            <w:tcW w:w="1398" w:type="dxa"/>
            <w:shd w:val="clear" w:color="auto" w:fill="FFFFFF" w:themeFill="background1"/>
          </w:tcPr>
          <w:p w14:paraId="270D1A7B"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Same as in seronegative recipients</w:t>
            </w:r>
          </w:p>
        </w:tc>
        <w:tc>
          <w:tcPr>
            <w:tcW w:w="1398" w:type="dxa"/>
            <w:shd w:val="clear" w:color="auto" w:fill="FFFFFF" w:themeFill="background1"/>
          </w:tcPr>
          <w:p w14:paraId="3CBDACD0"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Serotype specific probability of life-long protection.</w:t>
            </w:r>
          </w:p>
        </w:tc>
        <w:tc>
          <w:tcPr>
            <w:tcW w:w="1398" w:type="dxa"/>
            <w:shd w:val="clear" w:color="auto" w:fill="FFFFFF" w:themeFill="background1"/>
          </w:tcPr>
          <w:p w14:paraId="539B7004"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Same as in seronegative recipients</w:t>
            </w:r>
          </w:p>
        </w:tc>
        <w:tc>
          <w:tcPr>
            <w:tcW w:w="1399" w:type="dxa"/>
            <w:shd w:val="clear" w:color="auto" w:fill="FFFFFF" w:themeFill="background1"/>
          </w:tcPr>
          <w:p w14:paraId="0D253C19"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Same as in seronegative recipients</w:t>
            </w:r>
          </w:p>
        </w:tc>
      </w:tr>
      <w:tr w:rsidR="00445A65" w:rsidRPr="00A61099" w14:paraId="72DE176A" w14:textId="77777777" w:rsidTr="00A61099">
        <w:trPr>
          <w:trHeight w:val="300"/>
        </w:trPr>
        <w:tc>
          <w:tcPr>
            <w:tcW w:w="1242" w:type="dxa"/>
            <w:tcBorders>
              <w:top w:val="nil"/>
              <w:left w:val="nil"/>
              <w:bottom w:val="nil"/>
            </w:tcBorders>
            <w:shd w:val="clear" w:color="auto" w:fill="E7E6E6" w:themeFill="background2"/>
            <w:hideMark/>
          </w:tcPr>
          <w:p w14:paraId="740B8B91" w14:textId="77777777" w:rsidR="00445A65" w:rsidRPr="00A61099" w:rsidRDefault="00445A65" w:rsidP="00F961CB">
            <w:pPr>
              <w:spacing w:after="0" w:line="240" w:lineRule="auto"/>
              <w:rPr>
                <w:rFonts w:ascii="Calibri" w:eastAsia="Times New Roman" w:hAnsi="Calibri" w:cs="Calibri"/>
                <w:color w:val="000000" w:themeColor="text1"/>
                <w:sz w:val="20"/>
                <w:szCs w:val="20"/>
                <w:lang w:eastAsia="en-GB"/>
              </w:rPr>
            </w:pPr>
            <w:r w:rsidRPr="00A61099">
              <w:rPr>
                <w:rFonts w:ascii="Calibri" w:eastAsia="Times New Roman" w:hAnsi="Calibri" w:cs="Calibri"/>
                <w:color w:val="000000" w:themeColor="text1"/>
                <w:sz w:val="20"/>
                <w:szCs w:val="20"/>
                <w:lang w:eastAsia="en-GB"/>
              </w:rPr>
              <w:t> </w:t>
            </w:r>
          </w:p>
        </w:tc>
        <w:tc>
          <w:tcPr>
            <w:tcW w:w="1911" w:type="dxa"/>
            <w:gridSpan w:val="2"/>
            <w:tcBorders>
              <w:top w:val="nil"/>
              <w:bottom w:val="nil"/>
              <w:right w:val="single" w:sz="4" w:space="0" w:color="auto"/>
            </w:tcBorders>
            <w:shd w:val="clear" w:color="auto" w:fill="E7E6E6" w:themeFill="background2"/>
            <w:vAlign w:val="center"/>
          </w:tcPr>
          <w:p w14:paraId="79F6372D" w14:textId="77777777" w:rsidR="00445A65" w:rsidRPr="00A61099" w:rsidRDefault="00445A65" w:rsidP="00A61099">
            <w:pPr>
              <w:spacing w:after="0" w:line="240" w:lineRule="auto"/>
              <w:jc w:val="center"/>
              <w:rPr>
                <w:rFonts w:ascii="Calibri" w:eastAsia="Times New Roman" w:hAnsi="Calibri" w:cs="Calibri"/>
                <w:color w:val="000000" w:themeColor="text1"/>
                <w:sz w:val="20"/>
                <w:szCs w:val="20"/>
                <w:lang w:eastAsia="en-GB"/>
              </w:rPr>
            </w:pPr>
            <w:r w:rsidRPr="00A61099">
              <w:rPr>
                <w:rFonts w:ascii="Calibri" w:eastAsia="Times New Roman" w:hAnsi="Calibri" w:cs="Calibri"/>
                <w:color w:val="000000" w:themeColor="text1"/>
                <w:sz w:val="20"/>
                <w:szCs w:val="20"/>
                <w:lang w:eastAsia="en-GB"/>
              </w:rPr>
              <w:t>Immunopathogenic response</w:t>
            </w:r>
          </w:p>
        </w:tc>
        <w:tc>
          <w:tcPr>
            <w:tcW w:w="11185" w:type="dxa"/>
            <w:gridSpan w:val="8"/>
            <w:tcBorders>
              <w:left w:val="single" w:sz="4" w:space="0" w:color="auto"/>
            </w:tcBorders>
            <w:shd w:val="clear" w:color="auto" w:fill="E7E6E6" w:themeFill="background2"/>
          </w:tcPr>
          <w:p w14:paraId="75AFC323" w14:textId="77777777" w:rsidR="00445A65" w:rsidRPr="00A61099" w:rsidRDefault="00445A65" w:rsidP="00F961CB">
            <w:pPr>
              <w:spacing w:after="0" w:line="240" w:lineRule="auto"/>
              <w:jc w:val="center"/>
              <w:rPr>
                <w:rFonts w:ascii="Calibri" w:eastAsia="Times New Roman" w:hAnsi="Calibri" w:cs="Calibri"/>
                <w:color w:val="000000" w:themeColor="text1"/>
                <w:sz w:val="16"/>
                <w:szCs w:val="16"/>
                <w:lang w:eastAsia="en-GB"/>
              </w:rPr>
            </w:pPr>
            <w:r w:rsidRPr="00A61099">
              <w:rPr>
                <w:rFonts w:ascii="Calibri" w:eastAsia="Times New Roman" w:hAnsi="Calibri" w:cs="Calibri"/>
                <w:color w:val="000000" w:themeColor="text1"/>
                <w:sz w:val="16"/>
                <w:szCs w:val="16"/>
                <w:lang w:eastAsia="en-GB"/>
              </w:rPr>
              <w:t>Same as natural infection</w:t>
            </w:r>
          </w:p>
        </w:tc>
      </w:tr>
    </w:tbl>
    <w:p w14:paraId="4D352788" w14:textId="77777777" w:rsidR="00445A65" w:rsidRPr="00445A65" w:rsidRDefault="00445A65" w:rsidP="00445A65">
      <w:pPr>
        <w:pStyle w:val="Caption"/>
        <w:keepNext/>
        <w:rPr>
          <w:color w:val="000000" w:themeColor="text1"/>
        </w:rPr>
      </w:pPr>
      <w:r w:rsidRPr="00445A65">
        <w:rPr>
          <w:color w:val="000000" w:themeColor="text1"/>
        </w:rPr>
        <w:br w:type="page"/>
      </w:r>
    </w:p>
    <w:p w14:paraId="0B3A6726" w14:textId="6947D583" w:rsidR="00445A65" w:rsidRPr="00B14CCB" w:rsidRDefault="00445A65" w:rsidP="00445A65">
      <w:pPr>
        <w:pStyle w:val="Caption"/>
        <w:keepNext/>
        <w:rPr>
          <w:color w:val="000000" w:themeColor="text1"/>
        </w:rPr>
      </w:pPr>
      <w:bookmarkStart w:id="1" w:name="_Ref450209583"/>
      <w:r w:rsidRPr="00B14CCB">
        <w:rPr>
          <w:color w:val="000000" w:themeColor="text1"/>
        </w:rPr>
        <w:lastRenderedPageBreak/>
        <w:t xml:space="preserve">Table </w:t>
      </w:r>
      <w:bookmarkEnd w:id="1"/>
      <w:r w:rsidR="00E3248D">
        <w:rPr>
          <w:color w:val="000000" w:themeColor="text1"/>
        </w:rPr>
        <w:t>B</w:t>
      </w:r>
      <w:r w:rsidRPr="00B14CCB">
        <w:rPr>
          <w:color w:val="000000" w:themeColor="text1"/>
        </w:rPr>
        <w:t xml:space="preserve">: Parameter assumptions on progression probabilities from asymptomatic infection through to death, on the variance in transmissibility with severity, and on variation from the baseline vaccine mode of action. Ranges indicate the 95% range of the posterior estimates. </w:t>
      </w:r>
    </w:p>
    <w:tbl>
      <w:tblPr>
        <w:tblW w:w="0" w:type="auto"/>
        <w:tblLayout w:type="fixed"/>
        <w:tblLook w:val="04A0" w:firstRow="1" w:lastRow="0" w:firstColumn="1" w:lastColumn="0" w:noHBand="0" w:noVBand="1"/>
      </w:tblPr>
      <w:tblGrid>
        <w:gridCol w:w="1560"/>
        <w:gridCol w:w="1208"/>
        <w:gridCol w:w="1593"/>
        <w:gridCol w:w="1417"/>
        <w:gridCol w:w="1184"/>
        <w:gridCol w:w="1398"/>
        <w:gridCol w:w="1398"/>
        <w:gridCol w:w="1398"/>
        <w:gridCol w:w="1398"/>
        <w:gridCol w:w="1399"/>
      </w:tblGrid>
      <w:tr w:rsidR="00445A65" w:rsidRPr="00445A65" w14:paraId="5A4F2743" w14:textId="77777777" w:rsidTr="00F961CB">
        <w:trPr>
          <w:trHeight w:val="375"/>
        </w:trPr>
        <w:tc>
          <w:tcPr>
            <w:tcW w:w="1560" w:type="dxa"/>
            <w:tcBorders>
              <w:top w:val="nil"/>
              <w:left w:val="nil"/>
              <w:right w:val="nil"/>
            </w:tcBorders>
            <w:shd w:val="clear" w:color="auto" w:fill="FFFFFF" w:themeFill="background1"/>
            <w:hideMark/>
          </w:tcPr>
          <w:p w14:paraId="5A93CF01" w14:textId="77777777" w:rsidR="00445A65" w:rsidRPr="00445A65" w:rsidRDefault="00445A65" w:rsidP="00F961CB">
            <w:pPr>
              <w:spacing w:after="0" w:line="240" w:lineRule="auto"/>
              <w:rPr>
                <w:rFonts w:ascii="Calibri" w:eastAsia="Times New Roman" w:hAnsi="Calibri" w:cs="Calibri"/>
                <w:b/>
                <w:bCs/>
                <w:color w:val="000000" w:themeColor="text1"/>
                <w:sz w:val="20"/>
                <w:szCs w:val="20"/>
                <w:lang w:eastAsia="en-GB"/>
              </w:rPr>
            </w:pPr>
            <w:r w:rsidRPr="00445A65">
              <w:rPr>
                <w:rFonts w:ascii="Calibri" w:eastAsia="Times New Roman" w:hAnsi="Calibri" w:cs="Calibri"/>
                <w:b/>
                <w:bCs/>
                <w:color w:val="000000" w:themeColor="text1"/>
                <w:sz w:val="20"/>
                <w:szCs w:val="20"/>
                <w:lang w:eastAsia="en-GB"/>
              </w:rPr>
              <w:t>MODEL</w:t>
            </w:r>
          </w:p>
        </w:tc>
        <w:tc>
          <w:tcPr>
            <w:tcW w:w="1208" w:type="dxa"/>
            <w:tcBorders>
              <w:top w:val="nil"/>
              <w:left w:val="nil"/>
              <w:right w:val="single" w:sz="4" w:space="0" w:color="auto"/>
            </w:tcBorders>
            <w:shd w:val="clear" w:color="auto" w:fill="FFFFFF" w:themeFill="background1"/>
            <w:hideMark/>
          </w:tcPr>
          <w:p w14:paraId="73794E06" w14:textId="77777777" w:rsidR="00445A65" w:rsidRPr="00445A65" w:rsidRDefault="00445A65" w:rsidP="00F961CB">
            <w:pPr>
              <w:spacing w:after="0" w:line="240" w:lineRule="auto"/>
              <w:rPr>
                <w:rFonts w:ascii="Calibri" w:eastAsia="Times New Roman" w:hAnsi="Calibri" w:cs="Calibri"/>
                <w:b/>
                <w:bCs/>
                <w:color w:val="000000" w:themeColor="text1"/>
                <w:sz w:val="20"/>
                <w:szCs w:val="20"/>
                <w:lang w:eastAsia="en-GB"/>
              </w:rPr>
            </w:pPr>
            <w:r w:rsidRPr="00445A65">
              <w:rPr>
                <w:rFonts w:ascii="Calibri" w:eastAsia="Times New Roman" w:hAnsi="Calibri" w:cs="Calibri"/>
                <w:b/>
                <w:bCs/>
                <w:color w:val="000000" w:themeColor="text1"/>
                <w:sz w:val="20"/>
                <w:szCs w:val="20"/>
                <w:lang w:eastAsia="en-GB"/>
              </w:rPr>
              <w:t> </w:t>
            </w:r>
          </w:p>
        </w:tc>
        <w:tc>
          <w:tcPr>
            <w:tcW w:w="1593" w:type="dxa"/>
            <w:tcBorders>
              <w:top w:val="nil"/>
              <w:left w:val="nil"/>
              <w:right w:val="nil"/>
            </w:tcBorders>
            <w:shd w:val="clear" w:color="auto" w:fill="FFFFFF" w:themeFill="background1"/>
            <w:hideMark/>
          </w:tcPr>
          <w:p w14:paraId="0FB33544" w14:textId="77777777" w:rsidR="00445A65" w:rsidRPr="00445A65" w:rsidRDefault="00445A65" w:rsidP="00F961CB">
            <w:pPr>
              <w:spacing w:after="0" w:line="240" w:lineRule="auto"/>
              <w:jc w:val="center"/>
              <w:rPr>
                <w:rFonts w:ascii="Calibri" w:eastAsia="Times New Roman" w:hAnsi="Calibri" w:cs="Calibri"/>
                <w:b/>
                <w:bCs/>
                <w:color w:val="000000" w:themeColor="text1"/>
                <w:sz w:val="20"/>
                <w:szCs w:val="20"/>
                <w:lang w:eastAsia="en-GB"/>
              </w:rPr>
            </w:pPr>
            <w:r w:rsidRPr="00445A65">
              <w:rPr>
                <w:rFonts w:ascii="Calibri" w:eastAsia="Times New Roman" w:hAnsi="Calibri" w:cs="Calibri"/>
                <w:b/>
                <w:bCs/>
                <w:color w:val="000000" w:themeColor="text1"/>
                <w:sz w:val="20"/>
                <w:szCs w:val="20"/>
                <w:lang w:eastAsia="en-GB"/>
              </w:rPr>
              <w:t>Sanofi Pasteur</w:t>
            </w:r>
          </w:p>
        </w:tc>
        <w:tc>
          <w:tcPr>
            <w:tcW w:w="1417" w:type="dxa"/>
            <w:tcBorders>
              <w:top w:val="nil"/>
              <w:left w:val="single" w:sz="4" w:space="0" w:color="auto"/>
              <w:right w:val="nil"/>
            </w:tcBorders>
            <w:shd w:val="clear" w:color="auto" w:fill="FFFFFF" w:themeFill="background1"/>
            <w:hideMark/>
          </w:tcPr>
          <w:p w14:paraId="690F398F" w14:textId="77777777" w:rsidR="00445A65" w:rsidRPr="00445A65" w:rsidRDefault="00445A65" w:rsidP="00F961CB">
            <w:pPr>
              <w:spacing w:after="0" w:line="240" w:lineRule="auto"/>
              <w:jc w:val="center"/>
              <w:rPr>
                <w:rFonts w:ascii="Calibri" w:eastAsia="Times New Roman" w:hAnsi="Calibri" w:cs="Calibri"/>
                <w:b/>
                <w:bCs/>
                <w:color w:val="000000" w:themeColor="text1"/>
                <w:sz w:val="20"/>
                <w:szCs w:val="20"/>
                <w:lang w:eastAsia="en-GB"/>
              </w:rPr>
            </w:pPr>
            <w:r w:rsidRPr="00445A65">
              <w:rPr>
                <w:rFonts w:ascii="Calibri" w:eastAsia="Times New Roman" w:hAnsi="Calibri" w:cs="Calibri"/>
                <w:b/>
                <w:bCs/>
                <w:color w:val="000000" w:themeColor="text1"/>
                <w:sz w:val="20"/>
                <w:szCs w:val="20"/>
                <w:lang w:eastAsia="en-GB"/>
              </w:rPr>
              <w:t>Hopkins / UF</w:t>
            </w:r>
          </w:p>
        </w:tc>
        <w:tc>
          <w:tcPr>
            <w:tcW w:w="1184" w:type="dxa"/>
            <w:tcBorders>
              <w:top w:val="nil"/>
              <w:left w:val="single" w:sz="4" w:space="0" w:color="auto"/>
              <w:right w:val="nil"/>
            </w:tcBorders>
            <w:shd w:val="clear" w:color="auto" w:fill="FFFFFF" w:themeFill="background1"/>
            <w:hideMark/>
          </w:tcPr>
          <w:p w14:paraId="08200436" w14:textId="77777777" w:rsidR="00445A65" w:rsidRPr="00445A65" w:rsidRDefault="00445A65" w:rsidP="00F961CB">
            <w:pPr>
              <w:spacing w:after="0" w:line="240" w:lineRule="auto"/>
              <w:jc w:val="center"/>
              <w:rPr>
                <w:rFonts w:ascii="Calibri" w:eastAsia="Times New Roman" w:hAnsi="Calibri" w:cs="Calibri"/>
                <w:b/>
                <w:bCs/>
                <w:color w:val="000000" w:themeColor="text1"/>
                <w:sz w:val="20"/>
                <w:szCs w:val="20"/>
                <w:lang w:eastAsia="en-GB"/>
              </w:rPr>
            </w:pPr>
            <w:r w:rsidRPr="00445A65">
              <w:rPr>
                <w:rFonts w:ascii="Calibri" w:eastAsia="Times New Roman" w:hAnsi="Calibri" w:cs="Calibri"/>
                <w:b/>
                <w:bCs/>
                <w:color w:val="000000" w:themeColor="text1"/>
                <w:sz w:val="20"/>
                <w:szCs w:val="20"/>
                <w:lang w:eastAsia="en-GB"/>
              </w:rPr>
              <w:t>Imperial</w:t>
            </w:r>
          </w:p>
        </w:tc>
        <w:tc>
          <w:tcPr>
            <w:tcW w:w="1398" w:type="dxa"/>
            <w:tcBorders>
              <w:top w:val="nil"/>
              <w:left w:val="single" w:sz="4" w:space="0" w:color="auto"/>
              <w:right w:val="nil"/>
            </w:tcBorders>
            <w:shd w:val="clear" w:color="auto" w:fill="FFFFFF" w:themeFill="background1"/>
            <w:hideMark/>
          </w:tcPr>
          <w:p w14:paraId="4F4E3640" w14:textId="77777777" w:rsidR="00445A65" w:rsidRPr="00445A65" w:rsidRDefault="00445A65" w:rsidP="00F961CB">
            <w:pPr>
              <w:spacing w:after="0" w:line="240" w:lineRule="auto"/>
              <w:jc w:val="center"/>
              <w:rPr>
                <w:rFonts w:ascii="Calibri" w:eastAsia="Times New Roman" w:hAnsi="Calibri" w:cs="Calibri"/>
                <w:b/>
                <w:bCs/>
                <w:color w:val="000000" w:themeColor="text1"/>
                <w:sz w:val="20"/>
                <w:szCs w:val="20"/>
                <w:lang w:eastAsia="en-GB"/>
              </w:rPr>
            </w:pPr>
            <w:r w:rsidRPr="00445A65">
              <w:rPr>
                <w:rFonts w:ascii="Calibri" w:eastAsia="Times New Roman" w:hAnsi="Calibri" w:cs="Calibri"/>
                <w:b/>
                <w:bCs/>
                <w:color w:val="000000" w:themeColor="text1"/>
                <w:sz w:val="20"/>
                <w:szCs w:val="20"/>
                <w:lang w:eastAsia="en-GB"/>
              </w:rPr>
              <w:t>Duke</w:t>
            </w:r>
          </w:p>
        </w:tc>
        <w:tc>
          <w:tcPr>
            <w:tcW w:w="1398" w:type="dxa"/>
            <w:tcBorders>
              <w:top w:val="nil"/>
              <w:left w:val="single" w:sz="4" w:space="0" w:color="auto"/>
              <w:right w:val="nil"/>
            </w:tcBorders>
            <w:shd w:val="clear" w:color="auto" w:fill="FFFFFF" w:themeFill="background1"/>
            <w:hideMark/>
          </w:tcPr>
          <w:p w14:paraId="06841CA8" w14:textId="77777777" w:rsidR="00445A65" w:rsidRPr="00445A65" w:rsidRDefault="00445A65" w:rsidP="00F961CB">
            <w:pPr>
              <w:spacing w:after="0" w:line="240" w:lineRule="auto"/>
              <w:jc w:val="center"/>
              <w:rPr>
                <w:rFonts w:ascii="Calibri" w:eastAsia="Times New Roman" w:hAnsi="Calibri" w:cs="Calibri"/>
                <w:b/>
                <w:bCs/>
                <w:color w:val="000000" w:themeColor="text1"/>
                <w:sz w:val="20"/>
                <w:szCs w:val="20"/>
                <w:lang w:eastAsia="en-GB"/>
              </w:rPr>
            </w:pPr>
            <w:r w:rsidRPr="00445A65">
              <w:rPr>
                <w:rFonts w:ascii="Calibri" w:eastAsia="Times New Roman" w:hAnsi="Calibri" w:cs="Calibri"/>
                <w:b/>
                <w:bCs/>
                <w:color w:val="000000" w:themeColor="text1"/>
                <w:sz w:val="20"/>
                <w:szCs w:val="20"/>
                <w:lang w:eastAsia="en-GB"/>
              </w:rPr>
              <w:t>UF</w:t>
            </w:r>
          </w:p>
        </w:tc>
        <w:tc>
          <w:tcPr>
            <w:tcW w:w="1398" w:type="dxa"/>
            <w:tcBorders>
              <w:top w:val="nil"/>
              <w:left w:val="single" w:sz="4" w:space="0" w:color="auto"/>
              <w:right w:val="nil"/>
            </w:tcBorders>
            <w:shd w:val="clear" w:color="auto" w:fill="FFFFFF" w:themeFill="background1"/>
            <w:hideMark/>
          </w:tcPr>
          <w:p w14:paraId="154BFF9F" w14:textId="77777777" w:rsidR="00445A65" w:rsidRPr="00445A65" w:rsidRDefault="00445A65" w:rsidP="00F961CB">
            <w:pPr>
              <w:spacing w:after="0" w:line="240" w:lineRule="auto"/>
              <w:jc w:val="center"/>
              <w:rPr>
                <w:rFonts w:ascii="Calibri" w:eastAsia="Times New Roman" w:hAnsi="Calibri" w:cs="Calibri"/>
                <w:b/>
                <w:bCs/>
                <w:color w:val="000000" w:themeColor="text1"/>
                <w:sz w:val="20"/>
                <w:szCs w:val="20"/>
                <w:lang w:eastAsia="en-GB"/>
              </w:rPr>
            </w:pPr>
            <w:r w:rsidRPr="00445A65">
              <w:rPr>
                <w:rFonts w:ascii="Calibri" w:eastAsia="Times New Roman" w:hAnsi="Calibri" w:cs="Calibri"/>
                <w:b/>
                <w:bCs/>
                <w:color w:val="000000" w:themeColor="text1"/>
                <w:sz w:val="20"/>
                <w:szCs w:val="20"/>
                <w:lang w:eastAsia="en-GB"/>
              </w:rPr>
              <w:t>UWA</w:t>
            </w:r>
          </w:p>
        </w:tc>
        <w:tc>
          <w:tcPr>
            <w:tcW w:w="1398" w:type="dxa"/>
            <w:tcBorders>
              <w:top w:val="nil"/>
              <w:left w:val="single" w:sz="4" w:space="0" w:color="auto"/>
              <w:right w:val="nil"/>
            </w:tcBorders>
            <w:shd w:val="clear" w:color="auto" w:fill="FFFFFF" w:themeFill="background1"/>
            <w:hideMark/>
          </w:tcPr>
          <w:p w14:paraId="1F9A3F25" w14:textId="77777777" w:rsidR="00445A65" w:rsidRPr="00445A65" w:rsidRDefault="00445A65" w:rsidP="00F961CB">
            <w:pPr>
              <w:spacing w:after="0" w:line="240" w:lineRule="auto"/>
              <w:jc w:val="center"/>
              <w:rPr>
                <w:rFonts w:ascii="Calibri" w:eastAsia="Times New Roman" w:hAnsi="Calibri" w:cs="Calibri"/>
                <w:b/>
                <w:bCs/>
                <w:color w:val="000000" w:themeColor="text1"/>
                <w:sz w:val="20"/>
                <w:szCs w:val="20"/>
                <w:lang w:eastAsia="en-GB"/>
              </w:rPr>
            </w:pPr>
            <w:r w:rsidRPr="00445A65">
              <w:rPr>
                <w:rFonts w:ascii="Calibri" w:eastAsia="Times New Roman" w:hAnsi="Calibri" w:cs="Calibri"/>
                <w:b/>
                <w:bCs/>
                <w:color w:val="000000" w:themeColor="text1"/>
                <w:sz w:val="20"/>
                <w:szCs w:val="20"/>
                <w:lang w:eastAsia="en-GB"/>
              </w:rPr>
              <w:t>Notre Dame</w:t>
            </w:r>
          </w:p>
        </w:tc>
        <w:tc>
          <w:tcPr>
            <w:tcW w:w="1399" w:type="dxa"/>
            <w:tcBorders>
              <w:top w:val="nil"/>
              <w:left w:val="single" w:sz="4" w:space="0" w:color="auto"/>
            </w:tcBorders>
            <w:shd w:val="clear" w:color="auto" w:fill="FFFFFF" w:themeFill="background1"/>
            <w:hideMark/>
          </w:tcPr>
          <w:p w14:paraId="7B7533BF" w14:textId="77777777" w:rsidR="00445A65" w:rsidRPr="00445A65" w:rsidRDefault="00445A65" w:rsidP="00F961CB">
            <w:pPr>
              <w:spacing w:after="0" w:line="240" w:lineRule="auto"/>
              <w:jc w:val="center"/>
              <w:rPr>
                <w:rFonts w:ascii="Calibri" w:eastAsia="Times New Roman" w:hAnsi="Calibri" w:cs="Calibri"/>
                <w:b/>
                <w:bCs/>
                <w:color w:val="000000" w:themeColor="text1"/>
                <w:sz w:val="20"/>
                <w:szCs w:val="20"/>
                <w:lang w:eastAsia="en-GB"/>
              </w:rPr>
            </w:pPr>
            <w:r w:rsidRPr="00445A65">
              <w:rPr>
                <w:rFonts w:ascii="Calibri" w:eastAsia="Times New Roman" w:hAnsi="Calibri" w:cs="Calibri"/>
                <w:b/>
                <w:bCs/>
                <w:color w:val="000000" w:themeColor="text1"/>
                <w:sz w:val="20"/>
                <w:szCs w:val="20"/>
                <w:lang w:eastAsia="en-GB"/>
              </w:rPr>
              <w:t>Exeter / Oxford</w:t>
            </w:r>
          </w:p>
        </w:tc>
      </w:tr>
      <w:tr w:rsidR="00445A65" w:rsidRPr="00445A65" w14:paraId="45E9610A" w14:textId="77777777" w:rsidTr="00F961CB">
        <w:trPr>
          <w:trHeight w:val="433"/>
        </w:trPr>
        <w:tc>
          <w:tcPr>
            <w:tcW w:w="2768" w:type="dxa"/>
            <w:gridSpan w:val="2"/>
            <w:tcBorders>
              <w:top w:val="single" w:sz="4" w:space="0" w:color="auto"/>
              <w:left w:val="nil"/>
              <w:bottom w:val="nil"/>
              <w:right w:val="single" w:sz="4" w:space="0" w:color="auto"/>
            </w:tcBorders>
            <w:shd w:val="clear" w:color="000000" w:fill="F2F2F2"/>
            <w:hideMark/>
          </w:tcPr>
          <w:p w14:paraId="29A21F5D"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Factor by which transmissibility is increased in symptomatic infections </w:t>
            </w:r>
          </w:p>
        </w:tc>
        <w:tc>
          <w:tcPr>
            <w:tcW w:w="1593" w:type="dxa"/>
            <w:tcBorders>
              <w:top w:val="single" w:sz="4" w:space="0" w:color="auto"/>
              <w:left w:val="nil"/>
              <w:bottom w:val="nil"/>
              <w:right w:val="nil"/>
            </w:tcBorders>
            <w:shd w:val="clear" w:color="000000" w:fill="F2F2F2"/>
            <w:hideMark/>
          </w:tcPr>
          <w:p w14:paraId="4B9A0D73"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4</w:t>
            </w:r>
          </w:p>
        </w:tc>
        <w:tc>
          <w:tcPr>
            <w:tcW w:w="1417" w:type="dxa"/>
            <w:tcBorders>
              <w:top w:val="single" w:sz="4" w:space="0" w:color="auto"/>
              <w:left w:val="single" w:sz="4" w:space="0" w:color="auto"/>
              <w:bottom w:val="nil"/>
              <w:right w:val="nil"/>
            </w:tcBorders>
            <w:shd w:val="clear" w:color="000000" w:fill="F2F2F2"/>
            <w:hideMark/>
          </w:tcPr>
          <w:p w14:paraId="7002C65F"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2</w:t>
            </w:r>
          </w:p>
        </w:tc>
        <w:tc>
          <w:tcPr>
            <w:tcW w:w="1184" w:type="dxa"/>
            <w:tcBorders>
              <w:top w:val="single" w:sz="4" w:space="0" w:color="auto"/>
              <w:left w:val="single" w:sz="4" w:space="0" w:color="auto"/>
              <w:bottom w:val="nil"/>
              <w:right w:val="nil"/>
            </w:tcBorders>
            <w:shd w:val="clear" w:color="000000" w:fill="F2F2F2"/>
            <w:hideMark/>
          </w:tcPr>
          <w:p w14:paraId="3581234C"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2</w:t>
            </w:r>
          </w:p>
        </w:tc>
        <w:tc>
          <w:tcPr>
            <w:tcW w:w="1398" w:type="dxa"/>
            <w:tcBorders>
              <w:top w:val="single" w:sz="4" w:space="0" w:color="auto"/>
              <w:left w:val="single" w:sz="4" w:space="0" w:color="auto"/>
              <w:bottom w:val="nil"/>
              <w:right w:val="nil"/>
            </w:tcBorders>
            <w:shd w:val="clear" w:color="000000" w:fill="F2F2F2"/>
            <w:hideMark/>
          </w:tcPr>
          <w:p w14:paraId="3633ECF5"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1</w:t>
            </w:r>
          </w:p>
        </w:tc>
        <w:tc>
          <w:tcPr>
            <w:tcW w:w="1398" w:type="dxa"/>
            <w:tcBorders>
              <w:top w:val="single" w:sz="4" w:space="0" w:color="auto"/>
              <w:left w:val="single" w:sz="4" w:space="0" w:color="auto"/>
              <w:bottom w:val="nil"/>
              <w:right w:val="nil"/>
            </w:tcBorders>
            <w:shd w:val="clear" w:color="000000" w:fill="F2F2F2"/>
            <w:hideMark/>
          </w:tcPr>
          <w:p w14:paraId="01163E63"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2x / 3x for mild / severe infections</w:t>
            </w:r>
          </w:p>
        </w:tc>
        <w:tc>
          <w:tcPr>
            <w:tcW w:w="1398" w:type="dxa"/>
            <w:tcBorders>
              <w:top w:val="single" w:sz="4" w:space="0" w:color="auto"/>
              <w:left w:val="single" w:sz="4" w:space="0" w:color="auto"/>
              <w:bottom w:val="nil"/>
              <w:right w:val="nil"/>
            </w:tcBorders>
            <w:shd w:val="clear" w:color="000000" w:fill="F2F2F2"/>
            <w:hideMark/>
          </w:tcPr>
          <w:p w14:paraId="4D64051A"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1</w:t>
            </w:r>
          </w:p>
        </w:tc>
        <w:tc>
          <w:tcPr>
            <w:tcW w:w="1398" w:type="dxa"/>
            <w:tcBorders>
              <w:top w:val="single" w:sz="4" w:space="0" w:color="auto"/>
              <w:left w:val="single" w:sz="4" w:space="0" w:color="auto"/>
              <w:bottom w:val="nil"/>
              <w:right w:val="nil"/>
            </w:tcBorders>
            <w:shd w:val="clear" w:color="000000" w:fill="F2F2F2"/>
            <w:hideMark/>
          </w:tcPr>
          <w:p w14:paraId="11248593"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1</w:t>
            </w:r>
          </w:p>
        </w:tc>
        <w:tc>
          <w:tcPr>
            <w:tcW w:w="1399" w:type="dxa"/>
            <w:tcBorders>
              <w:top w:val="single" w:sz="4" w:space="0" w:color="auto"/>
              <w:left w:val="single" w:sz="4" w:space="0" w:color="auto"/>
              <w:bottom w:val="nil"/>
            </w:tcBorders>
            <w:shd w:val="clear" w:color="000000" w:fill="F2F2F2"/>
            <w:hideMark/>
          </w:tcPr>
          <w:p w14:paraId="41251026"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1</w:t>
            </w:r>
          </w:p>
        </w:tc>
      </w:tr>
      <w:tr w:rsidR="00445A65" w:rsidRPr="00445A65" w14:paraId="63F1AEEF" w14:textId="77777777" w:rsidTr="00F961CB">
        <w:trPr>
          <w:trHeight w:val="300"/>
        </w:trPr>
        <w:tc>
          <w:tcPr>
            <w:tcW w:w="1560" w:type="dxa"/>
            <w:tcBorders>
              <w:top w:val="nil"/>
              <w:left w:val="nil"/>
              <w:bottom w:val="nil"/>
              <w:right w:val="nil"/>
            </w:tcBorders>
            <w:shd w:val="clear" w:color="000000" w:fill="FFFFFF"/>
            <w:hideMark/>
          </w:tcPr>
          <w:p w14:paraId="253C914E"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Proportion of VCD among infections</w:t>
            </w:r>
          </w:p>
        </w:tc>
        <w:tc>
          <w:tcPr>
            <w:tcW w:w="1208" w:type="dxa"/>
            <w:tcBorders>
              <w:top w:val="nil"/>
              <w:left w:val="nil"/>
              <w:bottom w:val="nil"/>
              <w:right w:val="single" w:sz="4" w:space="0" w:color="auto"/>
            </w:tcBorders>
            <w:shd w:val="clear" w:color="000000" w:fill="FFFFFF"/>
            <w:hideMark/>
          </w:tcPr>
          <w:p w14:paraId="1F9F1A8E"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primary infection</w:t>
            </w:r>
          </w:p>
        </w:tc>
        <w:tc>
          <w:tcPr>
            <w:tcW w:w="1593" w:type="dxa"/>
            <w:tcBorders>
              <w:top w:val="nil"/>
              <w:left w:val="nil"/>
              <w:bottom w:val="nil"/>
              <w:right w:val="nil"/>
            </w:tcBorders>
            <w:shd w:val="clear" w:color="000000" w:fill="FFFFFF"/>
            <w:hideMark/>
          </w:tcPr>
          <w:p w14:paraId="35CA7C6C"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from 10% (&lt;5 y) to 31% (&gt;15 yrs)</w:t>
            </w:r>
          </w:p>
        </w:tc>
        <w:tc>
          <w:tcPr>
            <w:tcW w:w="1417" w:type="dxa"/>
            <w:tcBorders>
              <w:top w:val="nil"/>
              <w:left w:val="single" w:sz="4" w:space="0" w:color="auto"/>
              <w:bottom w:val="nil"/>
              <w:right w:val="nil"/>
            </w:tcBorders>
            <w:shd w:val="clear" w:color="000000" w:fill="FFFFFF"/>
            <w:hideMark/>
          </w:tcPr>
          <w:p w14:paraId="341415F9"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53%</w:t>
            </w:r>
          </w:p>
        </w:tc>
        <w:tc>
          <w:tcPr>
            <w:tcW w:w="1184" w:type="dxa"/>
            <w:tcBorders>
              <w:top w:val="nil"/>
              <w:left w:val="single" w:sz="4" w:space="0" w:color="auto"/>
              <w:bottom w:val="nil"/>
              <w:right w:val="nil"/>
            </w:tcBorders>
            <w:shd w:val="clear" w:color="000000" w:fill="FFFFFF"/>
            <w:hideMark/>
          </w:tcPr>
          <w:p w14:paraId="019BCA07"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 xml:space="preserve">45% </w:t>
            </w:r>
            <w:r w:rsidRPr="00445A65">
              <w:rPr>
                <w:rFonts w:ascii="Calibri" w:eastAsia="Times New Roman" w:hAnsi="Calibri" w:cs="Calibri"/>
                <w:color w:val="000000" w:themeColor="text1"/>
                <w:sz w:val="16"/>
                <w:szCs w:val="16"/>
                <w:lang w:eastAsia="en-GB"/>
              </w:rPr>
              <w:br/>
              <w:t>(30%-70%)</w:t>
            </w:r>
          </w:p>
        </w:tc>
        <w:tc>
          <w:tcPr>
            <w:tcW w:w="1398" w:type="dxa"/>
            <w:tcBorders>
              <w:top w:val="nil"/>
              <w:left w:val="single" w:sz="4" w:space="0" w:color="auto"/>
              <w:bottom w:val="nil"/>
              <w:right w:val="nil"/>
            </w:tcBorders>
            <w:shd w:val="clear" w:color="000000" w:fill="FFFFFF"/>
            <w:hideMark/>
          </w:tcPr>
          <w:p w14:paraId="50A2167B"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 xml:space="preserve">34.2% </w:t>
            </w:r>
            <w:r w:rsidRPr="00445A65">
              <w:rPr>
                <w:rFonts w:ascii="Calibri" w:eastAsia="Times New Roman" w:hAnsi="Calibri" w:cs="Calibri"/>
                <w:color w:val="000000" w:themeColor="text1"/>
                <w:sz w:val="16"/>
                <w:szCs w:val="16"/>
                <w:lang w:eastAsia="en-GB"/>
              </w:rPr>
              <w:br/>
              <w:t>(27.1% - 41.4%)</w:t>
            </w:r>
          </w:p>
        </w:tc>
        <w:tc>
          <w:tcPr>
            <w:tcW w:w="1398" w:type="dxa"/>
            <w:tcBorders>
              <w:top w:val="nil"/>
              <w:left w:val="single" w:sz="4" w:space="0" w:color="auto"/>
              <w:bottom w:val="nil"/>
              <w:right w:val="nil"/>
            </w:tcBorders>
            <w:shd w:val="clear" w:color="000000" w:fill="FFFFFF"/>
            <w:hideMark/>
          </w:tcPr>
          <w:p w14:paraId="75453F67"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45%</w:t>
            </w:r>
          </w:p>
        </w:tc>
        <w:tc>
          <w:tcPr>
            <w:tcW w:w="1398" w:type="dxa"/>
            <w:tcBorders>
              <w:top w:val="nil"/>
              <w:left w:val="single" w:sz="4" w:space="0" w:color="auto"/>
              <w:bottom w:val="nil"/>
              <w:right w:val="nil"/>
            </w:tcBorders>
            <w:shd w:val="clear" w:color="000000" w:fill="FFFFFF"/>
            <w:hideMark/>
          </w:tcPr>
          <w:p w14:paraId="7C9E4C19"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30%</w:t>
            </w:r>
          </w:p>
        </w:tc>
        <w:tc>
          <w:tcPr>
            <w:tcW w:w="1398" w:type="dxa"/>
            <w:tcBorders>
              <w:top w:val="nil"/>
              <w:left w:val="single" w:sz="4" w:space="0" w:color="auto"/>
              <w:bottom w:val="nil"/>
              <w:right w:val="nil"/>
            </w:tcBorders>
            <w:shd w:val="clear" w:color="000000" w:fill="FFFFFF"/>
            <w:hideMark/>
          </w:tcPr>
          <w:p w14:paraId="5FDA5AAF"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30%</w:t>
            </w:r>
          </w:p>
        </w:tc>
        <w:tc>
          <w:tcPr>
            <w:tcW w:w="1399" w:type="dxa"/>
            <w:tcBorders>
              <w:top w:val="nil"/>
              <w:left w:val="single" w:sz="4" w:space="0" w:color="auto"/>
              <w:bottom w:val="nil"/>
            </w:tcBorders>
            <w:shd w:val="clear" w:color="000000" w:fill="FFFFFF"/>
            <w:hideMark/>
          </w:tcPr>
          <w:p w14:paraId="56D5D24D"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32%</w:t>
            </w:r>
          </w:p>
        </w:tc>
      </w:tr>
      <w:tr w:rsidR="00445A65" w:rsidRPr="00445A65" w14:paraId="5482B950" w14:textId="77777777" w:rsidTr="00F961CB">
        <w:trPr>
          <w:trHeight w:val="300"/>
        </w:trPr>
        <w:tc>
          <w:tcPr>
            <w:tcW w:w="1560" w:type="dxa"/>
            <w:tcBorders>
              <w:top w:val="nil"/>
              <w:left w:val="nil"/>
              <w:bottom w:val="nil"/>
              <w:right w:val="nil"/>
            </w:tcBorders>
            <w:shd w:val="clear" w:color="000000" w:fill="F2F2F2"/>
            <w:hideMark/>
          </w:tcPr>
          <w:p w14:paraId="49D0F44B"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 </w:t>
            </w:r>
          </w:p>
        </w:tc>
        <w:tc>
          <w:tcPr>
            <w:tcW w:w="1208" w:type="dxa"/>
            <w:tcBorders>
              <w:top w:val="nil"/>
              <w:left w:val="nil"/>
              <w:bottom w:val="nil"/>
              <w:right w:val="single" w:sz="4" w:space="0" w:color="auto"/>
            </w:tcBorders>
            <w:shd w:val="clear" w:color="000000" w:fill="F2F2F2"/>
            <w:hideMark/>
          </w:tcPr>
          <w:p w14:paraId="7038C98B"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secondary infection</w:t>
            </w:r>
          </w:p>
        </w:tc>
        <w:tc>
          <w:tcPr>
            <w:tcW w:w="1593" w:type="dxa"/>
            <w:tcBorders>
              <w:top w:val="nil"/>
              <w:left w:val="nil"/>
              <w:bottom w:val="nil"/>
              <w:right w:val="nil"/>
            </w:tcBorders>
            <w:shd w:val="clear" w:color="000000" w:fill="F2F2F2"/>
            <w:hideMark/>
          </w:tcPr>
          <w:p w14:paraId="4D98D3B4"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from 16% (&lt;5 y) to 52% (&gt; 15 yrs)</w:t>
            </w:r>
          </w:p>
        </w:tc>
        <w:tc>
          <w:tcPr>
            <w:tcW w:w="1417" w:type="dxa"/>
            <w:tcBorders>
              <w:top w:val="nil"/>
              <w:left w:val="single" w:sz="4" w:space="0" w:color="auto"/>
              <w:bottom w:val="nil"/>
              <w:right w:val="nil"/>
            </w:tcBorders>
            <w:shd w:val="clear" w:color="000000" w:fill="F2F2F2"/>
            <w:hideMark/>
          </w:tcPr>
          <w:p w14:paraId="7AFE841E"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100%</w:t>
            </w:r>
          </w:p>
        </w:tc>
        <w:tc>
          <w:tcPr>
            <w:tcW w:w="1184" w:type="dxa"/>
            <w:tcBorders>
              <w:top w:val="nil"/>
              <w:left w:val="single" w:sz="4" w:space="0" w:color="auto"/>
              <w:bottom w:val="nil"/>
              <w:right w:val="nil"/>
            </w:tcBorders>
            <w:shd w:val="clear" w:color="000000" w:fill="F2F2F2"/>
            <w:hideMark/>
          </w:tcPr>
          <w:p w14:paraId="111F6A0A"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 xml:space="preserve">85% </w:t>
            </w:r>
            <w:r w:rsidRPr="00445A65">
              <w:rPr>
                <w:rFonts w:ascii="Calibri" w:eastAsia="Times New Roman" w:hAnsi="Calibri" w:cs="Calibri"/>
                <w:color w:val="000000" w:themeColor="text1"/>
                <w:sz w:val="16"/>
                <w:szCs w:val="16"/>
                <w:lang w:eastAsia="en-GB"/>
              </w:rPr>
              <w:br/>
              <w:t>(55%-100%)</w:t>
            </w:r>
          </w:p>
        </w:tc>
        <w:tc>
          <w:tcPr>
            <w:tcW w:w="1398" w:type="dxa"/>
            <w:tcBorders>
              <w:top w:val="nil"/>
              <w:left w:val="single" w:sz="4" w:space="0" w:color="auto"/>
              <w:bottom w:val="nil"/>
              <w:right w:val="nil"/>
            </w:tcBorders>
            <w:shd w:val="clear" w:color="auto" w:fill="F2F2F2" w:themeFill="background1" w:themeFillShade="F2"/>
            <w:hideMark/>
          </w:tcPr>
          <w:p w14:paraId="7D33ADE9"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 xml:space="preserve">71.4% </w:t>
            </w:r>
            <w:r w:rsidRPr="00445A65">
              <w:rPr>
                <w:rFonts w:ascii="Calibri" w:eastAsia="Times New Roman" w:hAnsi="Calibri" w:cs="Calibri"/>
                <w:color w:val="000000" w:themeColor="text1"/>
                <w:sz w:val="16"/>
                <w:szCs w:val="16"/>
                <w:lang w:eastAsia="en-GB"/>
              </w:rPr>
              <w:br/>
              <w:t>(64.4% - 78.6%)</w:t>
            </w:r>
          </w:p>
        </w:tc>
        <w:tc>
          <w:tcPr>
            <w:tcW w:w="1398" w:type="dxa"/>
            <w:tcBorders>
              <w:top w:val="nil"/>
              <w:left w:val="single" w:sz="4" w:space="0" w:color="auto"/>
              <w:bottom w:val="nil"/>
              <w:right w:val="nil"/>
            </w:tcBorders>
            <w:shd w:val="clear" w:color="000000" w:fill="F2F2F2"/>
            <w:hideMark/>
          </w:tcPr>
          <w:p w14:paraId="42A3D142"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60%</w:t>
            </w:r>
          </w:p>
        </w:tc>
        <w:tc>
          <w:tcPr>
            <w:tcW w:w="1398" w:type="dxa"/>
            <w:tcBorders>
              <w:top w:val="nil"/>
              <w:left w:val="single" w:sz="4" w:space="0" w:color="auto"/>
              <w:bottom w:val="nil"/>
              <w:right w:val="nil"/>
            </w:tcBorders>
            <w:shd w:val="clear" w:color="000000" w:fill="F2F2F2"/>
            <w:hideMark/>
          </w:tcPr>
          <w:p w14:paraId="219FB682"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60%</w:t>
            </w:r>
          </w:p>
        </w:tc>
        <w:tc>
          <w:tcPr>
            <w:tcW w:w="1398" w:type="dxa"/>
            <w:tcBorders>
              <w:top w:val="nil"/>
              <w:left w:val="single" w:sz="4" w:space="0" w:color="auto"/>
              <w:bottom w:val="nil"/>
              <w:right w:val="nil"/>
            </w:tcBorders>
            <w:shd w:val="clear" w:color="000000" w:fill="F2F2F2"/>
            <w:hideMark/>
          </w:tcPr>
          <w:p w14:paraId="0729516D"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60%</w:t>
            </w:r>
          </w:p>
        </w:tc>
        <w:tc>
          <w:tcPr>
            <w:tcW w:w="1399" w:type="dxa"/>
            <w:tcBorders>
              <w:top w:val="nil"/>
              <w:left w:val="single" w:sz="4" w:space="0" w:color="auto"/>
              <w:bottom w:val="nil"/>
            </w:tcBorders>
            <w:shd w:val="clear" w:color="000000" w:fill="F2F2F2"/>
            <w:hideMark/>
          </w:tcPr>
          <w:p w14:paraId="57257EEA"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38%</w:t>
            </w:r>
          </w:p>
        </w:tc>
      </w:tr>
      <w:tr w:rsidR="00445A65" w:rsidRPr="00445A65" w14:paraId="0D8733EA" w14:textId="77777777" w:rsidTr="00F961CB">
        <w:trPr>
          <w:trHeight w:val="300"/>
        </w:trPr>
        <w:tc>
          <w:tcPr>
            <w:tcW w:w="1560" w:type="dxa"/>
            <w:tcBorders>
              <w:top w:val="nil"/>
              <w:left w:val="nil"/>
              <w:bottom w:val="nil"/>
              <w:right w:val="nil"/>
            </w:tcBorders>
            <w:shd w:val="clear" w:color="000000" w:fill="FFFFFF"/>
            <w:hideMark/>
          </w:tcPr>
          <w:p w14:paraId="360C17E4"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 </w:t>
            </w:r>
          </w:p>
        </w:tc>
        <w:tc>
          <w:tcPr>
            <w:tcW w:w="1208" w:type="dxa"/>
            <w:tcBorders>
              <w:top w:val="nil"/>
              <w:left w:val="nil"/>
              <w:bottom w:val="nil"/>
              <w:right w:val="single" w:sz="4" w:space="0" w:color="auto"/>
            </w:tcBorders>
            <w:shd w:val="clear" w:color="000000" w:fill="FFFFFF"/>
            <w:hideMark/>
          </w:tcPr>
          <w:p w14:paraId="08FD59E7"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tertiary infection</w:t>
            </w:r>
          </w:p>
        </w:tc>
        <w:tc>
          <w:tcPr>
            <w:tcW w:w="1593" w:type="dxa"/>
            <w:tcBorders>
              <w:top w:val="nil"/>
              <w:left w:val="nil"/>
              <w:bottom w:val="nil"/>
              <w:right w:val="nil"/>
            </w:tcBorders>
            <w:shd w:val="clear" w:color="000000" w:fill="FFFFFF"/>
            <w:hideMark/>
          </w:tcPr>
          <w:p w14:paraId="7A6E9EBF"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from 4% (&lt;5 y) to 13% (&gt; 15 yrs)</w:t>
            </w:r>
          </w:p>
        </w:tc>
        <w:tc>
          <w:tcPr>
            <w:tcW w:w="1417" w:type="dxa"/>
            <w:tcBorders>
              <w:top w:val="nil"/>
              <w:left w:val="single" w:sz="4" w:space="0" w:color="auto"/>
              <w:bottom w:val="nil"/>
              <w:right w:val="nil"/>
            </w:tcBorders>
            <w:shd w:val="clear" w:color="000000" w:fill="FFFFFF"/>
            <w:hideMark/>
          </w:tcPr>
          <w:p w14:paraId="00CD0F8F"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23%</w:t>
            </w:r>
          </w:p>
        </w:tc>
        <w:tc>
          <w:tcPr>
            <w:tcW w:w="1184" w:type="dxa"/>
            <w:tcBorders>
              <w:top w:val="nil"/>
              <w:left w:val="single" w:sz="4" w:space="0" w:color="auto"/>
              <w:bottom w:val="nil"/>
              <w:right w:val="nil"/>
            </w:tcBorders>
            <w:shd w:val="clear" w:color="000000" w:fill="FFFFFF"/>
            <w:hideMark/>
          </w:tcPr>
          <w:p w14:paraId="55DA9253"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 xml:space="preserve">11% </w:t>
            </w:r>
            <w:r w:rsidRPr="00445A65">
              <w:rPr>
                <w:rFonts w:ascii="Calibri" w:eastAsia="Times New Roman" w:hAnsi="Calibri" w:cs="Calibri"/>
                <w:color w:val="000000" w:themeColor="text1"/>
                <w:sz w:val="16"/>
                <w:szCs w:val="16"/>
                <w:lang w:eastAsia="en-GB"/>
              </w:rPr>
              <w:br/>
              <w:t>(6%-17%)</w:t>
            </w:r>
          </w:p>
        </w:tc>
        <w:tc>
          <w:tcPr>
            <w:tcW w:w="1398" w:type="dxa"/>
            <w:tcBorders>
              <w:top w:val="nil"/>
              <w:left w:val="single" w:sz="4" w:space="0" w:color="auto"/>
              <w:bottom w:val="nil"/>
              <w:right w:val="nil"/>
            </w:tcBorders>
            <w:shd w:val="clear" w:color="000000" w:fill="FFFFFF"/>
            <w:hideMark/>
          </w:tcPr>
          <w:p w14:paraId="3D2C6EE4"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 xml:space="preserve">13.6% </w:t>
            </w:r>
            <w:r w:rsidRPr="00445A65">
              <w:rPr>
                <w:rFonts w:ascii="Calibri" w:eastAsia="Times New Roman" w:hAnsi="Calibri" w:cs="Calibri"/>
                <w:color w:val="000000" w:themeColor="text1"/>
                <w:sz w:val="16"/>
                <w:szCs w:val="16"/>
                <w:lang w:eastAsia="en-GB"/>
              </w:rPr>
              <w:br/>
              <w:t>(9.8% - 17.8%)</w:t>
            </w:r>
          </w:p>
        </w:tc>
        <w:tc>
          <w:tcPr>
            <w:tcW w:w="1398" w:type="dxa"/>
            <w:tcBorders>
              <w:top w:val="nil"/>
              <w:left w:val="single" w:sz="4" w:space="0" w:color="auto"/>
              <w:bottom w:val="nil"/>
              <w:right w:val="nil"/>
            </w:tcBorders>
            <w:shd w:val="clear" w:color="000000" w:fill="FFFFFF"/>
            <w:hideMark/>
          </w:tcPr>
          <w:p w14:paraId="6CA705FB"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10%</w:t>
            </w:r>
          </w:p>
        </w:tc>
        <w:tc>
          <w:tcPr>
            <w:tcW w:w="1398" w:type="dxa"/>
            <w:tcBorders>
              <w:top w:val="nil"/>
              <w:left w:val="single" w:sz="4" w:space="0" w:color="auto"/>
              <w:bottom w:val="nil"/>
              <w:right w:val="nil"/>
            </w:tcBorders>
            <w:shd w:val="clear" w:color="000000" w:fill="FFFFFF"/>
            <w:hideMark/>
          </w:tcPr>
          <w:p w14:paraId="5E9D5043"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10%</w:t>
            </w:r>
          </w:p>
        </w:tc>
        <w:tc>
          <w:tcPr>
            <w:tcW w:w="1398" w:type="dxa"/>
            <w:tcBorders>
              <w:top w:val="nil"/>
              <w:left w:val="single" w:sz="4" w:space="0" w:color="auto"/>
              <w:bottom w:val="nil"/>
              <w:right w:val="nil"/>
            </w:tcBorders>
            <w:shd w:val="clear" w:color="000000" w:fill="FFFFFF"/>
            <w:hideMark/>
          </w:tcPr>
          <w:p w14:paraId="541D11B3"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10%</w:t>
            </w:r>
          </w:p>
        </w:tc>
        <w:tc>
          <w:tcPr>
            <w:tcW w:w="1399" w:type="dxa"/>
            <w:tcBorders>
              <w:top w:val="nil"/>
              <w:left w:val="single" w:sz="4" w:space="0" w:color="auto"/>
              <w:bottom w:val="nil"/>
            </w:tcBorders>
            <w:shd w:val="clear" w:color="000000" w:fill="FFFFFF"/>
            <w:hideMark/>
          </w:tcPr>
          <w:p w14:paraId="7A3CE76D"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12%</w:t>
            </w:r>
          </w:p>
        </w:tc>
      </w:tr>
      <w:tr w:rsidR="00445A65" w:rsidRPr="00445A65" w14:paraId="46EE368C" w14:textId="77777777" w:rsidTr="00F961CB">
        <w:trPr>
          <w:trHeight w:val="300"/>
        </w:trPr>
        <w:tc>
          <w:tcPr>
            <w:tcW w:w="1560" w:type="dxa"/>
            <w:tcBorders>
              <w:top w:val="nil"/>
              <w:left w:val="nil"/>
              <w:bottom w:val="nil"/>
              <w:right w:val="nil"/>
            </w:tcBorders>
            <w:shd w:val="clear" w:color="000000" w:fill="F2F2F2"/>
            <w:hideMark/>
          </w:tcPr>
          <w:p w14:paraId="16DF6077"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 </w:t>
            </w:r>
          </w:p>
        </w:tc>
        <w:tc>
          <w:tcPr>
            <w:tcW w:w="1208" w:type="dxa"/>
            <w:tcBorders>
              <w:top w:val="nil"/>
              <w:left w:val="nil"/>
              <w:bottom w:val="nil"/>
              <w:right w:val="single" w:sz="4" w:space="0" w:color="auto"/>
            </w:tcBorders>
            <w:shd w:val="clear" w:color="000000" w:fill="F2F2F2"/>
            <w:hideMark/>
          </w:tcPr>
          <w:p w14:paraId="12848183"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quarternary infection</w:t>
            </w:r>
          </w:p>
        </w:tc>
        <w:tc>
          <w:tcPr>
            <w:tcW w:w="1593" w:type="dxa"/>
            <w:tcBorders>
              <w:top w:val="nil"/>
              <w:left w:val="nil"/>
              <w:bottom w:val="nil"/>
              <w:right w:val="nil"/>
            </w:tcBorders>
            <w:shd w:val="clear" w:color="000000" w:fill="F2F2F2"/>
            <w:hideMark/>
          </w:tcPr>
          <w:p w14:paraId="00692EA0" w14:textId="4533091B" w:rsidR="00445A65" w:rsidRPr="00445A65" w:rsidRDefault="007758A7"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same as tertiary</w:t>
            </w:r>
          </w:p>
        </w:tc>
        <w:tc>
          <w:tcPr>
            <w:tcW w:w="1417" w:type="dxa"/>
            <w:tcBorders>
              <w:top w:val="nil"/>
              <w:left w:val="single" w:sz="4" w:space="0" w:color="auto"/>
              <w:bottom w:val="nil"/>
              <w:right w:val="nil"/>
            </w:tcBorders>
            <w:shd w:val="clear" w:color="000000" w:fill="F2F2F2"/>
            <w:hideMark/>
          </w:tcPr>
          <w:p w14:paraId="5E2E4DCC"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0%</w:t>
            </w:r>
          </w:p>
        </w:tc>
        <w:tc>
          <w:tcPr>
            <w:tcW w:w="1184" w:type="dxa"/>
            <w:tcBorders>
              <w:top w:val="nil"/>
              <w:left w:val="single" w:sz="4" w:space="0" w:color="auto"/>
              <w:bottom w:val="nil"/>
              <w:right w:val="nil"/>
            </w:tcBorders>
            <w:shd w:val="clear" w:color="000000" w:fill="F2F2F2"/>
            <w:hideMark/>
          </w:tcPr>
          <w:p w14:paraId="316B6241"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same as tertiary</w:t>
            </w:r>
          </w:p>
        </w:tc>
        <w:tc>
          <w:tcPr>
            <w:tcW w:w="1398" w:type="dxa"/>
            <w:tcBorders>
              <w:top w:val="nil"/>
              <w:left w:val="single" w:sz="4" w:space="0" w:color="auto"/>
              <w:bottom w:val="nil"/>
              <w:right w:val="nil"/>
            </w:tcBorders>
            <w:shd w:val="clear" w:color="auto" w:fill="F2F2F2" w:themeFill="background1" w:themeFillShade="F2"/>
            <w:hideMark/>
          </w:tcPr>
          <w:p w14:paraId="7FA522FD" w14:textId="7B894733" w:rsidR="00445A65" w:rsidRPr="00445A65" w:rsidRDefault="007758A7"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same as tertiary</w:t>
            </w:r>
          </w:p>
        </w:tc>
        <w:tc>
          <w:tcPr>
            <w:tcW w:w="1398" w:type="dxa"/>
            <w:tcBorders>
              <w:top w:val="nil"/>
              <w:left w:val="single" w:sz="4" w:space="0" w:color="auto"/>
              <w:bottom w:val="nil"/>
              <w:right w:val="nil"/>
            </w:tcBorders>
            <w:shd w:val="clear" w:color="000000" w:fill="F2F2F2"/>
            <w:hideMark/>
          </w:tcPr>
          <w:p w14:paraId="7D3C39C5" w14:textId="0FE6BC76" w:rsidR="00445A65" w:rsidRPr="00445A65" w:rsidRDefault="007758A7"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same as tertiary</w:t>
            </w:r>
          </w:p>
        </w:tc>
        <w:tc>
          <w:tcPr>
            <w:tcW w:w="1398" w:type="dxa"/>
            <w:tcBorders>
              <w:top w:val="nil"/>
              <w:left w:val="single" w:sz="4" w:space="0" w:color="auto"/>
              <w:bottom w:val="nil"/>
              <w:right w:val="nil"/>
            </w:tcBorders>
            <w:shd w:val="clear" w:color="000000" w:fill="F2F2F2"/>
            <w:hideMark/>
          </w:tcPr>
          <w:p w14:paraId="0A813022" w14:textId="2E04301B" w:rsidR="00445A65" w:rsidRPr="00445A65" w:rsidRDefault="007758A7"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same as tertiary</w:t>
            </w:r>
          </w:p>
        </w:tc>
        <w:tc>
          <w:tcPr>
            <w:tcW w:w="1398" w:type="dxa"/>
            <w:tcBorders>
              <w:top w:val="nil"/>
              <w:left w:val="single" w:sz="4" w:space="0" w:color="auto"/>
              <w:bottom w:val="nil"/>
              <w:right w:val="nil"/>
            </w:tcBorders>
            <w:shd w:val="clear" w:color="000000" w:fill="F2F2F2"/>
            <w:hideMark/>
          </w:tcPr>
          <w:p w14:paraId="19203BAE" w14:textId="1FC5ED23" w:rsidR="00445A65" w:rsidRPr="00445A65" w:rsidRDefault="007758A7"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same as tertiary</w:t>
            </w:r>
          </w:p>
        </w:tc>
        <w:tc>
          <w:tcPr>
            <w:tcW w:w="1399" w:type="dxa"/>
            <w:tcBorders>
              <w:top w:val="nil"/>
              <w:left w:val="single" w:sz="4" w:space="0" w:color="auto"/>
              <w:bottom w:val="nil"/>
            </w:tcBorders>
            <w:shd w:val="clear" w:color="000000" w:fill="F2F2F2"/>
            <w:hideMark/>
          </w:tcPr>
          <w:p w14:paraId="049E45F3" w14:textId="2B855914" w:rsidR="00445A65" w:rsidRPr="00445A65" w:rsidRDefault="007758A7"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same as tertiary</w:t>
            </w:r>
          </w:p>
        </w:tc>
      </w:tr>
      <w:tr w:rsidR="00445A65" w:rsidRPr="00445A65" w14:paraId="1AEF4B22" w14:textId="77777777" w:rsidTr="00F961CB">
        <w:trPr>
          <w:trHeight w:val="300"/>
        </w:trPr>
        <w:tc>
          <w:tcPr>
            <w:tcW w:w="1560" w:type="dxa"/>
            <w:tcBorders>
              <w:top w:val="nil"/>
              <w:left w:val="nil"/>
              <w:bottom w:val="nil"/>
              <w:right w:val="nil"/>
            </w:tcBorders>
            <w:shd w:val="clear" w:color="000000" w:fill="FFFFFF"/>
            <w:hideMark/>
          </w:tcPr>
          <w:p w14:paraId="3BAF6656"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 </w:t>
            </w:r>
          </w:p>
        </w:tc>
        <w:tc>
          <w:tcPr>
            <w:tcW w:w="1208" w:type="dxa"/>
            <w:tcBorders>
              <w:top w:val="nil"/>
              <w:left w:val="nil"/>
              <w:bottom w:val="nil"/>
              <w:right w:val="single" w:sz="4" w:space="0" w:color="auto"/>
            </w:tcBorders>
            <w:shd w:val="clear" w:color="000000" w:fill="FFFFFF"/>
            <w:hideMark/>
          </w:tcPr>
          <w:p w14:paraId="52F5C40A"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age dependency?</w:t>
            </w:r>
          </w:p>
        </w:tc>
        <w:tc>
          <w:tcPr>
            <w:tcW w:w="1593" w:type="dxa"/>
            <w:tcBorders>
              <w:top w:val="nil"/>
              <w:left w:val="nil"/>
              <w:bottom w:val="nil"/>
              <w:right w:val="nil"/>
            </w:tcBorders>
            <w:shd w:val="clear" w:color="000000" w:fill="FFFFFF"/>
            <w:hideMark/>
          </w:tcPr>
          <w:p w14:paraId="396E8275"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yes</w:t>
            </w:r>
          </w:p>
        </w:tc>
        <w:tc>
          <w:tcPr>
            <w:tcW w:w="1417" w:type="dxa"/>
            <w:tcBorders>
              <w:top w:val="nil"/>
              <w:left w:val="single" w:sz="4" w:space="0" w:color="auto"/>
              <w:bottom w:val="nil"/>
              <w:right w:val="nil"/>
            </w:tcBorders>
            <w:shd w:val="clear" w:color="000000" w:fill="FFFFFF"/>
            <w:hideMark/>
          </w:tcPr>
          <w:p w14:paraId="5F8F9FA3"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no</w:t>
            </w:r>
          </w:p>
        </w:tc>
        <w:tc>
          <w:tcPr>
            <w:tcW w:w="1184" w:type="dxa"/>
            <w:tcBorders>
              <w:top w:val="nil"/>
              <w:left w:val="single" w:sz="4" w:space="0" w:color="auto"/>
              <w:bottom w:val="nil"/>
              <w:right w:val="nil"/>
            </w:tcBorders>
            <w:shd w:val="clear" w:color="000000" w:fill="FFFFFF"/>
            <w:hideMark/>
          </w:tcPr>
          <w:p w14:paraId="23EC27F4"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no</w:t>
            </w:r>
          </w:p>
        </w:tc>
        <w:tc>
          <w:tcPr>
            <w:tcW w:w="1398" w:type="dxa"/>
            <w:tcBorders>
              <w:top w:val="nil"/>
              <w:left w:val="single" w:sz="4" w:space="0" w:color="auto"/>
              <w:bottom w:val="nil"/>
              <w:right w:val="nil"/>
            </w:tcBorders>
            <w:shd w:val="clear" w:color="000000" w:fill="FFFFFF"/>
            <w:hideMark/>
          </w:tcPr>
          <w:p w14:paraId="35C57928" w14:textId="548F44FC" w:rsidR="00445A65" w:rsidRPr="00445A65" w:rsidRDefault="007758A7"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no</w:t>
            </w:r>
          </w:p>
        </w:tc>
        <w:tc>
          <w:tcPr>
            <w:tcW w:w="1398" w:type="dxa"/>
            <w:tcBorders>
              <w:top w:val="nil"/>
              <w:left w:val="single" w:sz="4" w:space="0" w:color="auto"/>
              <w:bottom w:val="nil"/>
              <w:right w:val="nil"/>
            </w:tcBorders>
            <w:shd w:val="clear" w:color="000000" w:fill="FFFFFF"/>
            <w:hideMark/>
          </w:tcPr>
          <w:p w14:paraId="73C5D23D"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no</w:t>
            </w:r>
          </w:p>
        </w:tc>
        <w:tc>
          <w:tcPr>
            <w:tcW w:w="1398" w:type="dxa"/>
            <w:tcBorders>
              <w:top w:val="nil"/>
              <w:left w:val="single" w:sz="4" w:space="0" w:color="auto"/>
              <w:bottom w:val="nil"/>
              <w:right w:val="nil"/>
            </w:tcBorders>
            <w:shd w:val="clear" w:color="000000" w:fill="FFFFFF"/>
            <w:hideMark/>
          </w:tcPr>
          <w:p w14:paraId="071F5EC8"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no</w:t>
            </w:r>
          </w:p>
        </w:tc>
        <w:tc>
          <w:tcPr>
            <w:tcW w:w="1398" w:type="dxa"/>
            <w:tcBorders>
              <w:top w:val="nil"/>
              <w:left w:val="single" w:sz="4" w:space="0" w:color="auto"/>
              <w:bottom w:val="nil"/>
              <w:right w:val="nil"/>
            </w:tcBorders>
            <w:shd w:val="clear" w:color="000000" w:fill="FFFFFF"/>
            <w:hideMark/>
          </w:tcPr>
          <w:p w14:paraId="5983D26E"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no</w:t>
            </w:r>
          </w:p>
        </w:tc>
        <w:tc>
          <w:tcPr>
            <w:tcW w:w="1399" w:type="dxa"/>
            <w:tcBorders>
              <w:top w:val="nil"/>
              <w:left w:val="single" w:sz="4" w:space="0" w:color="auto"/>
              <w:bottom w:val="nil"/>
            </w:tcBorders>
            <w:shd w:val="clear" w:color="000000" w:fill="FFFFFF"/>
            <w:hideMark/>
          </w:tcPr>
          <w:p w14:paraId="312CB382"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yes</w:t>
            </w:r>
          </w:p>
        </w:tc>
      </w:tr>
      <w:tr w:rsidR="00445A65" w:rsidRPr="00445A65" w14:paraId="68745460" w14:textId="77777777" w:rsidTr="00F961CB">
        <w:trPr>
          <w:trHeight w:val="300"/>
        </w:trPr>
        <w:tc>
          <w:tcPr>
            <w:tcW w:w="1560" w:type="dxa"/>
            <w:tcBorders>
              <w:top w:val="nil"/>
              <w:left w:val="nil"/>
              <w:bottom w:val="nil"/>
              <w:right w:val="nil"/>
            </w:tcBorders>
            <w:shd w:val="clear" w:color="000000" w:fill="F2F2F2"/>
            <w:hideMark/>
          </w:tcPr>
          <w:p w14:paraId="69222713"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Proportion of hospitalised cases among VCD</w:t>
            </w:r>
          </w:p>
        </w:tc>
        <w:tc>
          <w:tcPr>
            <w:tcW w:w="1208" w:type="dxa"/>
            <w:tcBorders>
              <w:top w:val="nil"/>
              <w:left w:val="nil"/>
              <w:bottom w:val="nil"/>
              <w:right w:val="single" w:sz="4" w:space="0" w:color="auto"/>
            </w:tcBorders>
            <w:shd w:val="clear" w:color="000000" w:fill="F2F2F2"/>
            <w:hideMark/>
          </w:tcPr>
          <w:p w14:paraId="5E41E7EE"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primary infection</w:t>
            </w:r>
          </w:p>
        </w:tc>
        <w:tc>
          <w:tcPr>
            <w:tcW w:w="1593" w:type="dxa"/>
            <w:tcBorders>
              <w:top w:val="nil"/>
              <w:left w:val="nil"/>
              <w:bottom w:val="nil"/>
              <w:right w:val="nil"/>
            </w:tcBorders>
            <w:shd w:val="clear" w:color="000000" w:fill="F2F2F2"/>
            <w:hideMark/>
          </w:tcPr>
          <w:p w14:paraId="216B821C"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~4% of infections (~11% of cases)</w:t>
            </w:r>
          </w:p>
        </w:tc>
        <w:tc>
          <w:tcPr>
            <w:tcW w:w="1417" w:type="dxa"/>
            <w:tcBorders>
              <w:top w:val="nil"/>
              <w:left w:val="single" w:sz="4" w:space="0" w:color="auto"/>
              <w:bottom w:val="nil"/>
              <w:right w:val="nil"/>
            </w:tcBorders>
            <w:shd w:val="clear" w:color="000000" w:fill="F2F2F2"/>
            <w:hideMark/>
          </w:tcPr>
          <w:p w14:paraId="346B2E2F"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0%</w:t>
            </w:r>
          </w:p>
        </w:tc>
        <w:tc>
          <w:tcPr>
            <w:tcW w:w="1184" w:type="dxa"/>
            <w:tcBorders>
              <w:top w:val="nil"/>
              <w:left w:val="single" w:sz="4" w:space="0" w:color="auto"/>
              <w:bottom w:val="nil"/>
              <w:right w:val="nil"/>
            </w:tcBorders>
            <w:shd w:val="clear" w:color="000000" w:fill="F2F2F2"/>
            <w:hideMark/>
          </w:tcPr>
          <w:p w14:paraId="0ED79BE4"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0.5% of infections (~1% of cases)</w:t>
            </w:r>
          </w:p>
        </w:tc>
        <w:tc>
          <w:tcPr>
            <w:tcW w:w="1398" w:type="dxa"/>
            <w:tcBorders>
              <w:top w:val="nil"/>
              <w:left w:val="single" w:sz="4" w:space="0" w:color="auto"/>
              <w:bottom w:val="nil"/>
              <w:right w:val="nil"/>
            </w:tcBorders>
            <w:shd w:val="clear" w:color="000000" w:fill="F2F2F2"/>
            <w:hideMark/>
          </w:tcPr>
          <w:p w14:paraId="00843301"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5.3% of cases (0.2% - 15.1%)</w:t>
            </w:r>
          </w:p>
        </w:tc>
        <w:tc>
          <w:tcPr>
            <w:tcW w:w="1398" w:type="dxa"/>
            <w:tcBorders>
              <w:top w:val="nil"/>
              <w:left w:val="single" w:sz="4" w:space="0" w:color="auto"/>
              <w:bottom w:val="nil"/>
              <w:right w:val="nil"/>
            </w:tcBorders>
            <w:shd w:val="clear" w:color="000000" w:fill="F2F2F2"/>
            <w:hideMark/>
          </w:tcPr>
          <w:p w14:paraId="6AA5512D"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all severe cases, ~10% mild cases</w:t>
            </w:r>
          </w:p>
        </w:tc>
        <w:tc>
          <w:tcPr>
            <w:tcW w:w="1398" w:type="dxa"/>
            <w:tcBorders>
              <w:top w:val="nil"/>
              <w:left w:val="single" w:sz="4" w:space="0" w:color="auto"/>
              <w:bottom w:val="nil"/>
              <w:right w:val="nil"/>
            </w:tcBorders>
            <w:shd w:val="clear" w:color="000000" w:fill="F2F2F2"/>
            <w:hideMark/>
          </w:tcPr>
          <w:p w14:paraId="632824CE"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11.1%</w:t>
            </w:r>
          </w:p>
        </w:tc>
        <w:tc>
          <w:tcPr>
            <w:tcW w:w="1398" w:type="dxa"/>
            <w:tcBorders>
              <w:top w:val="nil"/>
              <w:left w:val="single" w:sz="4" w:space="0" w:color="auto"/>
              <w:bottom w:val="nil"/>
              <w:right w:val="nil"/>
            </w:tcBorders>
            <w:shd w:val="clear" w:color="000000" w:fill="F2F2F2"/>
            <w:hideMark/>
          </w:tcPr>
          <w:p w14:paraId="1618E900"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11.1%</w:t>
            </w:r>
          </w:p>
        </w:tc>
        <w:tc>
          <w:tcPr>
            <w:tcW w:w="1399" w:type="dxa"/>
            <w:tcBorders>
              <w:top w:val="nil"/>
              <w:left w:val="single" w:sz="4" w:space="0" w:color="auto"/>
              <w:bottom w:val="nil"/>
            </w:tcBorders>
            <w:shd w:val="clear" w:color="000000" w:fill="F2F2F2"/>
            <w:hideMark/>
          </w:tcPr>
          <w:p w14:paraId="54AF69A2"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3%</w:t>
            </w:r>
          </w:p>
        </w:tc>
      </w:tr>
      <w:tr w:rsidR="00445A65" w:rsidRPr="00445A65" w14:paraId="04E3FB47" w14:textId="77777777" w:rsidTr="00F961CB">
        <w:trPr>
          <w:trHeight w:val="300"/>
        </w:trPr>
        <w:tc>
          <w:tcPr>
            <w:tcW w:w="1560" w:type="dxa"/>
            <w:tcBorders>
              <w:top w:val="nil"/>
              <w:left w:val="nil"/>
              <w:bottom w:val="nil"/>
              <w:right w:val="nil"/>
            </w:tcBorders>
            <w:shd w:val="clear" w:color="000000" w:fill="FFFFFF"/>
            <w:hideMark/>
          </w:tcPr>
          <w:p w14:paraId="51D5CFA0"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 </w:t>
            </w:r>
          </w:p>
        </w:tc>
        <w:tc>
          <w:tcPr>
            <w:tcW w:w="1208" w:type="dxa"/>
            <w:tcBorders>
              <w:top w:val="nil"/>
              <w:left w:val="nil"/>
              <w:bottom w:val="nil"/>
              <w:right w:val="single" w:sz="4" w:space="0" w:color="auto"/>
            </w:tcBorders>
            <w:shd w:val="clear" w:color="000000" w:fill="FFFFFF"/>
            <w:hideMark/>
          </w:tcPr>
          <w:p w14:paraId="128B046B"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secondary infection</w:t>
            </w:r>
          </w:p>
        </w:tc>
        <w:tc>
          <w:tcPr>
            <w:tcW w:w="1593" w:type="dxa"/>
            <w:tcBorders>
              <w:top w:val="nil"/>
              <w:left w:val="nil"/>
              <w:bottom w:val="nil"/>
              <w:right w:val="nil"/>
            </w:tcBorders>
            <w:shd w:val="clear" w:color="000000" w:fill="FFFFFF"/>
            <w:hideMark/>
          </w:tcPr>
          <w:p w14:paraId="7A3547CC"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~7% of infections (~15% of cases)</w:t>
            </w:r>
          </w:p>
        </w:tc>
        <w:tc>
          <w:tcPr>
            <w:tcW w:w="1417" w:type="dxa"/>
            <w:tcBorders>
              <w:top w:val="nil"/>
              <w:left w:val="single" w:sz="4" w:space="0" w:color="auto"/>
              <w:bottom w:val="nil"/>
              <w:right w:val="nil"/>
            </w:tcBorders>
            <w:shd w:val="clear" w:color="000000" w:fill="FFFFFF"/>
            <w:hideMark/>
          </w:tcPr>
          <w:p w14:paraId="69104F86"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14%</w:t>
            </w:r>
          </w:p>
        </w:tc>
        <w:tc>
          <w:tcPr>
            <w:tcW w:w="1184" w:type="dxa"/>
            <w:tcBorders>
              <w:top w:val="nil"/>
              <w:left w:val="single" w:sz="4" w:space="0" w:color="auto"/>
              <w:bottom w:val="nil"/>
              <w:right w:val="nil"/>
            </w:tcBorders>
            <w:shd w:val="clear" w:color="000000" w:fill="FFFFFF"/>
            <w:hideMark/>
          </w:tcPr>
          <w:p w14:paraId="31C7AF9B"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10% of infections (~12% of cases)</w:t>
            </w:r>
          </w:p>
        </w:tc>
        <w:tc>
          <w:tcPr>
            <w:tcW w:w="1398" w:type="dxa"/>
            <w:tcBorders>
              <w:top w:val="nil"/>
              <w:left w:val="single" w:sz="4" w:space="0" w:color="auto"/>
              <w:bottom w:val="nil"/>
              <w:right w:val="nil"/>
            </w:tcBorders>
            <w:shd w:val="clear" w:color="auto" w:fill="FFFFFF" w:themeFill="background1"/>
            <w:hideMark/>
          </w:tcPr>
          <w:p w14:paraId="54A8A4AD"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11.2% of cases (7.2% - 15.4%)</w:t>
            </w:r>
          </w:p>
        </w:tc>
        <w:tc>
          <w:tcPr>
            <w:tcW w:w="1398" w:type="dxa"/>
            <w:tcBorders>
              <w:top w:val="nil"/>
              <w:left w:val="single" w:sz="4" w:space="0" w:color="auto"/>
              <w:bottom w:val="nil"/>
              <w:right w:val="nil"/>
            </w:tcBorders>
            <w:shd w:val="clear" w:color="000000" w:fill="FFFFFF"/>
            <w:hideMark/>
          </w:tcPr>
          <w:p w14:paraId="64C252BE"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ibid</w:t>
            </w:r>
          </w:p>
        </w:tc>
        <w:tc>
          <w:tcPr>
            <w:tcW w:w="1398" w:type="dxa"/>
            <w:tcBorders>
              <w:top w:val="nil"/>
              <w:left w:val="single" w:sz="4" w:space="0" w:color="auto"/>
              <w:bottom w:val="nil"/>
              <w:right w:val="nil"/>
            </w:tcBorders>
            <w:shd w:val="clear" w:color="000000" w:fill="FFFFFF"/>
            <w:hideMark/>
          </w:tcPr>
          <w:p w14:paraId="0DED3152"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20.9%</w:t>
            </w:r>
          </w:p>
        </w:tc>
        <w:tc>
          <w:tcPr>
            <w:tcW w:w="1398" w:type="dxa"/>
            <w:tcBorders>
              <w:top w:val="nil"/>
              <w:left w:val="single" w:sz="4" w:space="0" w:color="auto"/>
              <w:bottom w:val="nil"/>
              <w:right w:val="nil"/>
            </w:tcBorders>
            <w:shd w:val="clear" w:color="000000" w:fill="FFFFFF"/>
            <w:hideMark/>
          </w:tcPr>
          <w:p w14:paraId="5F89D8A6"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20.9%</w:t>
            </w:r>
          </w:p>
        </w:tc>
        <w:tc>
          <w:tcPr>
            <w:tcW w:w="1399" w:type="dxa"/>
            <w:tcBorders>
              <w:top w:val="nil"/>
              <w:left w:val="single" w:sz="4" w:space="0" w:color="auto"/>
              <w:bottom w:val="nil"/>
            </w:tcBorders>
            <w:shd w:val="clear" w:color="000000" w:fill="FFFFFF"/>
            <w:hideMark/>
          </w:tcPr>
          <w:p w14:paraId="46494B8B"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11%</w:t>
            </w:r>
          </w:p>
        </w:tc>
      </w:tr>
      <w:tr w:rsidR="00445A65" w:rsidRPr="00445A65" w14:paraId="22FBB7CB" w14:textId="77777777" w:rsidTr="00F961CB">
        <w:trPr>
          <w:trHeight w:val="300"/>
        </w:trPr>
        <w:tc>
          <w:tcPr>
            <w:tcW w:w="1560" w:type="dxa"/>
            <w:tcBorders>
              <w:top w:val="nil"/>
              <w:left w:val="nil"/>
              <w:bottom w:val="nil"/>
              <w:right w:val="nil"/>
            </w:tcBorders>
            <w:shd w:val="clear" w:color="000000" w:fill="F2F2F2"/>
            <w:hideMark/>
          </w:tcPr>
          <w:p w14:paraId="392B75DC"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 </w:t>
            </w:r>
          </w:p>
        </w:tc>
        <w:tc>
          <w:tcPr>
            <w:tcW w:w="1208" w:type="dxa"/>
            <w:tcBorders>
              <w:top w:val="nil"/>
              <w:left w:val="nil"/>
              <w:bottom w:val="nil"/>
              <w:right w:val="single" w:sz="4" w:space="0" w:color="auto"/>
            </w:tcBorders>
            <w:shd w:val="clear" w:color="000000" w:fill="F2F2F2"/>
            <w:hideMark/>
          </w:tcPr>
          <w:p w14:paraId="5355530F"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tertiary infection</w:t>
            </w:r>
          </w:p>
        </w:tc>
        <w:tc>
          <w:tcPr>
            <w:tcW w:w="1593" w:type="dxa"/>
            <w:tcBorders>
              <w:top w:val="nil"/>
              <w:left w:val="nil"/>
              <w:bottom w:val="nil"/>
              <w:right w:val="nil"/>
            </w:tcBorders>
            <w:shd w:val="clear" w:color="000000" w:fill="F2F2F2"/>
            <w:hideMark/>
          </w:tcPr>
          <w:p w14:paraId="0B6053FF"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~1% of infections (~7% of cases)</w:t>
            </w:r>
          </w:p>
        </w:tc>
        <w:tc>
          <w:tcPr>
            <w:tcW w:w="1417" w:type="dxa"/>
            <w:tcBorders>
              <w:top w:val="nil"/>
              <w:left w:val="single" w:sz="4" w:space="0" w:color="auto"/>
              <w:bottom w:val="nil"/>
              <w:right w:val="nil"/>
            </w:tcBorders>
            <w:shd w:val="clear" w:color="000000" w:fill="F2F2F2"/>
            <w:hideMark/>
          </w:tcPr>
          <w:p w14:paraId="0983268C"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0%</w:t>
            </w:r>
          </w:p>
        </w:tc>
        <w:tc>
          <w:tcPr>
            <w:tcW w:w="1184" w:type="dxa"/>
            <w:tcBorders>
              <w:top w:val="nil"/>
              <w:left w:val="single" w:sz="4" w:space="0" w:color="auto"/>
              <w:bottom w:val="nil"/>
              <w:right w:val="nil"/>
            </w:tcBorders>
            <w:shd w:val="clear" w:color="000000" w:fill="F2F2F2"/>
            <w:hideMark/>
          </w:tcPr>
          <w:p w14:paraId="076A7239"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0.1% of infections (~0.9% of cases)</w:t>
            </w:r>
          </w:p>
        </w:tc>
        <w:tc>
          <w:tcPr>
            <w:tcW w:w="1398" w:type="dxa"/>
            <w:tcBorders>
              <w:top w:val="nil"/>
              <w:left w:val="single" w:sz="4" w:space="0" w:color="auto"/>
              <w:bottom w:val="nil"/>
              <w:right w:val="nil"/>
            </w:tcBorders>
            <w:shd w:val="clear" w:color="000000" w:fill="F2F2F2"/>
            <w:hideMark/>
          </w:tcPr>
          <w:p w14:paraId="19ACB260"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4.0% of cases (0.02% - 14.4%)</w:t>
            </w:r>
          </w:p>
        </w:tc>
        <w:tc>
          <w:tcPr>
            <w:tcW w:w="1398" w:type="dxa"/>
            <w:tcBorders>
              <w:top w:val="nil"/>
              <w:left w:val="single" w:sz="4" w:space="0" w:color="auto"/>
              <w:bottom w:val="nil"/>
              <w:right w:val="nil"/>
            </w:tcBorders>
            <w:shd w:val="clear" w:color="000000" w:fill="F2F2F2"/>
            <w:hideMark/>
          </w:tcPr>
          <w:p w14:paraId="1143D329"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ibid</w:t>
            </w:r>
          </w:p>
        </w:tc>
        <w:tc>
          <w:tcPr>
            <w:tcW w:w="1398" w:type="dxa"/>
            <w:tcBorders>
              <w:top w:val="nil"/>
              <w:left w:val="single" w:sz="4" w:space="0" w:color="auto"/>
              <w:bottom w:val="nil"/>
              <w:right w:val="nil"/>
            </w:tcBorders>
            <w:shd w:val="clear" w:color="000000" w:fill="F2F2F2"/>
            <w:hideMark/>
          </w:tcPr>
          <w:p w14:paraId="72088DE7"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5.2%</w:t>
            </w:r>
          </w:p>
        </w:tc>
        <w:tc>
          <w:tcPr>
            <w:tcW w:w="1398" w:type="dxa"/>
            <w:tcBorders>
              <w:top w:val="nil"/>
              <w:left w:val="single" w:sz="4" w:space="0" w:color="auto"/>
              <w:bottom w:val="nil"/>
              <w:right w:val="nil"/>
            </w:tcBorders>
            <w:shd w:val="clear" w:color="000000" w:fill="F2F2F2"/>
            <w:hideMark/>
          </w:tcPr>
          <w:p w14:paraId="4D38D818"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5.2%</w:t>
            </w:r>
          </w:p>
        </w:tc>
        <w:tc>
          <w:tcPr>
            <w:tcW w:w="1399" w:type="dxa"/>
            <w:tcBorders>
              <w:top w:val="nil"/>
              <w:left w:val="single" w:sz="4" w:space="0" w:color="auto"/>
              <w:bottom w:val="nil"/>
            </w:tcBorders>
            <w:shd w:val="clear" w:color="000000" w:fill="F2F2F2"/>
            <w:hideMark/>
          </w:tcPr>
          <w:p w14:paraId="18C6F041"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2%</w:t>
            </w:r>
          </w:p>
        </w:tc>
      </w:tr>
      <w:tr w:rsidR="00445A65" w:rsidRPr="00445A65" w14:paraId="738633BC" w14:textId="77777777" w:rsidTr="00F961CB">
        <w:trPr>
          <w:trHeight w:val="300"/>
        </w:trPr>
        <w:tc>
          <w:tcPr>
            <w:tcW w:w="1560" w:type="dxa"/>
            <w:tcBorders>
              <w:top w:val="nil"/>
              <w:left w:val="nil"/>
              <w:bottom w:val="nil"/>
              <w:right w:val="nil"/>
            </w:tcBorders>
            <w:shd w:val="clear" w:color="000000" w:fill="FFFFFF"/>
            <w:hideMark/>
          </w:tcPr>
          <w:p w14:paraId="2DC6B9D8"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 </w:t>
            </w:r>
          </w:p>
        </w:tc>
        <w:tc>
          <w:tcPr>
            <w:tcW w:w="1208" w:type="dxa"/>
            <w:tcBorders>
              <w:top w:val="nil"/>
              <w:left w:val="nil"/>
              <w:bottom w:val="nil"/>
              <w:right w:val="single" w:sz="4" w:space="0" w:color="auto"/>
            </w:tcBorders>
            <w:shd w:val="clear" w:color="000000" w:fill="FFFFFF"/>
            <w:hideMark/>
          </w:tcPr>
          <w:p w14:paraId="3BD457CE"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quarternary infection</w:t>
            </w:r>
          </w:p>
        </w:tc>
        <w:tc>
          <w:tcPr>
            <w:tcW w:w="1593" w:type="dxa"/>
            <w:tcBorders>
              <w:top w:val="nil"/>
              <w:left w:val="nil"/>
              <w:bottom w:val="nil"/>
              <w:right w:val="nil"/>
            </w:tcBorders>
            <w:shd w:val="clear" w:color="000000" w:fill="FFFFFF"/>
            <w:hideMark/>
          </w:tcPr>
          <w:p w14:paraId="5C39467C"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~1% of infections (~7% of cases)</w:t>
            </w:r>
          </w:p>
        </w:tc>
        <w:tc>
          <w:tcPr>
            <w:tcW w:w="1417" w:type="dxa"/>
            <w:tcBorders>
              <w:top w:val="nil"/>
              <w:left w:val="single" w:sz="4" w:space="0" w:color="auto"/>
              <w:bottom w:val="nil"/>
              <w:right w:val="nil"/>
            </w:tcBorders>
            <w:shd w:val="clear" w:color="000000" w:fill="FFFFFF"/>
            <w:hideMark/>
          </w:tcPr>
          <w:p w14:paraId="1C51FC49"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0%</w:t>
            </w:r>
          </w:p>
        </w:tc>
        <w:tc>
          <w:tcPr>
            <w:tcW w:w="1184" w:type="dxa"/>
            <w:tcBorders>
              <w:top w:val="nil"/>
              <w:left w:val="single" w:sz="4" w:space="0" w:color="auto"/>
              <w:bottom w:val="nil"/>
              <w:right w:val="nil"/>
            </w:tcBorders>
            <w:shd w:val="clear" w:color="000000" w:fill="FFFFFF"/>
            <w:hideMark/>
          </w:tcPr>
          <w:p w14:paraId="10482BF4"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0.1% of infections (~0.9% of cases)</w:t>
            </w:r>
          </w:p>
        </w:tc>
        <w:tc>
          <w:tcPr>
            <w:tcW w:w="1398" w:type="dxa"/>
            <w:tcBorders>
              <w:top w:val="nil"/>
              <w:left w:val="single" w:sz="4" w:space="0" w:color="auto"/>
              <w:bottom w:val="nil"/>
              <w:right w:val="nil"/>
            </w:tcBorders>
            <w:shd w:val="clear" w:color="auto" w:fill="FFFFFF" w:themeFill="background1"/>
            <w:hideMark/>
          </w:tcPr>
          <w:p w14:paraId="3BCAE24B"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Assumed same as tertiary</w:t>
            </w:r>
          </w:p>
        </w:tc>
        <w:tc>
          <w:tcPr>
            <w:tcW w:w="1398" w:type="dxa"/>
            <w:tcBorders>
              <w:top w:val="nil"/>
              <w:left w:val="single" w:sz="4" w:space="0" w:color="auto"/>
              <w:bottom w:val="nil"/>
              <w:right w:val="nil"/>
            </w:tcBorders>
            <w:shd w:val="clear" w:color="000000" w:fill="FFFFFF"/>
            <w:hideMark/>
          </w:tcPr>
          <w:p w14:paraId="715828FD"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ibid</w:t>
            </w:r>
          </w:p>
        </w:tc>
        <w:tc>
          <w:tcPr>
            <w:tcW w:w="1398" w:type="dxa"/>
            <w:tcBorders>
              <w:top w:val="nil"/>
              <w:left w:val="single" w:sz="4" w:space="0" w:color="auto"/>
              <w:bottom w:val="nil"/>
              <w:right w:val="nil"/>
            </w:tcBorders>
            <w:shd w:val="clear" w:color="000000" w:fill="FFFFFF"/>
            <w:hideMark/>
          </w:tcPr>
          <w:p w14:paraId="5E2978A1"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5.2%</w:t>
            </w:r>
          </w:p>
        </w:tc>
        <w:tc>
          <w:tcPr>
            <w:tcW w:w="1398" w:type="dxa"/>
            <w:tcBorders>
              <w:top w:val="nil"/>
              <w:left w:val="single" w:sz="4" w:space="0" w:color="auto"/>
              <w:bottom w:val="nil"/>
              <w:right w:val="nil"/>
            </w:tcBorders>
            <w:shd w:val="clear" w:color="000000" w:fill="FFFFFF"/>
            <w:hideMark/>
          </w:tcPr>
          <w:p w14:paraId="7805A91A"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5.2%</w:t>
            </w:r>
          </w:p>
        </w:tc>
        <w:tc>
          <w:tcPr>
            <w:tcW w:w="1399" w:type="dxa"/>
            <w:tcBorders>
              <w:top w:val="nil"/>
              <w:left w:val="single" w:sz="4" w:space="0" w:color="auto"/>
              <w:bottom w:val="nil"/>
            </w:tcBorders>
            <w:shd w:val="clear" w:color="000000" w:fill="FFFFFF"/>
            <w:hideMark/>
          </w:tcPr>
          <w:p w14:paraId="0C354AE0"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2%</w:t>
            </w:r>
          </w:p>
        </w:tc>
      </w:tr>
      <w:tr w:rsidR="00445A65" w:rsidRPr="00445A65" w14:paraId="44B552EA" w14:textId="77777777" w:rsidTr="00F961CB">
        <w:trPr>
          <w:trHeight w:val="300"/>
        </w:trPr>
        <w:tc>
          <w:tcPr>
            <w:tcW w:w="1560" w:type="dxa"/>
            <w:tcBorders>
              <w:top w:val="nil"/>
              <w:left w:val="nil"/>
              <w:bottom w:val="nil"/>
              <w:right w:val="nil"/>
            </w:tcBorders>
            <w:shd w:val="clear" w:color="000000" w:fill="F2F2F2"/>
            <w:hideMark/>
          </w:tcPr>
          <w:p w14:paraId="7E7BB49F"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 </w:t>
            </w:r>
          </w:p>
        </w:tc>
        <w:tc>
          <w:tcPr>
            <w:tcW w:w="1208" w:type="dxa"/>
            <w:tcBorders>
              <w:top w:val="nil"/>
              <w:left w:val="nil"/>
              <w:bottom w:val="nil"/>
              <w:right w:val="single" w:sz="4" w:space="0" w:color="auto"/>
            </w:tcBorders>
            <w:shd w:val="clear" w:color="000000" w:fill="F2F2F2"/>
            <w:hideMark/>
          </w:tcPr>
          <w:p w14:paraId="6ACD2561"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age dependency?</w:t>
            </w:r>
          </w:p>
        </w:tc>
        <w:tc>
          <w:tcPr>
            <w:tcW w:w="1593" w:type="dxa"/>
            <w:tcBorders>
              <w:top w:val="nil"/>
              <w:left w:val="nil"/>
              <w:bottom w:val="nil"/>
              <w:right w:val="nil"/>
            </w:tcBorders>
            <w:shd w:val="clear" w:color="000000" w:fill="F2F2F2"/>
            <w:hideMark/>
          </w:tcPr>
          <w:p w14:paraId="5B1FF08C"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yes</w:t>
            </w:r>
          </w:p>
        </w:tc>
        <w:tc>
          <w:tcPr>
            <w:tcW w:w="1417" w:type="dxa"/>
            <w:tcBorders>
              <w:top w:val="nil"/>
              <w:left w:val="single" w:sz="4" w:space="0" w:color="auto"/>
              <w:bottom w:val="nil"/>
              <w:right w:val="nil"/>
            </w:tcBorders>
            <w:shd w:val="clear" w:color="000000" w:fill="F2F2F2"/>
            <w:hideMark/>
          </w:tcPr>
          <w:p w14:paraId="735C23DE"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no</w:t>
            </w:r>
          </w:p>
        </w:tc>
        <w:tc>
          <w:tcPr>
            <w:tcW w:w="1184" w:type="dxa"/>
            <w:tcBorders>
              <w:top w:val="nil"/>
              <w:left w:val="single" w:sz="4" w:space="0" w:color="auto"/>
              <w:bottom w:val="nil"/>
              <w:right w:val="nil"/>
            </w:tcBorders>
            <w:shd w:val="clear" w:color="000000" w:fill="F2F2F2"/>
            <w:hideMark/>
          </w:tcPr>
          <w:p w14:paraId="30D8E2E7"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no</w:t>
            </w:r>
          </w:p>
        </w:tc>
        <w:tc>
          <w:tcPr>
            <w:tcW w:w="1398" w:type="dxa"/>
            <w:tcBorders>
              <w:top w:val="nil"/>
              <w:left w:val="single" w:sz="4" w:space="0" w:color="auto"/>
              <w:bottom w:val="nil"/>
              <w:right w:val="nil"/>
            </w:tcBorders>
            <w:shd w:val="clear" w:color="000000" w:fill="F2F2F2"/>
            <w:hideMark/>
          </w:tcPr>
          <w:p w14:paraId="0B857716" w14:textId="78FC3CB9" w:rsidR="00445A65" w:rsidRPr="00445A65" w:rsidRDefault="007758A7"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no</w:t>
            </w:r>
          </w:p>
        </w:tc>
        <w:tc>
          <w:tcPr>
            <w:tcW w:w="1398" w:type="dxa"/>
            <w:tcBorders>
              <w:top w:val="nil"/>
              <w:left w:val="single" w:sz="4" w:space="0" w:color="auto"/>
              <w:bottom w:val="nil"/>
              <w:right w:val="nil"/>
            </w:tcBorders>
            <w:shd w:val="clear" w:color="000000" w:fill="F2F2F2"/>
            <w:hideMark/>
          </w:tcPr>
          <w:p w14:paraId="1A363F31"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no</w:t>
            </w:r>
          </w:p>
        </w:tc>
        <w:tc>
          <w:tcPr>
            <w:tcW w:w="1398" w:type="dxa"/>
            <w:tcBorders>
              <w:top w:val="nil"/>
              <w:left w:val="single" w:sz="4" w:space="0" w:color="auto"/>
              <w:bottom w:val="nil"/>
              <w:right w:val="nil"/>
            </w:tcBorders>
            <w:shd w:val="clear" w:color="000000" w:fill="F2F2F2"/>
            <w:hideMark/>
          </w:tcPr>
          <w:p w14:paraId="2E22F71F"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no</w:t>
            </w:r>
          </w:p>
        </w:tc>
        <w:tc>
          <w:tcPr>
            <w:tcW w:w="1398" w:type="dxa"/>
            <w:tcBorders>
              <w:top w:val="nil"/>
              <w:left w:val="single" w:sz="4" w:space="0" w:color="auto"/>
              <w:bottom w:val="nil"/>
              <w:right w:val="nil"/>
            </w:tcBorders>
            <w:shd w:val="clear" w:color="000000" w:fill="F2F2F2"/>
            <w:hideMark/>
          </w:tcPr>
          <w:p w14:paraId="0E6F1C35"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no</w:t>
            </w:r>
          </w:p>
        </w:tc>
        <w:tc>
          <w:tcPr>
            <w:tcW w:w="1399" w:type="dxa"/>
            <w:tcBorders>
              <w:top w:val="nil"/>
              <w:left w:val="single" w:sz="4" w:space="0" w:color="auto"/>
              <w:bottom w:val="nil"/>
            </w:tcBorders>
            <w:shd w:val="clear" w:color="000000" w:fill="F2F2F2"/>
            <w:hideMark/>
          </w:tcPr>
          <w:p w14:paraId="5799DCB8"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yes</w:t>
            </w:r>
          </w:p>
        </w:tc>
      </w:tr>
      <w:tr w:rsidR="00445A65" w:rsidRPr="00445A65" w14:paraId="02C3FC38" w14:textId="77777777" w:rsidTr="00F961CB">
        <w:trPr>
          <w:trHeight w:val="450"/>
        </w:trPr>
        <w:tc>
          <w:tcPr>
            <w:tcW w:w="2768" w:type="dxa"/>
            <w:gridSpan w:val="2"/>
            <w:tcBorders>
              <w:top w:val="nil"/>
              <w:left w:val="nil"/>
              <w:bottom w:val="nil"/>
              <w:right w:val="single" w:sz="4" w:space="0" w:color="auto"/>
            </w:tcBorders>
            <w:shd w:val="clear" w:color="auto" w:fill="auto"/>
            <w:hideMark/>
          </w:tcPr>
          <w:p w14:paraId="7B3AAD33"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proportion of deaths among VCD</w:t>
            </w:r>
          </w:p>
          <w:p w14:paraId="151387B3" w14:textId="77777777" w:rsidR="00445A65" w:rsidRPr="00445A65" w:rsidRDefault="00445A65" w:rsidP="00F961CB">
            <w:pPr>
              <w:spacing w:after="0" w:line="240" w:lineRule="auto"/>
              <w:rPr>
                <w:rFonts w:ascii="Calibri" w:eastAsia="Times New Roman" w:hAnsi="Calibri" w:cs="Calibri"/>
                <w:color w:val="000000" w:themeColor="text1"/>
                <w:sz w:val="16"/>
                <w:szCs w:val="16"/>
                <w:lang w:eastAsia="en-GB"/>
              </w:rPr>
            </w:pPr>
          </w:p>
        </w:tc>
        <w:tc>
          <w:tcPr>
            <w:tcW w:w="1593" w:type="dxa"/>
            <w:tcBorders>
              <w:top w:val="nil"/>
              <w:left w:val="nil"/>
              <w:bottom w:val="nil"/>
              <w:right w:val="nil"/>
            </w:tcBorders>
            <w:shd w:val="clear" w:color="auto" w:fill="auto"/>
            <w:hideMark/>
          </w:tcPr>
          <w:p w14:paraId="29498F68"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 xml:space="preserve">~0.05% </w:t>
            </w:r>
            <w:r w:rsidRPr="00445A65">
              <w:rPr>
                <w:rFonts w:ascii="Calibri" w:eastAsia="Times New Roman" w:hAnsi="Calibri" w:cs="Calibri"/>
                <w:color w:val="000000" w:themeColor="text1"/>
                <w:sz w:val="16"/>
                <w:szCs w:val="16"/>
                <w:lang w:eastAsia="en-GB"/>
              </w:rPr>
              <w:br/>
              <w:t>(0.5% of hospitalised)</w:t>
            </w:r>
          </w:p>
        </w:tc>
        <w:tc>
          <w:tcPr>
            <w:tcW w:w="1417" w:type="dxa"/>
            <w:tcBorders>
              <w:top w:val="nil"/>
              <w:left w:val="single" w:sz="4" w:space="0" w:color="auto"/>
              <w:bottom w:val="nil"/>
              <w:right w:val="nil"/>
            </w:tcBorders>
            <w:shd w:val="clear" w:color="auto" w:fill="auto"/>
            <w:hideMark/>
          </w:tcPr>
          <w:p w14:paraId="060F5729"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 xml:space="preserve">~ 0.03% </w:t>
            </w:r>
            <w:r w:rsidRPr="00445A65">
              <w:rPr>
                <w:rFonts w:ascii="Calibri" w:eastAsia="Times New Roman" w:hAnsi="Calibri" w:cs="Calibri"/>
                <w:color w:val="000000" w:themeColor="text1"/>
                <w:sz w:val="16"/>
                <w:szCs w:val="16"/>
                <w:lang w:eastAsia="en-GB"/>
              </w:rPr>
              <w:br/>
              <w:t>(0.4% of hospitalised) </w:t>
            </w:r>
          </w:p>
        </w:tc>
        <w:tc>
          <w:tcPr>
            <w:tcW w:w="1184" w:type="dxa"/>
            <w:tcBorders>
              <w:top w:val="nil"/>
              <w:left w:val="single" w:sz="4" w:space="0" w:color="auto"/>
              <w:bottom w:val="nil"/>
              <w:right w:val="nil"/>
            </w:tcBorders>
            <w:shd w:val="clear" w:color="auto" w:fill="auto"/>
            <w:hideMark/>
          </w:tcPr>
          <w:p w14:paraId="158F7339"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 xml:space="preserve">~0.05% </w:t>
            </w:r>
            <w:r w:rsidRPr="00445A65">
              <w:rPr>
                <w:rFonts w:ascii="Calibri" w:eastAsia="Times New Roman" w:hAnsi="Calibri" w:cs="Calibri"/>
                <w:color w:val="000000" w:themeColor="text1"/>
                <w:sz w:val="16"/>
                <w:szCs w:val="16"/>
                <w:lang w:eastAsia="en-GB"/>
              </w:rPr>
              <w:br/>
              <w:t>(0.5% of severe cases)</w:t>
            </w:r>
          </w:p>
        </w:tc>
        <w:tc>
          <w:tcPr>
            <w:tcW w:w="1398" w:type="dxa"/>
            <w:tcBorders>
              <w:top w:val="nil"/>
              <w:left w:val="single" w:sz="4" w:space="0" w:color="auto"/>
              <w:bottom w:val="nil"/>
              <w:right w:val="nil"/>
            </w:tcBorders>
            <w:shd w:val="clear" w:color="auto" w:fill="auto"/>
            <w:hideMark/>
          </w:tcPr>
          <w:p w14:paraId="3B441571"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 xml:space="preserve">0.078% </w:t>
            </w:r>
          </w:p>
        </w:tc>
        <w:tc>
          <w:tcPr>
            <w:tcW w:w="1398" w:type="dxa"/>
            <w:tcBorders>
              <w:top w:val="nil"/>
              <w:left w:val="single" w:sz="4" w:space="0" w:color="auto"/>
              <w:bottom w:val="nil"/>
              <w:right w:val="nil"/>
            </w:tcBorders>
            <w:shd w:val="clear" w:color="auto" w:fill="auto"/>
            <w:hideMark/>
          </w:tcPr>
          <w:p w14:paraId="3DF771AF"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0.078% of hospitalised</w:t>
            </w:r>
          </w:p>
        </w:tc>
        <w:tc>
          <w:tcPr>
            <w:tcW w:w="1398" w:type="dxa"/>
            <w:tcBorders>
              <w:top w:val="nil"/>
              <w:left w:val="single" w:sz="4" w:space="0" w:color="auto"/>
              <w:bottom w:val="nil"/>
              <w:right w:val="nil"/>
            </w:tcBorders>
            <w:shd w:val="clear" w:color="auto" w:fill="auto"/>
            <w:hideMark/>
          </w:tcPr>
          <w:p w14:paraId="58D1140D"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0.078%</w:t>
            </w:r>
          </w:p>
        </w:tc>
        <w:tc>
          <w:tcPr>
            <w:tcW w:w="1398" w:type="dxa"/>
            <w:tcBorders>
              <w:top w:val="nil"/>
              <w:left w:val="single" w:sz="4" w:space="0" w:color="auto"/>
              <w:bottom w:val="nil"/>
              <w:right w:val="nil"/>
            </w:tcBorders>
            <w:shd w:val="clear" w:color="auto" w:fill="auto"/>
            <w:hideMark/>
          </w:tcPr>
          <w:p w14:paraId="67FB0984"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0.078%</w:t>
            </w:r>
          </w:p>
        </w:tc>
        <w:tc>
          <w:tcPr>
            <w:tcW w:w="1399" w:type="dxa"/>
            <w:tcBorders>
              <w:top w:val="nil"/>
              <w:left w:val="single" w:sz="4" w:space="0" w:color="auto"/>
              <w:bottom w:val="nil"/>
            </w:tcBorders>
            <w:shd w:val="clear" w:color="auto" w:fill="auto"/>
            <w:hideMark/>
          </w:tcPr>
          <w:p w14:paraId="24A90225" w14:textId="77777777" w:rsidR="00445A65" w:rsidRPr="00445A65" w:rsidRDefault="00445A65" w:rsidP="00F961CB">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~0.084%</w:t>
            </w:r>
            <w:r w:rsidRPr="00445A65">
              <w:rPr>
                <w:rFonts w:ascii="Calibri" w:eastAsia="Times New Roman" w:hAnsi="Calibri" w:cs="Calibri"/>
                <w:color w:val="000000" w:themeColor="text1"/>
                <w:sz w:val="16"/>
                <w:szCs w:val="16"/>
                <w:lang w:eastAsia="en-GB"/>
              </w:rPr>
              <w:br/>
              <w:t>(0.4% of hospitalised)</w:t>
            </w:r>
          </w:p>
        </w:tc>
      </w:tr>
    </w:tbl>
    <w:p w14:paraId="33AF9B5B" w14:textId="77777777" w:rsidR="00445A65" w:rsidRPr="00445A65" w:rsidRDefault="00445A65" w:rsidP="00445A65">
      <w:pPr>
        <w:rPr>
          <w:color w:val="000000" w:themeColor="text1"/>
        </w:rPr>
        <w:sectPr w:rsidR="00445A65" w:rsidRPr="00445A65" w:rsidSect="00F961CB">
          <w:pgSz w:w="16838" w:h="11906" w:orient="landscape"/>
          <w:pgMar w:top="1440" w:right="1440" w:bottom="1440" w:left="1440" w:header="708" w:footer="708" w:gutter="0"/>
          <w:lnNumType w:countBy="1" w:restart="continuous"/>
          <w:cols w:space="708"/>
          <w:docGrid w:linePitch="360"/>
        </w:sectPr>
      </w:pPr>
    </w:p>
    <w:p w14:paraId="72E7AF93" w14:textId="77777777" w:rsidR="00445A65" w:rsidRPr="00445A65" w:rsidRDefault="00445A65" w:rsidP="00445A65">
      <w:pPr>
        <w:pStyle w:val="Heading2"/>
        <w:rPr>
          <w:color w:val="000000" w:themeColor="text1"/>
        </w:rPr>
      </w:pPr>
      <w:r w:rsidRPr="00445A65">
        <w:rPr>
          <w:color w:val="000000" w:themeColor="text1"/>
        </w:rPr>
        <w:lastRenderedPageBreak/>
        <w:t>Pre-vaccination baseline comparison</w:t>
      </w:r>
    </w:p>
    <w:p w14:paraId="3D47901D" w14:textId="426C0BCF" w:rsidR="00445A65" w:rsidRPr="00445A65" w:rsidRDefault="00445A65" w:rsidP="00445A65">
      <w:pPr>
        <w:rPr>
          <w:color w:val="000000" w:themeColor="text1"/>
        </w:rPr>
      </w:pPr>
      <w:r w:rsidRPr="00445A65">
        <w:rPr>
          <w:color w:val="000000" w:themeColor="text1"/>
        </w:rPr>
        <w:t>We assessed the age distribution of symptomatic and hospitalised cases in the models. In settings with low transmission intensity the risk for dengue disease is almost equally distributed among all age groups (</w:t>
      </w:r>
      <w:r w:rsidR="00D40AD7">
        <w:rPr>
          <w:color w:val="000000" w:themeColor="text1"/>
        </w:rPr>
        <w:t>Figure A</w:t>
      </w:r>
      <w:r w:rsidRPr="00445A65">
        <w:rPr>
          <w:color w:val="000000" w:themeColor="text1"/>
        </w:rPr>
        <w:t>). With minor differences, the models agree that with increasing transmission intensity the burden of dengue disease becomes dominant in children less than 20 years old. Within the age group that was evaluated for potential introduction of routine vaccination in this work (children 9 to 18 years old), most models predict a gradual increase in seroprevalence with age. In settings with low, moderate, or high transmission intensity seroprevalence in children 18 years old was predicted to be about 25% higher than in 9 year olds (</w:t>
      </w:r>
      <w:r w:rsidR="00D40AD7">
        <w:rPr>
          <w:color w:val="000000" w:themeColor="text1"/>
        </w:rPr>
        <w:t>Figure B</w:t>
      </w:r>
      <w:r w:rsidRPr="00445A65">
        <w:rPr>
          <w:color w:val="000000" w:themeColor="text1"/>
        </w:rPr>
        <w:t xml:space="preserve">). The UWA model is highly stochastic in nature and while the trends of increasing seropositivity with age are similar to the other models they are partially mask by stochastic effects. </w:t>
      </w:r>
    </w:p>
    <w:p w14:paraId="7D709028" w14:textId="38F8097B" w:rsidR="00445A65" w:rsidRPr="00445A65" w:rsidRDefault="00165541" w:rsidP="00445A65">
      <w:pPr>
        <w:keepNext/>
        <w:rPr>
          <w:color w:val="000000" w:themeColor="text1"/>
        </w:rPr>
      </w:pPr>
      <w:r>
        <w:rPr>
          <w:noProof/>
          <w:color w:val="000000" w:themeColor="text1"/>
          <w:lang w:eastAsia="en-GB"/>
        </w:rPr>
        <w:drawing>
          <wp:inline distT="0" distB="0" distL="0" distR="0" wp14:anchorId="2FDAD1DC" wp14:editId="385BA4DE">
            <wp:extent cx="5727700" cy="2289810"/>
            <wp:effectExtent l="0" t="0" r="6350" b="0"/>
            <wp:docPr id="4" name="Picture 4" descr="C:\Users\EIDESFLA\Dropbox\CMDVI\Phase II analysis\Figures\Manuscript\Fig0a_BaselineCaseAgeDistribu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DESFLA\Dropbox\CMDVI\Phase II analysis\Figures\Manuscript\Fig0a_BaselineCaseAgeDistribution.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2289810"/>
                    </a:xfrm>
                    <a:prstGeom prst="rect">
                      <a:avLst/>
                    </a:prstGeom>
                    <a:noFill/>
                    <a:ln>
                      <a:noFill/>
                    </a:ln>
                  </pic:spPr>
                </pic:pic>
              </a:graphicData>
            </a:graphic>
          </wp:inline>
        </w:drawing>
      </w:r>
    </w:p>
    <w:p w14:paraId="625756C0" w14:textId="158248B4" w:rsidR="00445A65" w:rsidRPr="00445A65" w:rsidRDefault="00445A65" w:rsidP="00445A65">
      <w:pPr>
        <w:pStyle w:val="Caption"/>
        <w:rPr>
          <w:color w:val="000000" w:themeColor="text1"/>
        </w:rPr>
      </w:pPr>
      <w:bookmarkStart w:id="2" w:name="_Ref447281540"/>
      <w:r w:rsidRPr="00445A65">
        <w:rPr>
          <w:color w:val="000000" w:themeColor="text1"/>
        </w:rPr>
        <w:t xml:space="preserve">Figure </w:t>
      </w:r>
      <w:bookmarkEnd w:id="2"/>
      <w:r w:rsidR="00E3248D">
        <w:rPr>
          <w:color w:val="000000" w:themeColor="text1"/>
        </w:rPr>
        <w:t>A</w:t>
      </w:r>
      <w:r w:rsidRPr="00445A65">
        <w:rPr>
          <w:color w:val="000000" w:themeColor="text1"/>
        </w:rPr>
        <w:t>: The cumulative age distribution of symptomatic cases and hospitalised cases before the start of vaccination</w:t>
      </w:r>
    </w:p>
    <w:p w14:paraId="4BA7E648" w14:textId="6F4C6CFE" w:rsidR="00445A65" w:rsidRPr="00445A65" w:rsidRDefault="00165541" w:rsidP="00445A65">
      <w:pPr>
        <w:keepNext/>
        <w:rPr>
          <w:color w:val="000000" w:themeColor="text1"/>
        </w:rPr>
      </w:pPr>
      <w:r>
        <w:rPr>
          <w:noProof/>
          <w:color w:val="000000" w:themeColor="text1"/>
          <w:lang w:eastAsia="en-GB"/>
        </w:rPr>
        <w:drawing>
          <wp:inline distT="0" distB="0" distL="0" distR="0" wp14:anchorId="6C03D6C1" wp14:editId="3BFE9C21">
            <wp:extent cx="5727700" cy="1718945"/>
            <wp:effectExtent l="0" t="0" r="6350" b="0"/>
            <wp:docPr id="13" name="Picture 13" descr="C:\Users\EIDESFLA\Dropbox\CMDVI\Phase II analysis\Figures\Manuscript\Fig0c_seropositiv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DESFLA\Dropbox\CMDVI\Phase II analysis\Figures\Manuscript\Fig0c_seropositives.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1718945"/>
                    </a:xfrm>
                    <a:prstGeom prst="rect">
                      <a:avLst/>
                    </a:prstGeom>
                    <a:noFill/>
                    <a:ln>
                      <a:noFill/>
                    </a:ln>
                  </pic:spPr>
                </pic:pic>
              </a:graphicData>
            </a:graphic>
          </wp:inline>
        </w:drawing>
      </w:r>
    </w:p>
    <w:p w14:paraId="033A2C88" w14:textId="415BDD5D" w:rsidR="00445A65" w:rsidRPr="00445A65" w:rsidRDefault="00445A65" w:rsidP="00445A65">
      <w:pPr>
        <w:pStyle w:val="Caption"/>
        <w:rPr>
          <w:color w:val="000000" w:themeColor="text1"/>
        </w:rPr>
      </w:pPr>
      <w:bookmarkStart w:id="3" w:name="_Ref447281570"/>
      <w:r w:rsidRPr="00445A65">
        <w:rPr>
          <w:color w:val="000000" w:themeColor="text1"/>
        </w:rPr>
        <w:t xml:space="preserve">Figure </w:t>
      </w:r>
      <w:bookmarkEnd w:id="3"/>
      <w:r w:rsidR="00E3248D">
        <w:rPr>
          <w:color w:val="000000" w:themeColor="text1"/>
        </w:rPr>
        <w:t>B</w:t>
      </w:r>
      <w:r w:rsidRPr="00445A65">
        <w:rPr>
          <w:color w:val="000000" w:themeColor="text1"/>
        </w:rPr>
        <w:t>: The age-stratified proportion of seropositive individuals before the start of vaccination</w:t>
      </w:r>
    </w:p>
    <w:p w14:paraId="69CAFEBF" w14:textId="77777777" w:rsidR="00445A65" w:rsidRPr="00445A65" w:rsidRDefault="00445A65" w:rsidP="00445A65">
      <w:pPr>
        <w:pStyle w:val="Heading2"/>
        <w:rPr>
          <w:color w:val="000000" w:themeColor="text1"/>
        </w:rPr>
      </w:pPr>
      <w:r w:rsidRPr="00445A65">
        <w:rPr>
          <w:color w:val="000000" w:themeColor="text1"/>
        </w:rPr>
        <w:t>Additional post vaccination results</w:t>
      </w:r>
    </w:p>
    <w:p w14:paraId="15C9A5C9" w14:textId="702F3890" w:rsidR="00445A65" w:rsidRPr="00445A65" w:rsidRDefault="00445A65" w:rsidP="00C32C3E">
      <w:pPr>
        <w:rPr>
          <w:color w:val="000000" w:themeColor="text1"/>
        </w:rPr>
      </w:pPr>
      <w:r w:rsidRPr="00445A65">
        <w:rPr>
          <w:color w:val="000000" w:themeColor="text1"/>
        </w:rPr>
        <w:t>As we assumed only transient vaccine protection against dengue infection, in most models introduction of Dengvaxia to 9 year olds at 80% coverage did not substantially reduce transmission. In particular, those model</w:t>
      </w:r>
      <w:r w:rsidR="004A7D6D">
        <w:rPr>
          <w:color w:val="000000" w:themeColor="text1"/>
        </w:rPr>
        <w:t>s</w:t>
      </w:r>
      <w:r w:rsidRPr="00445A65">
        <w:rPr>
          <w:color w:val="000000" w:themeColor="text1"/>
        </w:rPr>
        <w:t xml:space="preserve"> which assumed that symptomatic cases are more infectious predict that in settings with low transmission intensity dengue circulation may be increased as a result of an increased probability of symptomatic infections in individuals who were seronegative at time of vaccination (</w:t>
      </w:r>
      <w:r w:rsidR="00D40AD7">
        <w:rPr>
          <w:color w:val="000000" w:themeColor="text1"/>
        </w:rPr>
        <w:t>Figure C</w:t>
      </w:r>
      <w:r w:rsidR="00C32C3E">
        <w:rPr>
          <w:color w:val="000000" w:themeColor="text1"/>
        </w:rPr>
        <w:t>)</w:t>
      </w:r>
      <w:r w:rsidR="00244F32">
        <w:rPr>
          <w:color w:val="000000" w:themeColor="text1"/>
        </w:rPr>
        <w:t>.</w:t>
      </w:r>
      <w:r w:rsidR="00C32C3E">
        <w:rPr>
          <w:color w:val="000000" w:themeColor="text1"/>
        </w:rPr>
        <w:t xml:space="preserve"> Similarly</w:t>
      </w:r>
      <w:r w:rsidR="00244F32">
        <w:rPr>
          <w:color w:val="000000" w:themeColor="text1"/>
        </w:rPr>
        <w:t>,</w:t>
      </w:r>
      <w:r w:rsidR="00C32C3E">
        <w:rPr>
          <w:color w:val="000000" w:themeColor="text1"/>
        </w:rPr>
        <w:t xml:space="preserve"> the mean age of dengue infection stays mostly constant after </w:t>
      </w:r>
      <w:r w:rsidR="00C32C3E">
        <w:rPr>
          <w:color w:val="000000" w:themeColor="text1"/>
        </w:rPr>
        <w:lastRenderedPageBreak/>
        <w:t xml:space="preserve">vaccination. Only in the UWA model the mean age of infection increases slightly. </w:t>
      </w:r>
      <w:r w:rsidR="00C32C3E" w:rsidRPr="00C32C3E">
        <w:rPr>
          <w:color w:val="000000" w:themeColor="text1"/>
        </w:rPr>
        <w:t>This is caused by a small decrease in the rate of transmission due to the accumulation of individuals with long-term vaccine protection</w:t>
      </w:r>
      <w:r w:rsidR="00C32C3E">
        <w:rPr>
          <w:color w:val="000000" w:themeColor="text1"/>
        </w:rPr>
        <w:t xml:space="preserve"> in this model (</w:t>
      </w:r>
      <w:r w:rsidR="00D40AD7">
        <w:rPr>
          <w:color w:val="000000" w:themeColor="text1"/>
        </w:rPr>
        <w:t>Figure D</w:t>
      </w:r>
      <w:r w:rsidRPr="00445A65">
        <w:rPr>
          <w:color w:val="000000" w:themeColor="text1"/>
        </w:rPr>
        <w:t>). The benefit of vaccination was generally predicted to accrue almost linearly over time in settings with at least moderate transmission intensity. In other settings most models predict relatively little impact during the 10 years after introduction of Dengvaxia® and (negative) effect to only accrue thereafter (</w:t>
      </w:r>
      <w:r w:rsidR="00D40AD7">
        <w:rPr>
          <w:color w:val="000000" w:themeColor="text1"/>
        </w:rPr>
        <w:t xml:space="preserve">Figure E </w:t>
      </w:r>
      <w:r w:rsidRPr="00445A65">
        <w:rPr>
          <w:color w:val="000000" w:themeColor="text1"/>
        </w:rPr>
        <w:t>and</w:t>
      </w:r>
      <w:r w:rsidR="00D40AD7">
        <w:rPr>
          <w:color w:val="000000" w:themeColor="text1"/>
        </w:rPr>
        <w:t xml:space="preserve"> Figure F</w:t>
      </w:r>
      <w:r w:rsidRPr="00445A65">
        <w:rPr>
          <w:color w:val="000000" w:themeColor="text1"/>
        </w:rPr>
        <w:t xml:space="preserve">). </w:t>
      </w:r>
    </w:p>
    <w:p w14:paraId="73E9C73D" w14:textId="7B23C78C" w:rsidR="00445A65" w:rsidRPr="00445A65" w:rsidRDefault="00165541" w:rsidP="00445A65">
      <w:pPr>
        <w:pStyle w:val="Caption"/>
        <w:keepNext/>
        <w:rPr>
          <w:color w:val="000000" w:themeColor="text1"/>
        </w:rPr>
      </w:pPr>
      <w:r>
        <w:rPr>
          <w:noProof/>
          <w:color w:val="000000" w:themeColor="text1"/>
          <w:lang w:eastAsia="en-GB"/>
        </w:rPr>
        <w:drawing>
          <wp:inline distT="0" distB="0" distL="0" distR="0" wp14:anchorId="6AAE4772" wp14:editId="665B8CD8">
            <wp:extent cx="5727700" cy="2289810"/>
            <wp:effectExtent l="0" t="0" r="6350" b="0"/>
            <wp:docPr id="14" name="Picture 14" descr="C:\Users\EIDESFLA\Dropbox\CMDVI\Phase II analysis\Figures\Manuscript\Fig0b_VaccineEffectsOnSeropositivity_referenc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DESFLA\Dropbox\CMDVI\Phase II analysis\Figures\Manuscript\Fig0b_VaccineEffectsOnSeropositivity_reference.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2289810"/>
                    </a:xfrm>
                    <a:prstGeom prst="rect">
                      <a:avLst/>
                    </a:prstGeom>
                    <a:noFill/>
                    <a:ln>
                      <a:noFill/>
                    </a:ln>
                  </pic:spPr>
                </pic:pic>
              </a:graphicData>
            </a:graphic>
          </wp:inline>
        </w:drawing>
      </w:r>
    </w:p>
    <w:p w14:paraId="4E357D1F" w14:textId="385FB3D9" w:rsidR="00445A65" w:rsidRDefault="00445A65" w:rsidP="00817D8D">
      <w:pPr>
        <w:pStyle w:val="Caption"/>
        <w:rPr>
          <w:color w:val="000000" w:themeColor="text1"/>
        </w:rPr>
      </w:pPr>
      <w:bookmarkStart w:id="4" w:name="_Ref445888011"/>
      <w:r w:rsidRPr="00445A65">
        <w:rPr>
          <w:color w:val="000000" w:themeColor="text1"/>
        </w:rPr>
        <w:t xml:space="preserve">Figure </w:t>
      </w:r>
      <w:r w:rsidR="00E3248D">
        <w:rPr>
          <w:color w:val="000000" w:themeColor="text1"/>
        </w:rPr>
        <w:t>C</w:t>
      </w:r>
      <w:bookmarkEnd w:id="4"/>
      <w:r w:rsidRPr="00445A65">
        <w:rPr>
          <w:color w:val="000000" w:themeColor="text1"/>
        </w:rPr>
        <w:t xml:space="preserve">: The change in proportion of 9y old children that are seropositve at vaccination in the 30 years after the introduction of Dengvaxia®. </w:t>
      </w:r>
      <w:r w:rsidRPr="00445A65">
        <w:rPr>
          <w:noProof/>
          <w:color w:val="000000" w:themeColor="text1"/>
        </w:rPr>
        <w:t>Lines</w:t>
      </w:r>
      <w:r w:rsidRPr="00445A65">
        <w:rPr>
          <w:color w:val="000000" w:themeColor="text1"/>
        </w:rPr>
        <w:t xml:space="preserve"> represent the mean and the shaded region of the respective colour the 95% range over multiple simulations</w:t>
      </w:r>
    </w:p>
    <w:p w14:paraId="192E568C" w14:textId="4A8A4895" w:rsidR="00543A43" w:rsidRDefault="00165541" w:rsidP="00ED4A5F">
      <w:pPr>
        <w:keepNext/>
      </w:pPr>
      <w:r>
        <w:rPr>
          <w:noProof/>
          <w:lang w:eastAsia="en-GB"/>
        </w:rPr>
        <w:drawing>
          <wp:inline distT="0" distB="0" distL="0" distR="0" wp14:anchorId="648C0AEE" wp14:editId="657B697A">
            <wp:extent cx="5727700" cy="2289810"/>
            <wp:effectExtent l="0" t="0" r="6350" b="0"/>
            <wp:docPr id="15" name="Picture 15" descr="C:\Users\EIDESFLA\Dropbox\CMDVI\Phase II analysis\Figures\Manuscript\Fig0b2_MeanAgeOfInfec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DESFLA\Dropbox\CMDVI\Phase II analysis\Figures\Manuscript\Fig0b2_MeanAgeOfInfection.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2289810"/>
                    </a:xfrm>
                    <a:prstGeom prst="rect">
                      <a:avLst/>
                    </a:prstGeom>
                    <a:noFill/>
                    <a:ln>
                      <a:noFill/>
                    </a:ln>
                  </pic:spPr>
                </pic:pic>
              </a:graphicData>
            </a:graphic>
          </wp:inline>
        </w:drawing>
      </w:r>
    </w:p>
    <w:p w14:paraId="0573EFE3" w14:textId="3C93F9E7" w:rsidR="00ED62C1" w:rsidRDefault="00543A43" w:rsidP="006103D2">
      <w:pPr>
        <w:pStyle w:val="Caption"/>
      </w:pPr>
      <w:bookmarkStart w:id="5" w:name="_Ref458171621"/>
      <w:r w:rsidRPr="00ED4A5F">
        <w:rPr>
          <w:color w:val="auto"/>
        </w:rPr>
        <w:t xml:space="preserve">Figure </w:t>
      </w:r>
      <w:bookmarkEnd w:id="5"/>
      <w:r w:rsidR="00E3248D">
        <w:rPr>
          <w:color w:val="auto"/>
        </w:rPr>
        <w:t>D</w:t>
      </w:r>
      <w:r w:rsidRPr="00ED4A5F">
        <w:rPr>
          <w:color w:val="auto"/>
        </w:rPr>
        <w:t xml:space="preserve">: The change </w:t>
      </w:r>
      <w:r w:rsidRPr="00445A65">
        <w:rPr>
          <w:color w:val="000000" w:themeColor="text1"/>
        </w:rPr>
        <w:t xml:space="preserve">in </w:t>
      </w:r>
      <w:r w:rsidR="00524A37">
        <w:rPr>
          <w:color w:val="000000" w:themeColor="text1"/>
        </w:rPr>
        <w:t xml:space="preserve">the mean age of infection </w:t>
      </w:r>
      <w:r w:rsidRPr="00445A65">
        <w:rPr>
          <w:color w:val="000000" w:themeColor="text1"/>
        </w:rPr>
        <w:t xml:space="preserve">in the 30 years after the introduction of Dengvaxia®. </w:t>
      </w:r>
      <w:r w:rsidRPr="00445A65">
        <w:rPr>
          <w:noProof/>
          <w:color w:val="000000" w:themeColor="text1"/>
        </w:rPr>
        <w:t>Lines</w:t>
      </w:r>
      <w:r w:rsidRPr="00445A65">
        <w:rPr>
          <w:color w:val="000000" w:themeColor="text1"/>
        </w:rPr>
        <w:t xml:space="preserve"> represent the mean and the shaded region of the respective colour the 95% range over multiple simulations</w:t>
      </w:r>
    </w:p>
    <w:p w14:paraId="7C17D1C2" w14:textId="77777777" w:rsidR="00ED62C1" w:rsidRPr="00ED4A5F" w:rsidRDefault="00ED62C1" w:rsidP="00ED4A5F"/>
    <w:p w14:paraId="750DEF37" w14:textId="521D0E3A" w:rsidR="00445A65" w:rsidRPr="00445A65" w:rsidRDefault="00165541" w:rsidP="00445A65">
      <w:pPr>
        <w:keepNext/>
        <w:rPr>
          <w:color w:val="000000" w:themeColor="text1"/>
        </w:rPr>
      </w:pPr>
      <w:r>
        <w:rPr>
          <w:noProof/>
          <w:color w:val="000000" w:themeColor="text1"/>
          <w:lang w:eastAsia="en-GB"/>
        </w:rPr>
        <w:lastRenderedPageBreak/>
        <w:drawing>
          <wp:inline distT="0" distB="0" distL="0" distR="0" wp14:anchorId="217D28B6" wp14:editId="144A95F2">
            <wp:extent cx="5720715" cy="1909445"/>
            <wp:effectExtent l="0" t="0" r="0" b="0"/>
            <wp:docPr id="17" name="Picture 17" descr="C:\Users\EIDESFLA\Dropbox\CMDVI\Phase II analysis\Figures\Manuscript\Fig2_VaccineEffectsInPopulat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DESFLA\Dropbox\CMDVI\Phase II analysis\Figures\Manuscript\Fig2_VaccineEffectsInPopulation.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0715" cy="1909445"/>
                    </a:xfrm>
                    <a:prstGeom prst="rect">
                      <a:avLst/>
                    </a:prstGeom>
                    <a:noFill/>
                    <a:ln>
                      <a:noFill/>
                    </a:ln>
                  </pic:spPr>
                </pic:pic>
              </a:graphicData>
            </a:graphic>
          </wp:inline>
        </w:drawing>
      </w:r>
    </w:p>
    <w:p w14:paraId="329F12D5" w14:textId="4BDF458C" w:rsidR="00445A65" w:rsidRPr="00445A65" w:rsidRDefault="00445A65" w:rsidP="00445A65">
      <w:pPr>
        <w:pStyle w:val="Caption"/>
        <w:rPr>
          <w:color w:val="000000" w:themeColor="text1"/>
        </w:rPr>
      </w:pPr>
      <w:bookmarkStart w:id="6" w:name="_Ref447282816"/>
      <w:r w:rsidRPr="00445A65">
        <w:rPr>
          <w:color w:val="000000" w:themeColor="text1"/>
        </w:rPr>
        <w:t xml:space="preserve">Figure </w:t>
      </w:r>
      <w:bookmarkEnd w:id="6"/>
      <w:r w:rsidR="00E3248D">
        <w:rPr>
          <w:color w:val="000000" w:themeColor="text1"/>
        </w:rPr>
        <w:t>E</w:t>
      </w:r>
      <w:r w:rsidRPr="00445A65">
        <w:rPr>
          <w:color w:val="000000" w:themeColor="text1"/>
        </w:rPr>
        <w:t>: Predicted cumulative number of symptomatic and hospitalised DENV cases averted per 100,000 population over the 30 years</w:t>
      </w:r>
      <w:r w:rsidRPr="00445A65">
        <w:rPr>
          <w:noProof/>
          <w:color w:val="000000" w:themeColor="text1"/>
        </w:rPr>
        <w:t xml:space="preserve"> after the start of routine vaccination (reference scenario). Lines</w:t>
      </w:r>
      <w:r w:rsidRPr="00445A65">
        <w:rPr>
          <w:color w:val="000000" w:themeColor="text1"/>
        </w:rPr>
        <w:t xml:space="preserve"> represent the mean and the shaded region of the respective colour the 95% range over multiple simulations.</w:t>
      </w:r>
    </w:p>
    <w:p w14:paraId="1BA246FA" w14:textId="6CAB9CDC" w:rsidR="00445A65" w:rsidRPr="00445A65" w:rsidRDefault="00165541" w:rsidP="00445A65">
      <w:pPr>
        <w:keepNext/>
        <w:rPr>
          <w:color w:val="000000" w:themeColor="text1"/>
        </w:rPr>
      </w:pPr>
      <w:r>
        <w:rPr>
          <w:noProof/>
          <w:color w:val="000000" w:themeColor="text1"/>
          <w:lang w:eastAsia="en-GB"/>
        </w:rPr>
        <w:drawing>
          <wp:inline distT="0" distB="0" distL="0" distR="0" wp14:anchorId="09567EA7" wp14:editId="37F13C93">
            <wp:extent cx="5720715" cy="2860040"/>
            <wp:effectExtent l="0" t="0" r="0" b="0"/>
            <wp:docPr id="18" name="Picture 18" descr="C:\Users\EIDESFLA\Dropbox\CMDVI\Phase II analysis\Figures\Manuscript\Fig1a_ProportionAverted_10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DESFLA\Dropbox\CMDVI\Phase II analysis\Figures\Manuscript\Fig1a_ProportionAverted_10y.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0715" cy="2860040"/>
                    </a:xfrm>
                    <a:prstGeom prst="rect">
                      <a:avLst/>
                    </a:prstGeom>
                    <a:noFill/>
                    <a:ln>
                      <a:noFill/>
                    </a:ln>
                  </pic:spPr>
                </pic:pic>
              </a:graphicData>
            </a:graphic>
          </wp:inline>
        </w:drawing>
      </w:r>
    </w:p>
    <w:p w14:paraId="3B89B73E" w14:textId="2AE9E33E" w:rsidR="00445A65" w:rsidRDefault="00445A65" w:rsidP="00445A65">
      <w:pPr>
        <w:pStyle w:val="Caption"/>
        <w:rPr>
          <w:color w:val="000000" w:themeColor="text1"/>
        </w:rPr>
      </w:pPr>
      <w:bookmarkStart w:id="7" w:name="_Ref448916092"/>
      <w:r w:rsidRPr="00445A65">
        <w:rPr>
          <w:color w:val="000000" w:themeColor="text1"/>
        </w:rPr>
        <w:t xml:space="preserve">Figure </w:t>
      </w:r>
      <w:bookmarkEnd w:id="7"/>
      <w:r w:rsidR="00E3248D">
        <w:rPr>
          <w:color w:val="000000" w:themeColor="text1"/>
        </w:rPr>
        <w:t>F</w:t>
      </w:r>
      <w:r w:rsidRPr="00445A65">
        <w:rPr>
          <w:color w:val="000000" w:themeColor="text1"/>
        </w:rPr>
        <w:t>: The proportion of symptomatic and hospitalised DENV cases averted within 10 years after vaccine introduction in the reference scenario. The bars represent the mean and the error bars the 95% range over multiple simulations.</w:t>
      </w:r>
    </w:p>
    <w:p w14:paraId="1F98896C" w14:textId="2D9A355B" w:rsidR="00ED59AD" w:rsidRDefault="00165541" w:rsidP="00ED4A5F">
      <w:pPr>
        <w:keepNext/>
      </w:pPr>
      <w:r>
        <w:rPr>
          <w:noProof/>
          <w:lang w:eastAsia="en-GB"/>
        </w:rPr>
        <w:lastRenderedPageBreak/>
        <w:drawing>
          <wp:inline distT="0" distB="0" distL="0" distR="0" wp14:anchorId="4F3D1002" wp14:editId="1DB46BD9">
            <wp:extent cx="5720715" cy="2860040"/>
            <wp:effectExtent l="0" t="0" r="0" b="0"/>
            <wp:docPr id="19" name="Picture 19" descr="C:\Users\EIDESFLA\Dropbox\CMDVI\Phase II analysis\Figures\Manuscript\Fig1a_ProportionAverted_U9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IDESFLA\Dropbox\CMDVI\Phase II analysis\Figures\Manuscript\Fig1a_ProportionAverted_U9y.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0715" cy="2860040"/>
                    </a:xfrm>
                    <a:prstGeom prst="rect">
                      <a:avLst/>
                    </a:prstGeom>
                    <a:noFill/>
                    <a:ln>
                      <a:noFill/>
                    </a:ln>
                  </pic:spPr>
                </pic:pic>
              </a:graphicData>
            </a:graphic>
          </wp:inline>
        </w:drawing>
      </w:r>
    </w:p>
    <w:p w14:paraId="0489B640" w14:textId="66CC2444" w:rsidR="00ED59AD" w:rsidRPr="00ED4A5F" w:rsidRDefault="00ED59AD">
      <w:pPr>
        <w:pStyle w:val="Caption"/>
        <w:rPr>
          <w:color w:val="auto"/>
        </w:rPr>
      </w:pPr>
      <w:r w:rsidRPr="00ED4A5F">
        <w:rPr>
          <w:color w:val="auto"/>
        </w:rPr>
        <w:t xml:space="preserve">Figure </w:t>
      </w:r>
      <w:r w:rsidR="00E3248D">
        <w:rPr>
          <w:color w:val="auto"/>
        </w:rPr>
        <w:t>G</w:t>
      </w:r>
      <w:r w:rsidRPr="00ED4A5F">
        <w:rPr>
          <w:color w:val="auto"/>
        </w:rPr>
        <w:t xml:space="preserve">: The proportion of symptomatic and hospitalised DENV cases averted </w:t>
      </w:r>
      <w:r w:rsidR="00245DBF">
        <w:rPr>
          <w:color w:val="auto"/>
        </w:rPr>
        <w:t xml:space="preserve">among unvaccinated children younger than 9 years </w:t>
      </w:r>
      <w:r w:rsidRPr="00ED4A5F">
        <w:rPr>
          <w:color w:val="auto"/>
        </w:rPr>
        <w:t xml:space="preserve">within </w:t>
      </w:r>
      <w:r w:rsidR="00245DBF">
        <w:rPr>
          <w:color w:val="auto"/>
        </w:rPr>
        <w:t>3</w:t>
      </w:r>
      <w:r w:rsidRPr="00ED4A5F">
        <w:rPr>
          <w:color w:val="auto"/>
        </w:rPr>
        <w:t>0 years after vaccine introduction in the reference scenario. The bars represent the mean and the error bars the 95% range over multiple simulations.</w:t>
      </w:r>
    </w:p>
    <w:p w14:paraId="2D4797DF" w14:textId="2FEA20B8" w:rsidR="00445A65" w:rsidRPr="00445A65" w:rsidRDefault="00445A65" w:rsidP="00445A65">
      <w:pPr>
        <w:keepNext/>
        <w:rPr>
          <w:color w:val="000000" w:themeColor="text1"/>
        </w:rPr>
      </w:pPr>
      <w:r w:rsidRPr="00445A65">
        <w:rPr>
          <w:color w:val="000000" w:themeColor="text1"/>
        </w:rPr>
        <w:t>Reducing vaccine uptake from 80% to 50% reduced the impact of vaccination proportionately. Since the majority of the predicted impact is gained from direct vaccine effects the proportion of cases averted per vaccine dose given is similar for 50% and 80% uptake (</w:t>
      </w:r>
      <w:r w:rsidR="00D40AD7">
        <w:rPr>
          <w:color w:val="000000" w:themeColor="text1"/>
        </w:rPr>
        <w:t>Figure H</w:t>
      </w:r>
      <w:r w:rsidRPr="00445A65">
        <w:rPr>
          <w:color w:val="000000" w:themeColor="text1"/>
        </w:rPr>
        <w:t>) and likely to scale accordingly for any other vaccine uptake. Similarly, adding a one-off 3-dose catch-up campaign among 10 to 17 year olds at 80% coverage in the year of vaccine introduction increased the impact of vaccination proportionally with the extra doses administered. The impact of such a one-off campaign was most visible in the first few years and hence was evaluated 10 years after the start of vaccination (</w:t>
      </w:r>
      <w:r w:rsidR="00D40AD7">
        <w:rPr>
          <w:color w:val="000000" w:themeColor="text1"/>
        </w:rPr>
        <w:t>Figure I</w:t>
      </w:r>
      <w:r w:rsidRPr="00445A65">
        <w:rPr>
          <w:color w:val="000000" w:themeColor="text1"/>
        </w:rPr>
        <w:t>). The transient protection against DENV infection induced in a large proportion of school age children by the catch-up campaign led to a small temporary reduction in transmission in some of the models (</w:t>
      </w:r>
      <w:r w:rsidR="00D40AD7">
        <w:rPr>
          <w:color w:val="000000" w:themeColor="text1"/>
        </w:rPr>
        <w:t>Figure J</w:t>
      </w:r>
      <w:r w:rsidRPr="00445A65">
        <w:rPr>
          <w:color w:val="000000" w:themeColor="text1"/>
        </w:rPr>
        <w:t xml:space="preserve">). Most models predicted that a one-off catch-up campaign prevented a similar number of DENV hospitalisations per dose of vaccine delivered as the baseline routine vaccination strategy. </w:t>
      </w:r>
    </w:p>
    <w:p w14:paraId="2E9A1164" w14:textId="1845B774" w:rsidR="00445A65" w:rsidRPr="00445A65" w:rsidRDefault="007161D0" w:rsidP="00445A65">
      <w:pPr>
        <w:keepNext/>
        <w:rPr>
          <w:color w:val="000000" w:themeColor="text1"/>
        </w:rPr>
      </w:pPr>
      <w:r>
        <w:rPr>
          <w:noProof/>
          <w:color w:val="000000" w:themeColor="text1"/>
          <w:lang w:eastAsia="en-GB"/>
        </w:rPr>
        <w:drawing>
          <wp:inline distT="0" distB="0" distL="0" distR="0" wp14:anchorId="5D65CBBB" wp14:editId="12CC37CD">
            <wp:extent cx="5720715" cy="1828800"/>
            <wp:effectExtent l="0" t="0" r="0" b="0"/>
            <wp:docPr id="20" name="Picture 20" descr="C:\Users\EIDESFLA\Dropbox\CMDVI\Phase II analysis\Figures\Manuscript\Fig4a_VaccineCover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DESFLA\Dropbox\CMDVI\Phase II analysis\Figures\Manuscript\Fig4a_VaccineCoverage.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0715" cy="1828800"/>
                    </a:xfrm>
                    <a:prstGeom prst="rect">
                      <a:avLst/>
                    </a:prstGeom>
                    <a:noFill/>
                    <a:ln>
                      <a:noFill/>
                    </a:ln>
                  </pic:spPr>
                </pic:pic>
              </a:graphicData>
            </a:graphic>
          </wp:inline>
        </w:drawing>
      </w:r>
    </w:p>
    <w:p w14:paraId="6799F8D3" w14:textId="77D28DD7" w:rsidR="00445A65" w:rsidRPr="00445A65" w:rsidRDefault="00445A65" w:rsidP="00445A65">
      <w:pPr>
        <w:pStyle w:val="Caption"/>
        <w:rPr>
          <w:color w:val="000000" w:themeColor="text1"/>
        </w:rPr>
      </w:pPr>
      <w:bookmarkStart w:id="8" w:name="_Ref447283724"/>
      <w:r w:rsidRPr="00445A65">
        <w:rPr>
          <w:color w:val="000000" w:themeColor="text1"/>
        </w:rPr>
        <w:t xml:space="preserve">Figure </w:t>
      </w:r>
      <w:bookmarkEnd w:id="8"/>
      <w:r w:rsidR="00E3248D">
        <w:rPr>
          <w:color w:val="000000" w:themeColor="text1"/>
        </w:rPr>
        <w:t>H</w:t>
      </w:r>
      <w:r w:rsidRPr="00445A65">
        <w:rPr>
          <w:color w:val="000000" w:themeColor="text1"/>
        </w:rPr>
        <w:t xml:space="preserve">: The proportion of hospitalised DENV cases averted in the 30 years after vaccine introduction comparing vaccine coverage of 80% with vaccine coverage of 50%. The grey, dashed line represents those instances where both strategies prevent the same number of cases per dose of vaccine assuming that after 10 years the latter strategy has used 5/8 times less doses. SP9=10% </w:t>
      </w:r>
      <w:r w:rsidRPr="00445A65">
        <w:rPr>
          <w:color w:val="000000" w:themeColor="text1"/>
        </w:rPr>
        <w:lastRenderedPageBreak/>
        <w:t>scenario not shown for clarity (most models predicted an increase in long-term population risk of DENV hospitalisations for this scenario).</w:t>
      </w:r>
    </w:p>
    <w:p w14:paraId="18EBAC25" w14:textId="1596C5C7" w:rsidR="00445A65" w:rsidRPr="00445A65" w:rsidRDefault="007161D0" w:rsidP="00445A65">
      <w:pPr>
        <w:keepNext/>
        <w:keepLines/>
        <w:spacing w:before="360" w:after="0"/>
        <w:outlineLvl w:val="2"/>
        <w:rPr>
          <w:color w:val="000000" w:themeColor="text1"/>
        </w:rPr>
      </w:pPr>
      <w:r>
        <w:rPr>
          <w:noProof/>
          <w:color w:val="000000" w:themeColor="text1"/>
          <w:lang w:eastAsia="en-GB"/>
        </w:rPr>
        <w:drawing>
          <wp:inline distT="0" distB="0" distL="0" distR="0" wp14:anchorId="5D2E1EF6" wp14:editId="73D58759">
            <wp:extent cx="5720715" cy="1828800"/>
            <wp:effectExtent l="0" t="0" r="0" b="0"/>
            <wp:docPr id="23" name="Picture 23" descr="C:\Users\EIDESFLA\Dropbox\CMDVI\Phase II analysis\Figures\Manuscript\Fig3a_Catch_up_10y_al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IDESFLA\Dropbox\CMDVI\Phase II analysis\Figures\Manuscript\Fig3a_Catch_up_10y_alt.ti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0715" cy="1828800"/>
                    </a:xfrm>
                    <a:prstGeom prst="rect">
                      <a:avLst/>
                    </a:prstGeom>
                    <a:noFill/>
                    <a:ln>
                      <a:noFill/>
                    </a:ln>
                  </pic:spPr>
                </pic:pic>
              </a:graphicData>
            </a:graphic>
          </wp:inline>
        </w:drawing>
      </w:r>
    </w:p>
    <w:p w14:paraId="2437B3BA" w14:textId="11FA4E37" w:rsidR="00445A65" w:rsidRPr="00445A65" w:rsidRDefault="00445A65" w:rsidP="00445A65">
      <w:pPr>
        <w:pStyle w:val="Caption"/>
        <w:rPr>
          <w:color w:val="000000" w:themeColor="text1"/>
        </w:rPr>
      </w:pPr>
      <w:bookmarkStart w:id="9" w:name="_Ref447283743"/>
      <w:r w:rsidRPr="00445A65">
        <w:rPr>
          <w:color w:val="000000" w:themeColor="text1"/>
        </w:rPr>
        <w:t xml:space="preserve">Figure </w:t>
      </w:r>
      <w:bookmarkEnd w:id="9"/>
      <w:r w:rsidR="00E3248D">
        <w:rPr>
          <w:color w:val="000000" w:themeColor="text1"/>
        </w:rPr>
        <w:t>I</w:t>
      </w:r>
      <w:r w:rsidRPr="00445A65">
        <w:rPr>
          <w:color w:val="000000" w:themeColor="text1"/>
        </w:rPr>
        <w:t>: The proportion of hospitalised DENV cases averted in the 10 years after vaccine introduction comparing introduction according to the reference strategy to introduction by adding a 3-dose catch-up campaign among 10 to 17 year olds. The grey, dashed line represents those instances where both strategies prevent the same number of cases per dose of vaccine assuming that after 10 years the latter strategy has used 18/10 times more doses. SP9=10% scenario not shown for clarity (most models predicted an increase in long-term population risk of DENV hospitalisations for this scenario).</w:t>
      </w:r>
    </w:p>
    <w:p w14:paraId="07F6A776" w14:textId="386242C3" w:rsidR="00445A65" w:rsidRPr="00445A65" w:rsidRDefault="00B440AB" w:rsidP="00445A65">
      <w:pPr>
        <w:keepNext/>
        <w:rPr>
          <w:color w:val="000000" w:themeColor="text1"/>
        </w:rPr>
      </w:pPr>
      <w:r>
        <w:rPr>
          <w:noProof/>
          <w:color w:val="000000" w:themeColor="text1"/>
          <w:lang w:eastAsia="en-GB"/>
        </w:rPr>
        <w:drawing>
          <wp:inline distT="0" distB="0" distL="0" distR="0" wp14:anchorId="764CC49F" wp14:editId="6DA6D51C">
            <wp:extent cx="5727700" cy="2289810"/>
            <wp:effectExtent l="0" t="0" r="6350" b="0"/>
            <wp:docPr id="24" name="Picture 24" descr="C:\Users\EIDESFLA\Dropbox\CMDVI\Phase II analysis\Figures\Manuscript\Fig0b_VaccineEffectsOnSeropositivity_catchU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IDESFLA\Dropbox\CMDVI\Phase II analysis\Figures\Manuscript\Fig0b_VaccineEffectsOnSeropositivity_catchUp.ti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700" cy="2289810"/>
                    </a:xfrm>
                    <a:prstGeom prst="rect">
                      <a:avLst/>
                    </a:prstGeom>
                    <a:noFill/>
                    <a:ln>
                      <a:noFill/>
                    </a:ln>
                  </pic:spPr>
                </pic:pic>
              </a:graphicData>
            </a:graphic>
          </wp:inline>
        </w:drawing>
      </w:r>
    </w:p>
    <w:p w14:paraId="1C8318E2" w14:textId="184C187F" w:rsidR="00445A65" w:rsidRPr="00445A65" w:rsidRDefault="00445A65" w:rsidP="00445A65">
      <w:pPr>
        <w:pStyle w:val="Caption"/>
        <w:rPr>
          <w:color w:val="000000" w:themeColor="text1"/>
        </w:rPr>
      </w:pPr>
      <w:bookmarkStart w:id="10" w:name="_Ref449360532"/>
      <w:r w:rsidRPr="00445A65">
        <w:rPr>
          <w:color w:val="000000" w:themeColor="text1"/>
        </w:rPr>
        <w:t>Figure</w:t>
      </w:r>
      <w:bookmarkEnd w:id="10"/>
      <w:r w:rsidR="00E3248D">
        <w:rPr>
          <w:color w:val="000000" w:themeColor="text1"/>
        </w:rPr>
        <w:t xml:space="preserve"> J</w:t>
      </w:r>
      <w:r w:rsidRPr="00445A65">
        <w:rPr>
          <w:color w:val="000000" w:themeColor="text1"/>
        </w:rPr>
        <w:t xml:space="preserve">: The change in proportion of 9y old children that are seropositve at vaccination in the 30 years after the introduction of Dengvaxia® if introduced with a 3-dose catch-up campaign among 10-17 year olds. </w:t>
      </w:r>
      <w:r w:rsidRPr="00445A65">
        <w:rPr>
          <w:noProof/>
          <w:color w:val="000000" w:themeColor="text1"/>
        </w:rPr>
        <w:t>Lines</w:t>
      </w:r>
      <w:r w:rsidRPr="00445A65">
        <w:rPr>
          <w:color w:val="000000" w:themeColor="text1"/>
        </w:rPr>
        <w:t xml:space="preserve"> represent the mean and the shaded region of the respective colour the 95% range over multiple simulations</w:t>
      </w:r>
    </w:p>
    <w:p w14:paraId="6C5E66B9" w14:textId="77777777" w:rsidR="00445A65" w:rsidRPr="00445A65" w:rsidRDefault="00445A65" w:rsidP="00445A65">
      <w:pPr>
        <w:rPr>
          <w:color w:val="000000" w:themeColor="text1"/>
        </w:rPr>
      </w:pPr>
    </w:p>
    <w:p w14:paraId="7C97B220" w14:textId="77777777" w:rsidR="00445A65" w:rsidRPr="00445A65" w:rsidRDefault="00445A65" w:rsidP="00445A65">
      <w:pPr>
        <w:pStyle w:val="Heading2"/>
        <w:rPr>
          <w:color w:val="000000" w:themeColor="text1"/>
        </w:rPr>
      </w:pPr>
      <w:r w:rsidRPr="00445A65">
        <w:rPr>
          <w:color w:val="000000" w:themeColor="text1"/>
        </w:rPr>
        <w:t>Parameter estimation for health economic evaluation</w:t>
      </w:r>
    </w:p>
    <w:p w14:paraId="62997D9E" w14:textId="1E834BFC" w:rsidR="00445A65" w:rsidRPr="00445A65" w:rsidRDefault="00445A65" w:rsidP="00445A65">
      <w:pPr>
        <w:rPr>
          <w:color w:val="000000" w:themeColor="text1"/>
        </w:rPr>
      </w:pPr>
      <w:r w:rsidRPr="00445A65">
        <w:rPr>
          <w:color w:val="000000" w:themeColor="text1"/>
        </w:rPr>
        <w:t xml:space="preserve">Direct and indirect unit costs of dengue treatment were estimated using data from Brazil as a representative of an upper middle income Latin American country. As a sensitivity analysis unit costs estimated in the Philippines are used, representing a lower middle income South-East Asian country. The use of these parameters </w:t>
      </w:r>
      <w:r w:rsidR="00B412CF">
        <w:rPr>
          <w:color w:val="000000" w:themeColor="text1"/>
        </w:rPr>
        <w:t xml:space="preserve">should not facilitate interpretation of the </w:t>
      </w:r>
      <w:r w:rsidRPr="00445A65">
        <w:rPr>
          <w:color w:val="000000" w:themeColor="text1"/>
        </w:rPr>
        <w:t xml:space="preserve">cost-effectiveness </w:t>
      </w:r>
      <w:r w:rsidR="00B412CF">
        <w:rPr>
          <w:color w:val="000000" w:themeColor="text1"/>
        </w:rPr>
        <w:t xml:space="preserve">analyses as being representative </w:t>
      </w:r>
      <w:r w:rsidRPr="00445A65">
        <w:rPr>
          <w:color w:val="000000" w:themeColor="text1"/>
        </w:rPr>
        <w:t>of dengue vaccinati</w:t>
      </w:r>
      <w:r w:rsidR="00B412CF">
        <w:rPr>
          <w:color w:val="000000" w:themeColor="text1"/>
        </w:rPr>
        <w:t>on in Brazil or the Philippines.</w:t>
      </w:r>
      <w:r w:rsidRPr="00445A65">
        <w:rPr>
          <w:color w:val="000000" w:themeColor="text1"/>
        </w:rPr>
        <w:t xml:space="preserve"> </w:t>
      </w:r>
      <w:r w:rsidR="00B412CF">
        <w:rPr>
          <w:color w:val="000000" w:themeColor="text1"/>
        </w:rPr>
        <w:t xml:space="preserve">This </w:t>
      </w:r>
      <w:r w:rsidRPr="00445A65">
        <w:rPr>
          <w:color w:val="000000" w:themeColor="text1"/>
        </w:rPr>
        <w:t>would require a single-country economic evaluation using local epidemiological data. Final economic inputs were rounded to a single significant figure before being used.</w:t>
      </w:r>
    </w:p>
    <w:p w14:paraId="35750A50" w14:textId="59B77A3C" w:rsidR="00445A65" w:rsidRPr="00445A65" w:rsidRDefault="00445A65" w:rsidP="00445A65">
      <w:pPr>
        <w:rPr>
          <w:color w:val="000000" w:themeColor="text1"/>
        </w:rPr>
      </w:pPr>
      <w:r w:rsidRPr="00445A65">
        <w:rPr>
          <w:i/>
          <w:color w:val="000000" w:themeColor="text1"/>
        </w:rPr>
        <w:lastRenderedPageBreak/>
        <w:t>Ambulatory care.</w:t>
      </w:r>
      <w:r w:rsidRPr="00445A65">
        <w:rPr>
          <w:color w:val="000000" w:themeColor="text1"/>
        </w:rPr>
        <w:t xml:space="preserve"> The cost of public sector ambulatory care for dengue was estimated to be $64 in Brazil </w:t>
      </w:r>
      <w:r w:rsidRPr="00445A65">
        <w:rPr>
          <w:color w:val="000000" w:themeColor="text1"/>
        </w:rPr>
        <w:fldChar w:fldCharType="begin" w:fldLock="1"/>
      </w:r>
      <w:r w:rsidR="00EC3854">
        <w:rPr>
          <w:color w:val="000000" w:themeColor="text1"/>
        </w:rPr>
        <w:instrText>ADDIN CSL_CITATION { "citationItems" : [ { "id" : "ITEM-1", "itemData" : { "DOI" : "10.1371/journal.pntd.0004042", "ISBN" : "1935-2735 (Electronic)\\r1935-2727 (Linking)", "ISSN" : "19352735", "PMID" : "26402905", "abstract" : "BACKGROUND Dengue is an increasing public health concern in Brazil. There is a need for an updated evaluation of the economic impact of dengue within the country. We undertook this multicenter study to evaluate the economic burden of dengue in Brazil. METHODS We estimated the economic burden of dengue in Brazil for the years 2009 to 2013 and for the epidemic season of August 2012- September 2013. We conducted a multicenter cohort study across four endemic regions: Midwest, Goiania; Southeast, Belo Horizonte and Rio de Janeiro; Northeast: Teresina and Recife; and the North, Belem. Ambulatory or hospitalized cases with suspected or laboratory-confirmed dengue treated in both the private and public sectors were recruited. Interviews were scheduled for the convalescent period to ascertain characteristics of the dengue episode, date of first symptoms/signs and recovery, use of medical services, work/school absence, household spending (out-of-pocket expense) and income lost using a questionnaire developed for a previous cost study. We also extracted data from the patients' medical records for hospitalized cases. Overall costs per case and cumulative costs were calculated from the public payer and societal perspectives. National cost estimations took into account cases reported in the official notification system (SINAN) with adjustment for underreporting of cases. We applied a probabilistic sensitivity analysis using Monte Carlo simulations with 90% certainty levels (CL). RESULTS We screened 2,223 cases, of which 2,035 (91.5%) symptomatic dengue cases were included in our study. The estimated cost for dengue for the epidemic season (2012-2013) in the societal perspective was US$ 468 million (90% CL: 349-590) or US$ 1,212 million (90% CL: 904-1,526) after adjusting for under-reporting. Considering the time series of dengue (2009-2013) the estimated cost of dengue varied from US$ 371 million (2009) to US$ 1,228 million (2013). CONCLUSIONS The economic burden associated with dengue in Brazil is substantial with large variations in reported cases and consequently costs reflecting the dynamic of dengue transmission.", "author" : [ { "dropping-particle" : "", "family" : "Martelli", "given" : "Celina Maria Turchi", "non-dropping-particle" : "", "parse-names" : false, "suffix" : "" }, { "dropping-particle" : "", "family" : "Siqueira", "given" : "Joao Bosco", "non-dropping-particle" : "", "parse-names" : false, "suffix" : "" }, { "dropping-particle" : "", "family" : "Parente", "given" : "Mirian Perpetua Palha Dias", "non-dropping-particle" : "", "parse-names" : false, "suffix" : "" }, { "dropping-particle" : "", "family" : "Zara", "given" : "Ana Laura de Sene Amancio", "non-dropping-particle" : "", "parse-names" : false, "suffix" : "" }, { "dropping-particle" : "", "family" : "Oliveira", "given" : "Consuelo Silva", "non-dropping-particle" : "", "parse-names" : false, "suffix" : "" }, { "dropping-particle" : "", "family" : "Braga", "given" : "Cynthia", "non-dropping-particle" : "", "parse-names" : false, "suffix" : "" }, { "dropping-particle" : "", "family" : "Pimenta", "given" : "Fabiano Geraldo", "non-dropping-particle" : "", "parse-names" : false, "suffix" : "" }, { "dropping-particle" : "", "family" : "Cortes", "given" : "Fanny", "non-dropping-particle" : "", "parse-names" : false, "suffix" : "" }, { "dropping-particle" : "", "family" : "Lopez", "given" : "Juan Guillermo", "non-dropping-particle" : "", "parse-names" : false, "suffix" : "" }, { "dropping-particle" : "", "family" : "Bahia", "given" : "Luciana Ribeiro", "non-dropping-particle" : "", "parse-names" : false, "suffix" : "" }, { "dropping-particle" : "", "family" : "Mendes", "given" : "Marcia Costa Ooteman", "non-dropping-particle" : "", "parse-names" : false, "suffix" : "" }, { "dropping-particle" : "", "family" : "Rosa", "given" : "Michelle Quarti Machado", "non-dropping-particle" : "da", "parse-names" : false, "suffix" : "" }, { "dropping-particle" : "", "family" : "Siqueira Filha", "given" : "Noemia Teixeira", "non-dropping-particle" : "de", "parse-names" : false, "suffix" : "" }, { "dropping-particle" : "", "family" : "Constenla", "given" : "Dagna", "non-dropping-particle" : "", "parse-names" : false, "suffix" : "" }, { "dropping-particle" : "", "family" : "Souza", "given" : "Wayner Vieira", "non-dropping-particle" : "de", "parse-names" : false, "suffix" : "" } ], "container-title" : "PLoS Neglected Tropical Diseases", "id" : "ITEM-1", "issue" : "9", "issued" : { "date-parts" : [ [ "2015", "9" ] ] }, "page" : "e0004042", "title" : "Economic Impact of Dengue: Multicenter Study across Four Brazilian Regions", "type" : "article-journal", "volume" : "9" }, "uris" : [ "http://www.mendeley.com/documents/?uuid=19b13706-6668-49df-8cb3-b473530753a7" ] } ], "mendeley" : { "formattedCitation" : "[11]", "plainTextFormattedCitation" : "[11]", "previouslyFormattedCitation" : "[11]"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[11]</w:t>
      </w:r>
      <w:r w:rsidRPr="00445A65">
        <w:rPr>
          <w:color w:val="000000" w:themeColor="text1"/>
        </w:rPr>
        <w:fldChar w:fldCharType="end"/>
      </w:r>
      <w:r w:rsidRPr="00445A65">
        <w:rPr>
          <w:color w:val="000000" w:themeColor="text1"/>
        </w:rPr>
        <w:t xml:space="preserve"> and $124 in the Philippines </w:t>
      </w:r>
      <w:r w:rsidRPr="00445A65">
        <w:rPr>
          <w:color w:val="000000" w:themeColor="text1"/>
        </w:rPr>
        <w:fldChar w:fldCharType="begin" w:fldLock="1"/>
      </w:r>
      <w:r w:rsidR="00EC3854">
        <w:rPr>
          <w:color w:val="000000" w:themeColor="text1"/>
        </w:rPr>
        <w:instrText>ADDIN CSL_CITATION { "citationItems" : [ { "id" : "ITEM-1", "itemData" : { "DOI" : "10.4269/ajtmh.14-0139", "ISBN" : "1888429267", "ISSN" : "0002-9637", "PMID" : "25510723", "abstract" : "Dengue, the world's most important mosquito-borne viral disease, is endemic in the Philippines. During 2008-2012, the country's Department of Health reported an annual average of 117,065 dengue cases, placing the country fourth in dengue burden in southeast Asia. This study estimates the country's annual number of dengue episodes and their economic cost. Our comparison of cases between active and passive surveillance in Punta Princesa, Cebu City yielded an expansion factor of 7.2, close to the predicted value (7.0) based on the country's health system. We estimated an annual average of 842,867 clinically diagnosed dengue cases, with direct medical costs (in 2012 US dollars) of $345 million ($3.26 per capita). This is 54% higher than an earlier estimate without Philippines-specific costs. Ambulatory settings treated 35% of cases (representing 10% of direct costs), whereas inpatient hospitals served 65% of cases (representing 90% of direct costs). The economic burden of dengue in the Philippines is substantial.", "author" : [ { "dropping-particle" : "", "family" : "Edillo", "given" : "Frances E", "non-dropping-particle" : "", "parse-names" : false, "suffix" : "" }, { "dropping-particle" : "", "family" : "Halasa", "given" : "Yara A", "non-dropping-particle" : "", "parse-names" : false, "suffix" : "" }, { "dropping-particle" : "", "family" : "Largo", "given" : "Francisco M", "non-dropping-particle" : "", "parse-names" : false, "suffix" : "" }, { "dropping-particle" : "V", "family" : "Erasmo", "given" : "Jonathan Neil", "non-dropping-particle" : "", "parse-names" : false, "suffix" : "" }, { "dropping-particle" : "", "family" : "Amoin", "given" : "Naomi B", "non-dropping-particle" : "", "parse-names" : false, "suffix" : "" }, { "dropping-particle" : "", "family" : "Alera", "given" : "Maria Theresa P", "non-dropping-particle" : "", "parse-names" : false, "suffix" : "" }, { "dropping-particle" : "", "family" : "Yoon", "given" : "In Kyu I.-K.", "non-dropping-particle" : "", "parse-names" : false, "suffix" : "" }, { "dropping-particle" : "", "family" : "Alcantara", "given" : "Arturo C", "non-dropping-particle" : "", "parse-names" : false, "suffix" : "" }, { "dropping-particle" : "", "family" : "Shepard", "given" : "Donald S", "non-dropping-particle" : "", "parse-names" : false, "suffix" : "" } ], "container-title" : "American Journal of Tropical Medicine and Hygiene", "id" : "ITEM-1", "issue" : "2", "issued" : { "date-parts" : [ [ "2015", "2", "4" ] ] }, "page" : "360-366", "title" : "Economic cost and burden of dengue in the Philippines", "type" : "article-journal", "volume" : "92" }, "uris" : [ "http://www.mendeley.com/documents/?uuid=036069bb-cd3c-4d0d-8e21-231af4772ef3" ] } ], "mendeley" : { "formattedCitation" : "[12]", "plainTextFormattedCitation" : "[12]", "previouslyFormattedCitation" : "[12]"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[12]</w:t>
      </w:r>
      <w:r w:rsidRPr="00445A65">
        <w:rPr>
          <w:color w:val="000000" w:themeColor="text1"/>
        </w:rPr>
        <w:fldChar w:fldCharType="end"/>
      </w:r>
      <w:r w:rsidRPr="00445A65">
        <w:rPr>
          <w:color w:val="000000" w:themeColor="text1"/>
        </w:rPr>
        <w:t xml:space="preserve">. In the Latin American like setting, we assumed that almost everyone with symptomatic dengue receives formal </w:t>
      </w:r>
      <w:r w:rsidR="00297134">
        <w:rPr>
          <w:color w:val="000000" w:themeColor="text1"/>
        </w:rPr>
        <w:t xml:space="preserve">(hospital or ambulatory) </w:t>
      </w:r>
      <w:r w:rsidRPr="00445A65">
        <w:rPr>
          <w:color w:val="000000" w:themeColor="text1"/>
        </w:rPr>
        <w:t xml:space="preserve">care. In the placebo arm of the Dengvaxia trials, 43/389 or 11% of participants with virologically-confirmed dengue sought hospitalisation in the Latin American centres (CYD15) </w:t>
      </w:r>
      <w:r w:rsidRPr="00445A65">
        <w:rPr>
          <w:color w:val="000000" w:themeColor="text1"/>
        </w:rPr>
        <w:fldChar w:fldCharType="begin" w:fldLock="1"/>
      </w:r>
      <w:r w:rsidR="00EC3854">
        <w:rPr>
          <w:color w:val="000000" w:themeColor="text1"/>
        </w:rPr>
        <w:instrText>ADDIN CSL_CITATION { "citationItems" : [ { "id" : "ITEM-1", "itemData" : { "DOI" : "10.1056/NEJMoa1411037", "ISSN" : "0028-4793", "author" : [ { "dropping-particle" : "", "family" : "Villar", "given" : "Luis", "non-dropping-particle" : "", "parse-names" : false, "suffix" : "" }, { "dropping-particle" : "", "family" : "Dayan", "given" : "Gustavo Horacio", "non-dropping-particle" : "", "parse-names" : false, "suffix" : "" }, { "dropping-particle" : "", "family" : "Arredondo-Garc\u00eda", "given" : "Jos\u00e9 Luis", "non-dropping-particle" : "", "parse-names" : false, "suffix" : "" }, { "dropping-particle" : "", "family" : "Rivera", "given" : "Doris Maribel", "non-dropping-particle" : "", "parse-names" : false, "suffix" : "" }, { "dropping-particle" : "", "family" : "Cunha", "given" : "Rivaldo", "non-dropping-particle" : "", "parse-names" : false, "suffix" : "" }, { "dropping-particle" : "", "family" : "Deseda", "given" : "Carmen", "non-dropping-particle" : "", "parse-names" : false, "suffix" : "" }, { "dropping-particle" : "", "family" : "Reynales", "given" : "Humberto", "non-dropping-particle" : "", "parse-names" : false, "suffix" : "" }, { "dropping-particle" : "", "family" : "Costa", "given" : "Maria Selma", "non-dropping-particle" : "", "parse-names" : false, "suffix" : "" }, { "dropping-particle" : "", "family" : "Morales-Ram\u00edrez", "given" : "Javier Osvaldo", "non-dropping-particle" : "", "parse-names" : false, "suffix" : "" }, { "dropping-particle" : "", "family" : "Carrasquilla", "given" : "Gabriel", "non-dropping-particle" : "", "parse-names" : false, "suffix" : "" }, { "dropping-particle" : "", "family" : "Rey", "given" : "Luis Carlos", "non-dropping-particle" : "", "parse-names" : false, "suffix" : "" }, { "dropping-particle" : "", "family" : "Dietze", "given" : "Reynaldo", "non-dropping-particle" : "", "parse-names" : false, "suffix" : "" }, { "dropping-particle" : "", "family" : "Luz", "given" : "Kleber", "non-dropping-particle" : "", "parse-names" : false, "suffix" : "" }, { "dropping-particle" : "", "family" : "Rivas", "given" : "Enrique", "non-dropping-particle" : "", "parse-names" : false, "suffix" : "" }, { "dropping-particle" : "", "family" : "Miranda Montoya", "given" : "Maria Consuelo", "non-dropping-particle" : "", "parse-names" : false, "suffix" : "" }, { "dropping-particle" : "", "family" : "Cort\u00e9s Supelano", "given" : "Margarita", "non-dropping-particle" : "", "parse-names" : false, "suffix" : "" }, { "dropping-particle" : "", "family" : "Zambrano", "given" : "Betzana", "non-dropping-particle" : "", "parse-names" : false, "suffix" : "" }, { "dropping-particle" : "", "family" : "Langevin", "given" : "Edith", "non-dropping-particle" : "", "parse-names" : false, "suffix" : "" }, { "dropping-particle" : "", "family" : "Boaz", "given" : "Mark", "non-dropping-particle" : "", "parse-names" : false, "suffix" : "" }, { "dropping-particle" : "", "family" : "Tornieporth", "given" : "Nadia", "non-dropping-particle" : "", "parse-names" : false, "suffix" : "" }, { "dropping-particle" : "", "family" : "Saville", "given" : "Melanie", "non-dropping-particle" : "", "parse-names" : false, "suffix" : "" }, { "dropping-particle" : "", "family" : "Noriega", "given" : "Fernando", "non-dropping-particle" : "", "parse-names" : false, "suffix" : "" } ], "container-title" : "New England Journal of Medicine", "id" : "ITEM-1", "issue" : "2", "issued" : { "date-parts" : [ [ "2015", "1", "8" ] ] }, "page" : "113-123", "title" : "Efficacy of a Tetravalent Dengue Vaccine in Children in Latin America", "type" : "article-journal", "volume" : "372" }, "uris" : [ "http://www.mendeley.com/documents/?uuid=d7955f8e-a9e9-4c71-9949-35e2104ee869" ] } ], "mendeley" : { "formattedCitation" : "[13]", "plainTextFormattedCitation" : "[13]", "previouslyFormattedCitation" : "[13]"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[13]</w:t>
      </w:r>
      <w:r w:rsidRPr="00445A65">
        <w:rPr>
          <w:color w:val="000000" w:themeColor="text1"/>
        </w:rPr>
        <w:fldChar w:fldCharType="end"/>
      </w:r>
      <w:r w:rsidRPr="00445A65">
        <w:rPr>
          <w:color w:val="000000" w:themeColor="text1"/>
        </w:rPr>
        <w:t xml:space="preserve">, so we assumed that 89% seek ambulatory care. </w:t>
      </w:r>
      <w:r w:rsidR="00820FE1">
        <w:rPr>
          <w:color w:val="000000" w:themeColor="text1"/>
        </w:rPr>
        <w:t>B</w:t>
      </w:r>
      <w:r w:rsidR="00820FE1" w:rsidRPr="00445A65">
        <w:rPr>
          <w:color w:val="000000" w:themeColor="text1"/>
        </w:rPr>
        <w:t>y applying an incidence density of 6.7% in the intention-to-treat placebo arm of the Philippines trials of Dengvaxia to the 0-14 year old population in 2010</w:t>
      </w:r>
      <w:r w:rsidR="00820FE1">
        <w:rPr>
          <w:color w:val="000000" w:themeColor="text1"/>
        </w:rPr>
        <w:t xml:space="preserve"> </w:t>
      </w:r>
      <w:r w:rsidRPr="00445A65">
        <w:rPr>
          <w:color w:val="000000" w:themeColor="text1"/>
        </w:rPr>
        <w:t xml:space="preserve">we estimate that around 1,000,000 cases of symptomatic dengue occurred in the Philippines </w:t>
      </w:r>
      <w:r w:rsidRPr="00445A65">
        <w:rPr>
          <w:color w:val="000000" w:themeColor="text1"/>
        </w:rPr>
        <w:fldChar w:fldCharType="begin" w:fldLock="1"/>
      </w:r>
      <w:r w:rsidR="00EC3854">
        <w:rPr>
          <w:color w:val="000000" w:themeColor="text1"/>
        </w:rPr>
        <w:instrText>ADDIN CSL_CITATION { "citationItems" : [ { "id" : "ITEM-1", "itemData" : { "DOI" : "10.1056/NEJMoa1506223", "ISSN" : "0028-4793", "author" : [ { "dropping-particle" : "", "family" : "Hadinegoro", "given" : "Sri Rezeki", "non-dropping-particle" : "", "parse-names" : false, "suffix" : "" }, { "dropping-particle" : "", "family" : "Arredondo-Garc\u00eda", "given" : "Jose Luis", "non-dropping-particle" : "", "parse-names" : false, "suffix" : "" }, { "dropping-particle" : "", "family" : "Capeding", "given" : "Maria Rosario", "non-dropping-particle" : "", "parse-names" : false, "suffix" : "" }, { "dropping-particle" : "", "family" : "Deseda", "given" : "Carmen", "non-dropping-particle" : "", "parse-names" : false, "suffix" : "" }, { "dropping-particle" : "", "family" : "Chotpitayasunondh", "given" : "Tawee", "non-dropping-particle" : "", "parse-names" : false, "suffix" : "" }, { "dropping-particle" : "", "family" : "Dietze", "given" : "Reynaldo", "non-dropping-particle" : "", "parse-names" : false, "suffix" : "" }, { "dropping-particle" : "", "family" : "Ismail", "given" : "H.I. Hj Muhammad", "non-dropping-particle" : "", "parse-names" : false, "suffix" : "" }, { "dropping-particle" : "", "family" : "Reynales", "given" : "Humberto", "non-dropping-particle" : "", "parse-names" : false, "suffix" : "" }, { "dropping-particle" : "", "family" : "Limkittikul", "given" : "Kriengsak", "non-dropping-particle" : "", "parse-names" : false, "suffix" : "" }, { "dropping-particle" : "", "family" : "Rivera-Medina", "given" : "Doris Maribel", "non-dropping-particle" : "", "parse-names" : false, "suffix" : "" }, { "dropping-particle" : "", "family" : "Tran", "given" : "Huu Ngoc", "non-dropping-particle" : "", "parse-names" : false, "suffix" : "" }, { "dropping-particle" : "", "family" : "Bouckenooghe", "given" : "Alain", "non-dropping-particle" : "", "parse-names" : false, "suffix" : "" }, { "dropping-particle" : "", "family" : "Chansinghakul", "given" : "Danaya", "non-dropping-particle" : "", "parse-names" : false, "suffix" : "" }, { "dropping-particle" : "", "family" : "Cort\u00e9s", "given" : "Margarita", "non-dropping-particle" : "", "parse-names" : false, "suffix" : "" }, { "dropping-particle" : "", "family" : "Fanouillere", "given" : "Karen", "non-dropping-particle" : "", "parse-names" : false, "suffix" : "" }, { "dropping-particle" : "", "family" : "Forrat", "given" : "Remi", "non-dropping-particle" : "", "parse-names" : false, "suffix" : "" }, { "dropping-particle" : "", "family" : "Frago", "given" : "Carina", "non-dropping-particle" : "", "parse-names" : false, "suffix" : "" }, { "dropping-particle" : "", "family" : "Gailhardou", "given" : "Sophia", "non-dropping-particle" : "", "parse-names" : false, "suffix" : "" }, { "dropping-particle" : "", "family" : "Jackson", "given" : "Nicholas", "non-dropping-particle" : "", "parse-names" : false, "suffix" : "" }, { "dropping-particle" : "", "family" : "Noriega", "given" : "Fernando", "non-dropping-particle" : "", "parse-names" : false, "suffix" : "" }, { "dropping-particle" : "", "family" : "Plennevaux", "given" : "Eric", "non-dropping-particle" : "", "parse-names" : false, "suffix" : "" }, { "dropping-particle" : "", "family" : "Wartel", "given" : "T. Anh", "non-dropping-particle" : "", "parse-names" : false, "suffix" : "" }, { "dropping-particle" : "", "family" : "Zambrano", "given" : "Betzana", "non-dropping-particle" : "", "parse-names" : false, "suffix" : "" }, { "dropping-particle" : "", "family" : "Saville", "given" : "Melanie", "non-dropping-particle" : "", "parse-names" : false, "suffix" : "" } ], "container-title" : "New England Journal of Medicine", "id" : "ITEM-1", "issued" : { "date-parts" : [ [ "2015", "7", "27" ] ] }, "page" : "150727090428004", "title" : "Efficacy and Long-Term Safety of a Dengue Vaccine in Regions of Endemic Disease", "type" : "article-journal" }, "uris" : [ "http://www.mendeley.com/documents/?uuid=8eaf136e-2ac4-499f-b912-ed8d72f40868" ] } ], "mendeley" : { "formattedCitation" : "[10]", "plainTextFormattedCitation" : "[10]", "previouslyFormattedCitation" : "[10]"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[10]</w:t>
      </w:r>
      <w:r w:rsidRPr="00445A65">
        <w:rPr>
          <w:color w:val="000000" w:themeColor="text1"/>
        </w:rPr>
        <w:fldChar w:fldCharType="end"/>
      </w:r>
      <w:r w:rsidRPr="00445A65">
        <w:rPr>
          <w:color w:val="000000" w:themeColor="text1"/>
        </w:rPr>
        <w:t xml:space="preserve">. One study based on expert elicitation suggests that around 300,000 ambulatory cases of dengue occur in the Philippines every year </w:t>
      </w:r>
      <w:r w:rsidRPr="00445A65">
        <w:rPr>
          <w:color w:val="000000" w:themeColor="text1"/>
        </w:rPr>
        <w:fldChar w:fldCharType="begin" w:fldLock="1"/>
      </w:r>
      <w:r w:rsidR="00EC3854">
        <w:rPr>
          <w:color w:val="000000" w:themeColor="text1"/>
        </w:rPr>
        <w:instrText>ADDIN CSL_CITATION { "citationItems" : [ { "id" : "ITEM-1", "itemData" : { "DOI" : "10.4269/ajtmh.14-0139", "ISBN" : "1888429267", "ISSN" : "0002-9637", "PMID" : "25510723", "abstract" : "Dengue, the world's most important mosquito-borne viral disease, is endemic in the Philippines. During 2008-2012, the country's Department of Health reported an annual average of 117,065 dengue cases, placing the country fourth in dengue burden in southeast Asia. This study estimates the country's annual number of dengue episodes and their economic cost. Our comparison of cases between active and passive surveillance in Punta Princesa, Cebu City yielded an expansion factor of 7.2, close to the predicted value (7.0) based on the country's health system. We estimated an annual average of 842,867 clinically diagnosed dengue cases, with direct medical costs (in 2012 US dollars) of $345 million ($3.26 per capita). This is 54% higher than an earlier estimate without Philippines-specific costs. Ambulatory settings treated 35% of cases (representing 10% of direct costs), whereas inpatient hospitals served 65% of cases (representing 90% of direct costs). The economic burden of dengue in the Philippines is substantial.", "author" : [ { "dropping-particle" : "", "family" : "Edillo", "given" : "Frances E", "non-dropping-particle" : "", "parse-names" : false, "suffix" : "" }, { "dropping-particle" : "", "family" : "Halasa", "given" : "Yara A", "non-dropping-particle" : "", "parse-names" : false, "suffix" : "" }, { "dropping-particle" : "", "family" : "Largo", "given" : "Francisco M", "non-dropping-particle" : "", "parse-names" : false, "suffix" : "" }, { "dropping-particle" : "V", "family" : "Erasmo", "given" : "Jonathan Neil", "non-dropping-particle" : "", "parse-names" : false, "suffix" : "" }, { "dropping-particle" : "", "family" : "Amoin", "given" : "Naomi B", "non-dropping-particle" : "", "parse-names" : false, "suffix" : "" }, { "dropping-particle" : "", "family" : "Alera", "given" : "Maria Theresa P", "non-dropping-particle" : "", "parse-names" : false, "suffix" : "" }, { "dropping-particle" : "", "family" : "Yoon", "given" : "In Kyu I.-K.", "non-dropping-particle" : "", "parse-names" : false, "suffix" : "" }, { "dropping-particle" : "", "family" : "Alcantara", "given" : "Arturo C", "non-dropping-particle" : "", "parse-names" : false, "suffix" : "" }, { "dropping-particle" : "", "family" : "Shepard", "given" : "Donald S", "non-dropping-particle" : "", "parse-names" : false, "suffix" : "" } ], "container-title" : "American Journal of Tropical Medicine and Hygiene", "id" : "ITEM-1", "issue" : "2", "issued" : { "date-parts" : [ [ "2015", "2", "4" ] ] }, "page" : "360-366", "title" : "Economic cost and burden of dengue in the Philippines", "type" : "article-journal", "volume" : "92" }, "uris" : [ "http://www.mendeley.com/documents/?uuid=036069bb-cd3c-4d0d-8e21-231af4772ef3" ] } ], "mendeley" : { "formattedCitation" : "[12]", "plainTextFormattedCitation" : "[12]", "previouslyFormattedCitation" : "[12]"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[12]</w:t>
      </w:r>
      <w:r w:rsidRPr="00445A65">
        <w:rPr>
          <w:color w:val="000000" w:themeColor="text1"/>
        </w:rPr>
        <w:fldChar w:fldCharType="end"/>
      </w:r>
      <w:r w:rsidRPr="00445A65">
        <w:rPr>
          <w:color w:val="000000" w:themeColor="text1"/>
        </w:rPr>
        <w:t xml:space="preserve">, so we assumed that 30% of people with symptomatic dengue seek ambulatory care. </w:t>
      </w:r>
      <w:r w:rsidR="00297134">
        <w:rPr>
          <w:color w:val="000000" w:themeColor="text1"/>
        </w:rPr>
        <w:t>Hence the average cost</w:t>
      </w:r>
      <w:r w:rsidR="00297134" w:rsidRPr="00297134">
        <w:rPr>
          <w:color w:val="000000" w:themeColor="text1"/>
        </w:rPr>
        <w:t xml:space="preserve"> per </w:t>
      </w:r>
      <w:r w:rsidR="00297134">
        <w:rPr>
          <w:color w:val="000000" w:themeColor="text1"/>
        </w:rPr>
        <w:t xml:space="preserve">symptomatic dengue </w:t>
      </w:r>
      <w:r w:rsidR="00297134" w:rsidRPr="00297134">
        <w:rPr>
          <w:color w:val="000000" w:themeColor="text1"/>
        </w:rPr>
        <w:t xml:space="preserve">case </w:t>
      </w:r>
      <w:r w:rsidR="00297134">
        <w:rPr>
          <w:color w:val="000000" w:themeColor="text1"/>
        </w:rPr>
        <w:t xml:space="preserve">was assumed to be $64 x </w:t>
      </w:r>
      <w:r w:rsidR="00297134" w:rsidRPr="00297134">
        <w:rPr>
          <w:color w:val="000000" w:themeColor="text1"/>
        </w:rPr>
        <w:t>89</w:t>
      </w:r>
      <w:r w:rsidR="00297134">
        <w:rPr>
          <w:color w:val="000000" w:themeColor="text1"/>
        </w:rPr>
        <w:t xml:space="preserve">% </w:t>
      </w:r>
      <w:r w:rsidR="00297134" w:rsidRPr="00297134">
        <w:rPr>
          <w:color w:val="000000" w:themeColor="text1"/>
        </w:rPr>
        <w:t>= $57</w:t>
      </w:r>
      <w:r w:rsidR="00297134">
        <w:rPr>
          <w:color w:val="000000" w:themeColor="text1"/>
        </w:rPr>
        <w:t xml:space="preserve"> (round to $60) in Latin America and $124 x </w:t>
      </w:r>
      <w:r w:rsidR="00297134" w:rsidRPr="00297134">
        <w:rPr>
          <w:color w:val="000000" w:themeColor="text1"/>
        </w:rPr>
        <w:t>30</w:t>
      </w:r>
      <w:r w:rsidR="00297134">
        <w:rPr>
          <w:color w:val="000000" w:themeColor="text1"/>
        </w:rPr>
        <w:t xml:space="preserve">% </w:t>
      </w:r>
      <w:r w:rsidR="00297134" w:rsidRPr="00297134">
        <w:rPr>
          <w:color w:val="000000" w:themeColor="text1"/>
        </w:rPr>
        <w:t>=</w:t>
      </w:r>
      <w:r w:rsidR="00297134">
        <w:rPr>
          <w:color w:val="000000" w:themeColor="text1"/>
        </w:rPr>
        <w:t xml:space="preserve"> </w:t>
      </w:r>
      <w:r w:rsidR="00297134" w:rsidRPr="00297134">
        <w:rPr>
          <w:color w:val="000000" w:themeColor="text1"/>
        </w:rPr>
        <w:t xml:space="preserve">$37 </w:t>
      </w:r>
      <w:r w:rsidR="00297134">
        <w:rPr>
          <w:color w:val="000000" w:themeColor="text1"/>
        </w:rPr>
        <w:t>(rounded to $40) in South-East Asia.</w:t>
      </w:r>
    </w:p>
    <w:p w14:paraId="661978D3" w14:textId="6F32CFFB" w:rsidR="00445A65" w:rsidRPr="00445A65" w:rsidRDefault="00445A65" w:rsidP="00445A65">
      <w:pPr>
        <w:rPr>
          <w:color w:val="000000" w:themeColor="text1"/>
        </w:rPr>
      </w:pPr>
      <w:r w:rsidRPr="00445A65">
        <w:rPr>
          <w:i/>
          <w:color w:val="000000" w:themeColor="text1"/>
        </w:rPr>
        <w:t xml:space="preserve">Inpatient hospital care. </w:t>
      </w:r>
      <w:r w:rsidRPr="00445A65">
        <w:rPr>
          <w:color w:val="000000" w:themeColor="text1"/>
        </w:rPr>
        <w:t xml:space="preserve">The cost of public sector hospital care for dengue was estimated to be $237 in Brazil </w:t>
      </w:r>
      <w:r w:rsidRPr="00445A65">
        <w:rPr>
          <w:color w:val="000000" w:themeColor="text1"/>
        </w:rPr>
        <w:fldChar w:fldCharType="begin" w:fldLock="1"/>
      </w:r>
      <w:r w:rsidR="00EC3854">
        <w:rPr>
          <w:color w:val="000000" w:themeColor="text1"/>
        </w:rPr>
        <w:instrText>ADDIN CSL_CITATION { "citationItems" : [ { "id" : "ITEM-1", "itemData" : { "DOI" : "10.1371/journal.pntd.0004042", "ISBN" : "1935-2735 (Electronic)\\r1935-2727 (Linking)", "ISSN" : "19352735", "PMID" : "26402905", "abstract" : "BACKGROUND Dengue is an increasing public health concern in Brazil. There is a need for an updated evaluation of the economic impact of dengue within the country. We undertook this multicenter study to evaluate the economic burden of dengue in Brazil. METHODS We estimated the economic burden of dengue in Brazil for the years 2009 to 2013 and for the epidemic season of August 2012- September 2013. We conducted a multicenter cohort study across four endemic regions: Midwest, Goiania; Southeast, Belo Horizonte and Rio de Janeiro; Northeast: Teresina and Recife; and the North, Belem. Ambulatory or hospitalized cases with suspected or laboratory-confirmed dengue treated in both the private and public sectors were recruited. Interviews were scheduled for the convalescent period to ascertain characteristics of the dengue episode, date of first symptoms/signs and recovery, use of medical services, work/school absence, household spending (out-of-pocket expense) and income lost using a questionnaire developed for a previous cost study. We also extracted data from the patients' medical records for hospitalized cases. Overall costs per case and cumulative costs were calculated from the public payer and societal perspectives. National cost estimations took into account cases reported in the official notification system (SINAN) with adjustment for underreporting of cases. We applied a probabilistic sensitivity analysis using Monte Carlo simulations with 90% certainty levels (CL). RESULTS We screened 2,223 cases, of which 2,035 (91.5%) symptomatic dengue cases were included in our study. The estimated cost for dengue for the epidemic season (2012-2013) in the societal perspective was US$ 468 million (90% CL: 349-590) or US$ 1,212 million (90% CL: 904-1,526) after adjusting for under-reporting. Considering the time series of dengue (2009-2013) the estimated cost of dengue varied from US$ 371 million (2009) to US$ 1,228 million (2013). CONCLUSIONS The economic burden associated with dengue in Brazil is substantial with large variations in reported cases and consequently costs reflecting the dynamic of dengue transmission.", "author" : [ { "dropping-particle" : "", "family" : "Martelli", "given" : "Celina Maria Turchi", "non-dropping-particle" : "", "parse-names" : false, "suffix" : "" }, { "dropping-particle" : "", "family" : "Siqueira", "given" : "Joao Bosco", "non-dropping-particle" : "", "parse-names" : false, "suffix" : "" }, { "dropping-particle" : "", "family" : "Parente", "given" : "Mirian Perpetua Palha Dias", "non-dropping-particle" : "", "parse-names" : false, "suffix" : "" }, { "dropping-particle" : "", "family" : "Zara", "given" : "Ana Laura de Sene Amancio", "non-dropping-particle" : "", "parse-names" : false, "suffix" : "" }, { "dropping-particle" : "", "family" : "Oliveira", "given" : "Consuelo Silva", "non-dropping-particle" : "", "parse-names" : false, "suffix" : "" }, { "dropping-particle" : "", "family" : "Braga", "given" : "Cynthia", "non-dropping-particle" : "", "parse-names" : false, "suffix" : "" }, { "dropping-particle" : "", "family" : "Pimenta", "given" : "Fabiano Geraldo", "non-dropping-particle" : "", "parse-names" : false, "suffix" : "" }, { "dropping-particle" : "", "family" : "Cortes", "given" : "Fanny", "non-dropping-particle" : "", "parse-names" : false, "suffix" : "" }, { "dropping-particle" : "", "family" : "Lopez", "given" : "Juan Guillermo", "non-dropping-particle" : "", "parse-names" : false, "suffix" : "" }, { "dropping-particle" : "", "family" : "Bahia", "given" : "Luciana Ribeiro", "non-dropping-particle" : "", "parse-names" : false, "suffix" : "" }, { "dropping-particle" : "", "family" : "Mendes", "given" : "Marcia Costa Ooteman", "non-dropping-particle" : "", "parse-names" : false, "suffix" : "" }, { "dropping-particle" : "", "family" : "Rosa", "given" : "Michelle Quarti Machado", "non-dropping-particle" : "da", "parse-names" : false, "suffix" : "" }, { "dropping-particle" : "", "family" : "Siqueira Filha", "given" : "Noemia Teixeira", "non-dropping-particle" : "de", "parse-names" : false, "suffix" : "" }, { "dropping-particle" : "", "family" : "Constenla", "given" : "Dagna", "non-dropping-particle" : "", "parse-names" : false, "suffix" : "" }, { "dropping-particle" : "", "family" : "Souza", "given" : "Wayner Vieira", "non-dropping-particle" : "de", "parse-names" : false, "suffix" : "" } ], "container-title" : "PLoS Neglected Tropical Diseases", "id" : "ITEM-1", "issue" : "9", "issued" : { "date-parts" : [ [ "2015", "9" ] ] }, "page" : "e0004042", "title" : "Economic Impact of Dengue: Multicenter Study across Four Brazilian Regions", "type" : "article-journal", "volume" : "9" }, "uris" : [ "http://www.mendeley.com/documents/?uuid=19b13706-6668-49df-8cb3-b473530753a7" ] } ], "mendeley" : { "formattedCitation" : "[11]", "plainTextFormattedCitation" : "[11]", "previouslyFormattedCitation" : "[11]"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[11]</w:t>
      </w:r>
      <w:r w:rsidRPr="00445A65">
        <w:rPr>
          <w:color w:val="000000" w:themeColor="text1"/>
        </w:rPr>
        <w:fldChar w:fldCharType="end"/>
      </w:r>
      <w:r w:rsidRPr="00445A65">
        <w:rPr>
          <w:color w:val="000000" w:themeColor="text1"/>
        </w:rPr>
        <w:t xml:space="preserve"> </w:t>
      </w:r>
      <w:r w:rsidR="00297134">
        <w:rPr>
          <w:color w:val="000000" w:themeColor="text1"/>
        </w:rPr>
        <w:t xml:space="preserve">(rounded to $200) </w:t>
      </w:r>
      <w:r w:rsidRPr="00445A65">
        <w:rPr>
          <w:color w:val="000000" w:themeColor="text1"/>
        </w:rPr>
        <w:t>and $</w:t>
      </w:r>
      <w:r w:rsidR="00297134">
        <w:rPr>
          <w:color w:val="000000" w:themeColor="text1"/>
        </w:rPr>
        <w:t>400</w:t>
      </w:r>
      <w:r w:rsidRPr="00445A65">
        <w:rPr>
          <w:color w:val="000000" w:themeColor="text1"/>
        </w:rPr>
        <w:t xml:space="preserve"> in the Philippines </w:t>
      </w:r>
      <w:r w:rsidRPr="00445A65">
        <w:rPr>
          <w:color w:val="000000" w:themeColor="text1"/>
        </w:rPr>
        <w:fldChar w:fldCharType="begin" w:fldLock="1"/>
      </w:r>
      <w:r w:rsidR="00EC3854">
        <w:rPr>
          <w:color w:val="000000" w:themeColor="text1"/>
        </w:rPr>
        <w:instrText>ADDIN CSL_CITATION { "citationItems" : [ { "id" : "ITEM-1", "itemData" : { "DOI" : "10.4269/ajtmh.14-0139", "ISBN" : "1888429267", "ISSN" : "0002-9637", "PMID" : "25510723", "abstract" : "Dengue, the world's most important mosquito-borne viral disease, is endemic in the Philippines. During 2008-2012, the country's Department of Health reported an annual average of 117,065 dengue cases, placing the country fourth in dengue burden in southeast Asia. This study estimates the country's annual number of dengue episodes and their economic cost. Our comparison of cases between active and passive surveillance in Punta Princesa, Cebu City yielded an expansion factor of 7.2, close to the predicted value (7.0) based on the country's health system. We estimated an annual average of 842,867 clinically diagnosed dengue cases, with direct medical costs (in 2012 US dollars) of $345 million ($3.26 per capita). This is 54% higher than an earlier estimate without Philippines-specific costs. Ambulatory settings treated 35% of cases (representing 10% of direct costs), whereas inpatient hospitals served 65% of cases (representing 90% of direct costs). The economic burden of dengue in the Philippines is substantial.", "author" : [ { "dropping-particle" : "", "family" : "Edillo", "given" : "Frances E", "non-dropping-particle" : "", "parse-names" : false, "suffix" : "" }, { "dropping-particle" : "", "family" : "Halasa", "given" : "Yara A", "non-dropping-particle" : "", "parse-names" : false, "suffix" : "" }, { "dropping-particle" : "", "family" : "Largo", "given" : "Francisco M", "non-dropping-particle" : "", "parse-names" : false, "suffix" : "" }, { "dropping-particle" : "V", "family" : "Erasmo", "given" : "Jonathan Neil", "non-dropping-particle" : "", "parse-names" : false, "suffix" : "" }, { "dropping-particle" : "", "family" : "Amoin", "given" : "Naomi B", "non-dropping-particle" : "", "parse-names" : false, "suffix" : "" }, { "dropping-particle" : "", "family" : "Alera", "given" : "Maria Theresa P", "non-dropping-particle" : "", "parse-names" : false, "suffix" : "" }, { "dropping-particle" : "", "family" : "Yoon", "given" : "In Kyu I.-K.", "non-dropping-particle" : "", "parse-names" : false, "suffix" : "" }, { "dropping-particle" : "", "family" : "Alcantara", "given" : "Arturo C", "non-dropping-particle" : "", "parse-names" : false, "suffix" : "" }, { "dropping-particle" : "", "family" : "Shepard", "given" : "Donald S", "non-dropping-particle" : "", "parse-names" : false, "suffix" : "" } ], "container-title" : "American Journal of Tropical Medicine and Hygiene", "id" : "ITEM-1", "issue" : "2", "issued" : { "date-parts" : [ [ "2015", "2", "4" ] ] }, "page" : "360-366", "title" : "Economic cost and burden of dengue in the Philippines", "type" : "article-journal", "volume" : "92" }, "uris" : [ "http://www.mendeley.com/documents/?uuid=036069bb-cd3c-4d0d-8e21-231af4772ef3" ] } ], "mendeley" : { "formattedCitation" : "[12]", "plainTextFormattedCitation" : "[12]", "previouslyFormattedCitation" : "[12]"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[12]</w:t>
      </w:r>
      <w:r w:rsidRPr="00445A65">
        <w:rPr>
          <w:color w:val="000000" w:themeColor="text1"/>
        </w:rPr>
        <w:fldChar w:fldCharType="end"/>
      </w:r>
      <w:r w:rsidRPr="00445A65">
        <w:rPr>
          <w:color w:val="000000" w:themeColor="text1"/>
        </w:rPr>
        <w:t xml:space="preserve">. </w:t>
      </w:r>
    </w:p>
    <w:p w14:paraId="7A3D27B7" w14:textId="63315FA4" w:rsidR="00445A65" w:rsidRPr="00445A65" w:rsidRDefault="00445A65" w:rsidP="00445A65">
      <w:pPr>
        <w:rPr>
          <w:color w:val="000000" w:themeColor="text1"/>
        </w:rPr>
      </w:pPr>
      <w:r w:rsidRPr="00445A65">
        <w:rPr>
          <w:i/>
          <w:color w:val="000000" w:themeColor="text1"/>
        </w:rPr>
        <w:t>Productivity.</w:t>
      </w:r>
      <w:r w:rsidRPr="00445A65">
        <w:rPr>
          <w:color w:val="000000" w:themeColor="text1"/>
        </w:rPr>
        <w:t xml:space="preserve"> The societal cost of lost productivity due to dengue was estimated as the daily gross domestic product per capita multiplied by the number of days of illness. We assumed that six days were lost for a non-hospitalised symptomatic case (based on the duration of symptoms for virologically-confirmed dengue in Dengvaxia trials </w:t>
      </w:r>
      <w:r w:rsidRPr="00445A65">
        <w:rPr>
          <w:color w:val="000000" w:themeColor="text1"/>
        </w:rPr>
        <w:fldChar w:fldCharType="begin" w:fldLock="1"/>
      </w:r>
      <w:r w:rsidR="00EC3854">
        <w:rPr>
          <w:color w:val="000000" w:themeColor="text1"/>
        </w:rPr>
        <w:instrText>ADDIN CSL_CITATION { "citationItems" : [ { "id" : "ITEM-1", "itemData" : { "DOI" : "10.1016/S0140-6736(14)61060-6", "ISBN" : "0140-6736", "ISSN" : "1474547X", "PMID" : "25018116", "abstract" : "BACKGROUND\nAn estimated 100 million people have symptomatic dengue infection every year. This is the first report of a phase 3 vaccine efficacy trial of a candidate dengue vaccine. We aimed to assess the efficacy of the CYD dengue vaccine against symptomatic, virologically confirmed dengue in children. \n\nMETHODS\nWe did an observer-masked, randomised controlled, multicentre, phase 3 trial in five countries in the Asia-Pacific region. Between June 3, and Dec 1, 2011, healthy children aged 2\u201314 years were randomly assigned (2:1), by computer-generated permuted blocks of six with an interactive voice or web response system, to receive three injections of a recombinant, live, attenuated, tetravalent dengue vaccine (CYD-TDV), or placebo, at months 0, 6, and 12. Randomisation was stratified by age and site. Participants were followed up until month 25. Trial staff responsible for the preparation and administration of injections were unmasked to group allocation, but were not included in the follow-up of the participants; allocation was concealed from the study sponsor, investigators, and parents and guardians. Our primary objective was to assess protective efficacy against symptomatic, virologically confirmed dengue, irrespective of disease severity or serotype, that took place more than 28 days after the third injection. The primary endpoint was for the lower bound of the 95% CI of vaccine efficacy to be greater than 25%. Analysis was by intention to treat and per procotol. This trial is registered with ClinicalTrials.gov, number NCT01373281. \n\nFINDINGS\nWe randomly assigned 10\u2008275 children to receive either vaccine (n=6851) or placebo (n=3424), of whom 6710 (98%) and 3350 (98%), respectively, were included in the primary analysis. 250 cases of virologically confirmed dengue took place more than 28 days after the third injection (117 [47%] in the vaccine group and 133 [53%] in the control group). The primary endpoint was achieved with 56\u00b75% (95% CI 43\u00b78\u201366\u00b74) efficacy. We recorded 647 serious adverse events (402 [62%] in the vaccine group and 245 [38%] in the control group). 54 (1%) children in the vaccine group and 33 (1%) of those in the control group had serious adverse events that happened within 28 days of vaccination. Serious adverse events were consistent with medical disorders in this age group and were mainly infections and injuries. \n\nINTERPRETATION\nOur findings show that dengue vaccine is efficacious when given as three injections at months 0, 6, an\u2026", "author" : [ { "dropping-particle" : "", "family" : "Capeding", "given" : "Maria Rosario", "non-dropping-particle" : "", "parse-names" : false, "suffix" : "" }, { "dropping-particle" : "", "family" : "Tran", "given" : "Ngoc Huu", "non-dropping-particle" : "", "parse-names" : false, "suffix" : "" }, { "dropping-particle" : "", "family" : "Hadinegoro", "given" : "Sri Rezeki S", "non-dropping-particle" : "", "parse-names" : false, "suffix" : "" }, { "dropping-particle" : "", "family" : "Ismail", "given" : "Hussain Imam HJ Muhammad", "non-dropping-particle" : "", "parse-names" : false, "suffix" : "" }, { "dropping-particle" : "", "family" : "Chotpitayasunondh", "given" : "Tawee", "non-dropping-particle" : "", "parse-names" : false, "suffix" : "" }, { "dropping-particle" : "", "family" : "Chua", "given" : "Mary Noreen", "non-dropping-particle" : "", "parse-names" : false, "suffix" : "" }, { "dropping-particle" : "", "family" : "Luong", "given" : "Chan Quang", "non-dropping-particle" : "", "parse-names" : false, "suffix" : "" }, { "dropping-particle" : "", "family" : "Rusmil", "given" : "Kusnandi", "non-dropping-particle" : "", "parse-names" : false, "suffix" : "" }, { "dropping-particle" : "", "family" : "Wirawan", "given" : "Dewa Nyoman", "non-dropping-particle" : "", "parse-names" : false, "suffix" : "" }, { "dropping-particle" : "", "family" : "Nallusamy", "given" : "Revathy", "non-dropping-particle" : "", "parse-names" : false, "suffix" : "" }, { "dropping-particle" : "", "family" : "Pitisuttithum", "given" : "Punnee", "non-dropping-particle" : "", "parse-names" : false, "suffix" : "" }, { "dropping-particle" : "", "family" : "Thisyakorn", "given" : "Usa", "non-dropping-particle" : "", "parse-names" : false, "suffix" : "" }, { "dropping-particle" : "", "family" : "Yoon", "given" : "In-Kyu Kyu", "non-dropping-particle" : "", "parse-names" : false, "suffix" : "" }, { "dropping-particle" : "", "family" : "Vliet", "given" : "Diane", "non-dropping-particle" : "van der", "parse-names" : false, "suffix" : "" }, { "dropping-particle" : "", "family" : "Langevin", "given" : "Edith", "non-dropping-particle" : "", "parse-names" : false, "suffix" : "" }, { "dropping-particle" : "", "family" : "Laot", "given" : "Thelma", "non-dropping-particle" : "", "parse-names" : false, "suffix" : "" }, { "dropping-particle" : "", "family" : "Hutagalung", "given" : "Yanee", "non-dropping-particle" : "", "parse-names" : false, "suffix" : "" }, { "dropping-particle" : "", "family" : "Frago", "given" : "Carina", "non-dropping-particle" : "", "parse-names" : false, "suffix" : "" }, { "dropping-particle" : "", "family" : "Boaz", "given" : "Mark", "non-dropping-particle" : "", "parse-names" : false, "suffix" : "" }, { "dropping-particle" : "", "family" : "Wartel", "given" : "T Anh", "non-dropping-particle" : "", "parse-names" : false, "suffix" : "" }, { "dropping-particle" : "", "family" : "Tornieporth", "given" : "Nadia G", "non-dropping-particle" : "", "parse-names" : false, "suffix" : "" }, { "dropping-particle" : "", "family" : "Saville", "given" : "Melanie", "non-dropping-particle" : "", "parse-names" : false, "suffix" : "" }, { "dropping-particle" : "", "family" : "Bouckenooghe", "given" : "Alain", "non-dropping-particle" : "", "parse-names" : false, "suffix" : "" } ], "container-title" : "The Lancet", "id" : "ITEM-1", "issue" : "9951", "issued" : { "date-parts" : [ [ "2014", "7" ] ] }, "page" : "1358-1365", "title" : "Clinical efficacy and safety of a novel tetravalent dengue vaccine in healthy children in Asia: A phase 3, randomised, observer-masked, placebo-controlled trial", "type" : "article-journal", "volume" : "384" }, "uris" : [ "http://www.mendeley.com/documents/?uuid=d4733164-b10b-4ccf-b525-89995fc6c4f3" ] }, { "id" : "ITEM-2", "itemData" : { "DOI" : "10.1056/NEJMoa1411037", "ISSN" : "0028-4793", "author" : [ { "dropping-particle" : "", "family" : "Villar", "given" : "Luis", "non-dropping-particle" : "", "parse-names" : false, "suffix" : "" }, { "dropping-particle" : "", "family" : "Dayan", "given" : "Gustavo Horacio", "non-dropping-particle" : "", "parse-names" : false, "suffix" : "" }, { "dropping-particle" : "", "family" : "Arredondo-Garc\u00eda", "given" : "Jos\u00e9 Luis", "non-dropping-particle" : "", "parse-names" : false, "suffix" : "" }, { "dropping-particle" : "", "family" : "Rivera", "given" : "Doris Maribel", "non-dropping-particle" : "", "parse-names" : false, "suffix" : "" }, { "dropping-particle" : "", "family" : "Cunha", "given" : "Rivaldo", "non-dropping-particle" : "", "parse-names" : false, "suffix" : "" }, { "dropping-particle" : "", "family" : "Deseda", "given" : "Carmen", "non-dropping-particle" : "", "parse-names" : false, "suffix" : "" }, { "dropping-particle" : "", "family" : "Reynales", "given" : "Humberto", "non-dropping-particle" : "", "parse-names" : false, "suffix" : "" }, { "dropping-particle" : "", "family" : "Costa", "given" : "Maria Selma", "non-dropping-particle" : "", "parse-names" : false, "suffix" : "" }, { "dropping-particle" : "", "family" : "Morales-Ram\u00edrez", "given" : "Javier Osvaldo", "non-dropping-particle" : "", "parse-names" : false, "suffix" : "" }, { "dropping-particle" : "", "family" : "Carrasquilla", "given" : "Gabriel", "non-dropping-particle" : "", "parse-names" : false, "suffix" : "" }, { "dropping-particle" : "", "family" : "Rey", "given" : "Luis Carlos", "non-dropping-particle" : "", "parse-names" : false, "suffix" : "" }, { "dropping-particle" : "", "family" : "Dietze", "given" : "Reynaldo", "non-dropping-particle" : "", "parse-names" : false, "suffix" : "" }, { "dropping-particle" : "", "family" : "Luz", "given" : "Kleber", "non-dropping-particle" : "", "parse-names" : false, "suffix" : "" }, { "dropping-particle" : "", "family" : "Rivas", "given" : "Enrique", "non-dropping-particle" : "", "parse-names" : false, "suffix" : "" }, { "dropping-particle" : "", "family" : "Miranda Montoya", "given" : "Maria Consuelo", "non-dropping-particle" : "", "parse-names" : false, "suffix" : "" }, { "dropping-particle" : "", "family" : "Cort\u00e9s Supelano", "given" : "Margarita", "non-dropping-particle" : "", "parse-names" : false, "suffix" : "" }, { "dropping-particle" : "", "family" : "Zambrano", "given" : "Betzana", "non-dropping-particle" : "", "parse-names" : false, "suffix" : "" }, { "dropping-particle" : "", "family" : "Langevin", "given" : "Edith", "non-dropping-particle" : "", "parse-names" : false, "suffix" : "" }, { "dropping-particle" : "", "family" : "Boaz", "given" : "Mark", "non-dropping-particle" : "", "parse-names" : false, "suffix" : "" }, { "dropping-particle" : "", "family" : "Tornieporth", "given" : "Nadia", "non-dropping-particle" : "", "parse-names" : false, "suffix" : "" }, { "dropping-particle" : "", "family" : "Saville", "given" : "Melanie", "non-dropping-particle" : "", "parse-names" : false, "suffix" : "" }, { "dropping-particle" : "", "family" : "Noriega", "given" : "Fernando", "non-dropping-particle" : "", "parse-names" : false, "suffix" : "" } ], "container-title" : "New England Journal of Medicine", "id" : "ITEM-2", "issue" : "2", "issued" : { "date-parts" : [ [ "2015", "1", "8" ] ] }, "page" : "113-123", "title" : "Efficacy of a Tetravalent Dengue Vaccine in Children in Latin America", "type" : "article-journal", "volume" : "372" }, "uris" : [ "http://www.mendeley.com/documents/?uuid=d7955f8e-a9e9-4c71-9949-35e2104ee869" ] } ], "mendeley" : { "formattedCitation" : "[14,13]", "plainTextFormattedCitation" : "[14,13]", "previouslyFormattedCitation" : "[14,13]"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[14,13]</w:t>
      </w:r>
      <w:r w:rsidRPr="00445A65">
        <w:rPr>
          <w:color w:val="000000" w:themeColor="text1"/>
        </w:rPr>
        <w:fldChar w:fldCharType="end"/>
      </w:r>
      <w:r w:rsidRPr="00445A65">
        <w:rPr>
          <w:color w:val="000000" w:themeColor="text1"/>
        </w:rPr>
        <w:t xml:space="preserve">) and nine days for a hospitalised case (based on the duration of symptoms for severe dengue in Dengvaxia trials </w:t>
      </w:r>
      <w:r w:rsidRPr="00445A65">
        <w:rPr>
          <w:color w:val="000000" w:themeColor="text1"/>
        </w:rPr>
        <w:fldChar w:fldCharType="begin" w:fldLock="1"/>
      </w:r>
      <w:r w:rsidR="00EC3854">
        <w:rPr>
          <w:color w:val="000000" w:themeColor="text1"/>
        </w:rPr>
        <w:instrText>ADDIN CSL_CITATION { "citationItems" : [ { "id" : "ITEM-1", "itemData" : { "DOI" : "10.1016/S0140-6736(14)61060-6", "ISBN" : "0140-6736", "ISSN" : "1474547X", "PMID" : "25018116", "abstract" : "BACKGROUND\nAn estimated 100 million people have symptomatic dengue infection every year. This is the first report of a phase 3 vaccine efficacy trial of a candidate dengue vaccine. We aimed to assess the efficacy of the CYD dengue vaccine against symptomatic, virologically confirmed dengue in children. \n\nMETHODS\nWe did an observer-masked, randomised controlled, multicentre, phase 3 trial in five countries in the Asia-Pacific region. Between June 3, and Dec 1, 2011, healthy children aged 2\u201314 years were randomly assigned (2:1), by computer-generated permuted blocks of six with an interactive voice or web response system, to receive three injections of a recombinant, live, attenuated, tetravalent dengue vaccine (CYD-TDV), or placebo, at months 0, 6, and 12. Randomisation was stratified by age and site. Participants were followed up until month 25. Trial staff responsible for the preparation and administration of injections were unmasked to group allocation, but were not included in the follow-up of the participants; allocation was concealed from the study sponsor, investigators, and parents and guardians. Our primary objective was to assess protective efficacy against symptomatic, virologically confirmed dengue, irrespective of disease severity or serotype, that took place more than 28 days after the third injection. The primary endpoint was for the lower bound of the 95% CI of vaccine efficacy to be greater than 25%. Analysis was by intention to treat and per procotol. This trial is registered with ClinicalTrials.gov, number NCT01373281. \n\nFINDINGS\nWe randomly assigned 10\u2008275 children to receive either vaccine (n=6851) or placebo (n=3424), of whom 6710 (98%) and 3350 (98%), respectively, were included in the primary analysis. 250 cases of virologically confirmed dengue took place more than 28 days after the third injection (117 [47%] in the vaccine group and 133 [53%] in the control group). The primary endpoint was achieved with 56\u00b75% (95% CI 43\u00b78\u201366\u00b74) efficacy. We recorded 647 serious adverse events (402 [62%] in the vaccine group and 245 [38%] in the control group). 54 (1%) children in the vaccine group and 33 (1%) of those in the control group had serious adverse events that happened within 28 days of vaccination. Serious adverse events were consistent with medical disorders in this age group and were mainly infections and injuries. \n\nINTERPRETATION\nOur findings show that dengue vaccine is efficacious when given as three injections at months 0, 6, an\u2026", "author" : [ { "dropping-particle" : "", "family" : "Capeding", "given" : "Maria Rosario", "non-dropping-particle" : "", "parse-names" : false, "suffix" : "" }, { "dropping-particle" : "", "family" : "Tran", "given" : "Ngoc Huu", "non-dropping-particle" : "", "parse-names" : false, "suffix" : "" }, { "dropping-particle" : "", "family" : "Hadinegoro", "given" : "Sri Rezeki S", "non-dropping-particle" : "", "parse-names" : false, "suffix" : "" }, { "dropping-particle" : "", "family" : "Ismail", "given" : "Hussain Imam HJ Muhammad", "non-dropping-particle" : "", "parse-names" : false, "suffix" : "" }, { "dropping-particle" : "", "family" : "Chotpitayasunondh", "given" : "Tawee", "non-dropping-particle" : "", "parse-names" : false, "suffix" : "" }, { "dropping-particle" : "", "family" : "Chua", "given" : "Mary Noreen", "non-dropping-particle" : "", "parse-names" : false, "suffix" : "" }, { "dropping-particle" : "", "family" : "Luong", "given" : "Chan Quang", "non-dropping-particle" : "", "parse-names" : false, "suffix" : "" }, { "dropping-particle" : "", "family" : "Rusmil", "given" : "Kusnandi", "non-dropping-particle" : "", "parse-names" : false, "suffix" : "" }, { "dropping-particle" : "", "family" : "Wirawan", "given" : "Dewa Nyoman", "non-dropping-particle" : "", "parse-names" : false, "suffix" : "" }, { "dropping-particle" : "", "family" : "Nallusamy", "given" : "Revathy", "non-dropping-particle" : "", "parse-names" : false, "suffix" : "" }, { "dropping-particle" : "", "family" : "Pitisuttithum", "given" : "Punnee", "non-dropping-particle" : "", "parse-names" : false, "suffix" : "" }, { "dropping-particle" : "", "family" : "Thisyakorn", "given" : "Usa", "non-dropping-particle" : "", "parse-names" : false, "suffix" : "" }, { "dropping-particle" : "", "family" : "Yoon", "given" : "In-Kyu Kyu", "non-dropping-particle" : "", "parse-names" : false, "suffix" : "" }, { "dropping-particle" : "", "family" : "Vliet", "given" : "Diane", "non-dropping-particle" : "van der", "parse-names" : false, "suffix" : "" }, { "dropping-particle" : "", "family" : "Langevin", "given" : "Edith", "non-dropping-particle" : "", "parse-names" : false, "suffix" : "" }, { "dropping-particle" : "", "family" : "Laot", "given" : "Thelma", "non-dropping-particle" : "", "parse-names" : false, "suffix" : "" }, { "dropping-particle" : "", "family" : "Hutagalung", "given" : "Yanee", "non-dropping-particle" : "", "parse-names" : false, "suffix" : "" }, { "dropping-particle" : "", "family" : "Frago", "given" : "Carina", "non-dropping-particle" : "", "parse-names" : false, "suffix" : "" }, { "dropping-particle" : "", "family" : "Boaz", "given" : "Mark", "non-dropping-particle" : "", "parse-names" : false, "suffix" : "" }, { "dropping-particle" : "", "family" : "Wartel", "given" : "T Anh", "non-dropping-particle" : "", "parse-names" : false, "suffix" : "" }, { "dropping-particle" : "", "family" : "Tornieporth", "given" : "Nadia G", "non-dropping-particle" : "", "parse-names" : false, "suffix" : "" }, { "dropping-particle" : "", "family" : "Saville", "given" : "Melanie", "non-dropping-particle" : "", "parse-names" : false, "suffix" : "" }, { "dropping-particle" : "", "family" : "Bouckenooghe", "given" : "Alain", "non-dropping-particle" : "", "parse-names" : false, "suffix" : "" } ], "container-title" : "The Lancet", "id" : "ITEM-1", "issue" : "9951", "issued" : { "date-parts" : [ [ "2014", "7" ] ] }, "page" : "1358-1365", "title" : "Clinical efficacy and safety of a novel tetravalent dengue vaccine in healthy children in Asia: A phase 3, randomised, observer-masked, placebo-controlled trial", "type" : "article-journal", "volume" : "384" }, "uris" : [ "http://www.mendeley.com/documents/?uuid=d4733164-b10b-4ccf-b525-89995fc6c4f3" ] }, { "id" : "ITEM-2", "itemData" : { "DOI" : "10.1056/NEJMoa1411037", "ISSN" : "0028-4793", "author" : [ { "dropping-particle" : "", "family" : "Villar", "given" : "Luis", "non-dropping-particle" : "", "parse-names" : false, "suffix" : "" }, { "dropping-particle" : "", "family" : "Dayan", "given" : "Gustavo Horacio", "non-dropping-particle" : "", "parse-names" : false, "suffix" : "" }, { "dropping-particle" : "", "family" : "Arredondo-Garc\u00eda", "given" : "Jos\u00e9 Luis", "non-dropping-particle" : "", "parse-names" : false, "suffix" : "" }, { "dropping-particle" : "", "family" : "Rivera", "given" : "Doris Maribel", "non-dropping-particle" : "", "parse-names" : false, "suffix" : "" }, { "dropping-particle" : "", "family" : "Cunha", "given" : "Rivaldo", "non-dropping-particle" : "", "parse-names" : false, "suffix" : "" }, { "dropping-particle" : "", "family" : "Deseda", "given" : "Carmen", "non-dropping-particle" : "", "parse-names" : false, "suffix" : "" }, { "dropping-particle" : "", "family" : "Reynales", "given" : "Humberto", "non-dropping-particle" : "", "parse-names" : false, "suffix" : "" }, { "dropping-particle" : "", "family" : "Costa", "given" : "Maria Selma", "non-dropping-particle" : "", "parse-names" : false, "suffix" : "" }, { "dropping-particle" : "", "family" : "Morales-Ram\u00edrez", "given" : "Javier Osvaldo", "non-dropping-particle" : "", "parse-names" : false, "suffix" : "" }, { "dropping-particle" : "", "family" : "Carrasquilla", "given" : "Gabriel", "non-dropping-particle" : "", "parse-names" : false, "suffix" : "" }, { "dropping-particle" : "", "family" : "Rey", "given" : "Luis Carlos", "non-dropping-particle" : "", "parse-names" : false, "suffix" : "" }, { "dropping-particle" : "", "family" : "Dietze", "given" : "Reynaldo", "non-dropping-particle" : "", "parse-names" : false, "suffix" : "" }, { "dropping-particle" : "", "family" : "Luz", "given" : "Kleber", "non-dropping-particle" : "", "parse-names" : false, "suffix" : "" }, { "dropping-particle" : "", "family" : "Rivas", "given" : "Enrique", "non-dropping-particle" : "", "parse-names" : false, "suffix" : "" }, { "dropping-particle" : "", "family" : "Miranda Montoya", "given" : "Maria Consuelo", "non-dropping-particle" : "", "parse-names" : false, "suffix" : "" }, { "dropping-particle" : "", "family" : "Cort\u00e9s Supelano", "given" : "Margarita", "non-dropping-particle" : "", "parse-names" : false, "suffix" : "" }, { "dropping-particle" : "", "family" : "Zambrano", "given" : "Betzana", "non-dropping-particle" : "", "parse-names" : false, "suffix" : "" }, { "dropping-particle" : "", "family" : "Langevin", "given" : "Edith", "non-dropping-particle" : "", "parse-names" : false, "suffix" : "" }, { "dropping-particle" : "", "family" : "Boaz", "given" : "Mark", "non-dropping-particle" : "", "parse-names" : false, "suffix" : "" }, { "dropping-particle" : "", "family" : "Tornieporth", "given" : "Nadia", "non-dropping-particle" : "", "parse-names" : false, "suffix" : "" }, { "dropping-particle" : "", "family" : "Saville", "given" : "Melanie", "non-dropping-particle" : "", "parse-names" : false, "suffix" : "" }, { "dropping-particle" : "", "family" : "Noriega", "given" : "Fernando", "non-dropping-particle" : "", "parse-names" : false, "suffix" : "" } ], "container-title" : "New England Journal of Medicine", "id" : "ITEM-2", "issue" : "2", "issued" : { "date-parts" : [ [ "2015", "1", "8" ] ] }, "page" : "113-123", "title" : "Efficacy of a Tetravalent Dengue Vaccine in Children in Latin America", "type" : "article-journal", "volume" : "372" }, "uris" : [ "http://www.mendeley.com/documents/?uuid=d7955f8e-a9e9-4c71-9949-35e2104ee869" ] } ], "mendeley" : { "formattedCitation" : "[14,13]", "plainTextFormattedCitation" : "[14,13]", "previouslyFormattedCitation" : "[14,13]"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[14,13]</w:t>
      </w:r>
      <w:r w:rsidRPr="00445A65">
        <w:rPr>
          <w:color w:val="000000" w:themeColor="text1"/>
        </w:rPr>
        <w:fldChar w:fldCharType="end"/>
      </w:r>
      <w:r w:rsidRPr="00445A65">
        <w:rPr>
          <w:color w:val="000000" w:themeColor="text1"/>
        </w:rPr>
        <w:t>). This translates to costs of $18</w:t>
      </w:r>
      <w:r w:rsidR="00297134">
        <w:rPr>
          <w:color w:val="000000" w:themeColor="text1"/>
        </w:rPr>
        <w:t>4</w:t>
      </w:r>
      <w:r w:rsidRPr="00445A65">
        <w:rPr>
          <w:color w:val="000000" w:themeColor="text1"/>
        </w:rPr>
        <w:t xml:space="preserve"> </w:t>
      </w:r>
      <w:r w:rsidR="00297134">
        <w:rPr>
          <w:color w:val="000000" w:themeColor="text1"/>
        </w:rPr>
        <w:t xml:space="preserve">(rounded to $200) </w:t>
      </w:r>
      <w:r w:rsidRPr="00445A65">
        <w:rPr>
          <w:color w:val="000000" w:themeColor="text1"/>
        </w:rPr>
        <w:t xml:space="preserve">and $45 </w:t>
      </w:r>
      <w:r w:rsidR="00297134">
        <w:rPr>
          <w:color w:val="000000" w:themeColor="text1"/>
        </w:rPr>
        <w:t xml:space="preserve">(rounded to $40) </w:t>
      </w:r>
      <w:r w:rsidRPr="00445A65">
        <w:rPr>
          <w:color w:val="000000" w:themeColor="text1"/>
        </w:rPr>
        <w:t xml:space="preserve">per ambulatory case in Brazil and the Philippines respectively, and $276 </w:t>
      </w:r>
      <w:r w:rsidR="00297134">
        <w:rPr>
          <w:color w:val="000000" w:themeColor="text1"/>
        </w:rPr>
        <w:t xml:space="preserve">(rounded to $300) </w:t>
      </w:r>
      <w:r w:rsidRPr="00445A65">
        <w:rPr>
          <w:color w:val="000000" w:themeColor="text1"/>
        </w:rPr>
        <w:t xml:space="preserve">and $68 </w:t>
      </w:r>
      <w:r w:rsidR="00297134">
        <w:rPr>
          <w:color w:val="000000" w:themeColor="text1"/>
        </w:rPr>
        <w:t xml:space="preserve">(rounded to $100) </w:t>
      </w:r>
      <w:r w:rsidRPr="00445A65">
        <w:rPr>
          <w:color w:val="000000" w:themeColor="text1"/>
        </w:rPr>
        <w:t xml:space="preserve">per hospitalised case. </w:t>
      </w:r>
      <w:r w:rsidR="0065695F">
        <w:rPr>
          <w:color w:val="000000" w:themeColor="text1"/>
        </w:rPr>
        <w:t xml:space="preserve">This was added to actual costs </w:t>
      </w:r>
      <w:r w:rsidR="00E37CE4">
        <w:rPr>
          <w:color w:val="000000" w:themeColor="text1"/>
        </w:rPr>
        <w:t xml:space="preserve">of care </w:t>
      </w:r>
      <w:r w:rsidR="0065695F">
        <w:rPr>
          <w:color w:val="000000" w:themeColor="text1"/>
        </w:rPr>
        <w:t xml:space="preserve">to get the overall cost to society. </w:t>
      </w:r>
      <w:r w:rsidRPr="00445A65">
        <w:rPr>
          <w:color w:val="000000" w:themeColor="text1"/>
        </w:rPr>
        <w:t xml:space="preserve">For fatal cases, we assumed that a year of productivity was lost, translating to $11,208 </w:t>
      </w:r>
      <w:r w:rsidR="0065695F">
        <w:rPr>
          <w:color w:val="000000" w:themeColor="text1"/>
        </w:rPr>
        <w:t xml:space="preserve">(rounded to $10,000) </w:t>
      </w:r>
      <w:r w:rsidRPr="00445A65">
        <w:rPr>
          <w:color w:val="000000" w:themeColor="text1"/>
        </w:rPr>
        <w:t xml:space="preserve">and $2,765 </w:t>
      </w:r>
      <w:r w:rsidR="0065695F">
        <w:rPr>
          <w:color w:val="000000" w:themeColor="text1"/>
        </w:rPr>
        <w:t xml:space="preserve">(rounded to $3,000) </w:t>
      </w:r>
      <w:r w:rsidRPr="00445A65">
        <w:rPr>
          <w:color w:val="000000" w:themeColor="text1"/>
        </w:rPr>
        <w:t>per death in Brazil and the Philippines respectively.</w:t>
      </w:r>
    </w:p>
    <w:p w14:paraId="17299B5B" w14:textId="6E6A930C" w:rsidR="00445A65" w:rsidRPr="00445A65" w:rsidRDefault="00445A65" w:rsidP="00445A65">
      <w:pPr>
        <w:rPr>
          <w:i/>
          <w:color w:val="000000" w:themeColor="text1"/>
        </w:rPr>
      </w:pPr>
      <w:r w:rsidRPr="00445A65">
        <w:rPr>
          <w:i/>
          <w:color w:val="000000" w:themeColor="text1"/>
        </w:rPr>
        <w:t xml:space="preserve">DALYs incurred. </w:t>
      </w:r>
      <w:r w:rsidRPr="00445A65">
        <w:rPr>
          <w:color w:val="000000" w:themeColor="text1"/>
        </w:rPr>
        <w:t xml:space="preserve">A disability weight of 0.545 was used, based on the weight for dengue haemorrhagic fever in the 2004 update to the Global Burden of Disease study </w:t>
      </w:r>
      <w:r w:rsidRPr="00445A65">
        <w:rPr>
          <w:color w:val="000000" w:themeColor="text1"/>
        </w:rPr>
        <w:fldChar w:fldCharType="begin" w:fldLock="1"/>
      </w:r>
      <w:r w:rsidR="00EC3854">
        <w:rPr>
          <w:color w:val="000000" w:themeColor="text1"/>
        </w:rPr>
        <w:instrText>ADDIN CSL_CITATION { "citationItems" : [ { "id" : "ITEM-1", "itemData" : { "DOI" : "10.1038/npp.2011.85", "ISBN" : "9241563710", "ISSN" : "1740634X", "PMID" : "15572474", "author" : [ { "dropping-particle" : "", "family" : "World Health Organization", "given" : "", "non-dropping-particle" : "", "parse-names" : false, "suffix" : "" } ], "id" : "ITEM-1", "issued" : { "date-parts" : [ [ "2008" ] ] }, "number-of-pages" : "146", "title" : "The Global Burden of Disease: 2004 Update.", "type" : "book" }, "uris" : [ "http://www.mendeley.com/documents/?uuid=03d8024d-1b98-4862-8918-5efe23be79f0" ] } ], "mendeley" : { "formattedCitation" : "[15]", "plainTextFormattedCitation" : "[15]", "previouslyFormattedCitation" : "[15]"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[15]</w:t>
      </w:r>
      <w:r w:rsidRPr="00445A65">
        <w:rPr>
          <w:color w:val="000000" w:themeColor="text1"/>
        </w:rPr>
        <w:fldChar w:fldCharType="end"/>
      </w:r>
      <w:r w:rsidRPr="00445A65">
        <w:rPr>
          <w:color w:val="000000" w:themeColor="text1"/>
        </w:rPr>
        <w:t>. Dengue and severe dengue cases were assumed to have symptoms lasting 4 and 14 days respectively.</w:t>
      </w:r>
    </w:p>
    <w:p w14:paraId="3239BFE9" w14:textId="3962CE39" w:rsidR="00445A65" w:rsidRPr="00445A65" w:rsidRDefault="00445A65" w:rsidP="00445A65">
      <w:pPr>
        <w:rPr>
          <w:color w:val="000000" w:themeColor="text1"/>
        </w:rPr>
      </w:pPr>
      <w:r w:rsidRPr="00445A65">
        <w:rPr>
          <w:color w:val="000000" w:themeColor="text1"/>
        </w:rPr>
        <w:t xml:space="preserve">To calculate the threshold cost per vaccinated person (maximum amount that could be paid to procure and deliver three doses of vaccine), DALYs averted by vaccination were converted into monetary values using a threshold cost per DALY averted. The threshold cost per DALY averted is the incremental cost to the health service or to society of saving an extra year of disability-free life. The use of ad hoc GDP per capita based thresholds for decision making has been criticised </w:t>
      </w:r>
      <w:r w:rsidRPr="00445A65">
        <w:rPr>
          <w:color w:val="000000" w:themeColor="text1"/>
        </w:rPr>
        <w:fldChar w:fldCharType="begin" w:fldLock="1"/>
      </w:r>
      <w:r w:rsidR="00EC3854">
        <w:rPr>
          <w:color w:val="000000" w:themeColor="text1"/>
        </w:rPr>
        <w:instrText>ADDIN CSL_CITATION { "citationItems" : [ { "id" : "ITEM-1", "itemData" : { "DOI" : "10.1007/s40273-014-0162-x", "ISBN" : "1170-7690", "ISSN" : "11792027", "PMID" : "24791735", "abstract" : "The World Health Organization's CHOosing Interventions that are Cost Effective (WHO-CHOICE) thresholds for averting a disability-adjusted life-year of one to three times per capita income have been widely cited and used as a measure of cost effectiveness in evaluations of vaccination for low- and middle-income countries (LMICs). These thresholds were based upon criteria set out by the WHO Commission on Macroeconomics and Health, which reflected the potential economic returns of interventions. The CHOICE project sought to evaluate a variety of health interventions at a subregional level and classify them into broad categories to help assist decision makers, but the utility of the thresholds for within-country decision making for individual interventions (given budgetary constraints) has not been adequately explored. To examine whether the 'WHO-CHOICE thresholds' reflect funding decisions, we examined the results of two recent reviews of cost-effectiveness analyses of human papillomavirus and rotavirus vaccination in LMICs, and we assessed whether the results of these studies were reflected in funding decisions for these vaccination programmes. We found that in many cases, programmes that were deemed cost effective were not subsequently implemented in the country. We consider the implications of this finding, the advantages and disadvantages of alternative methods to estimate thresholds, and how cost perspectives and the funders of healthcare may impact on these choices.", "author" : [ { "dropping-particle" : "", "family" : "Newall", "given" : "A T", "non-dropping-particle" : "", "parse-names" : false, "suffix" : "" }, { "dropping-particle" : "", "family" : "Jit", "given" : "M", "non-dropping-particle" : "", "parse-names" : false, "suffix" : "" }, { "dropping-particle" : "", "family" : "Hutubessy", "given" : "R", "non-dropping-particle" : "", "parse-names" : false, "suffix" : "" } ], "container-title" : "PharmacoEconomics", "id" : "ITEM-1", "issue" : "6", "issued" : { "date-parts" : [ [ "2014", "7" ] ] }, "page" : "525-531", "title" : "Are current cost-effectiveness thresholds for low- and middle-income countries useful? Examples from the world of vaccines", "type" : "article", "volume" : "32" }, "uris" : [ "http://www.mendeley.com/documents/?uuid=6ac09cae-177f-4793-89ad-8d919a8bcedd" ] }, { "id" : "ITEM-2", "itemData" : { "DOI" : "10.2471/BLT.14.138206", "ISBN" : "1477-8920", "ISSN" : "1564-0604", "PMID" : "25883405", "abstract" : "Many countries use the cost-effectiveness thresholds recommended by the World Health Organization's Choosing Interventions that are Cost-Effective project (WHO-CHOICE) when evaluating health interventions. This project sets the threshold for cost-effectiveness as the cost of the intervention per disability-adjusted life-year (DALY) averted less than three times the country's annual gross domestic product (GDP) per capita. Highly cost-effective interventions are defined as meeting a threshold per DALY averted of once the annual GDP per capita. We argue that reliance on these thresholds reduces the value of cost-effectiveness analyses and makes such analyses too blunt to be useful for most decision-making in the field of public health. Use of these thresholds has little theoretical justification, skirts the difficult but necessary ranking of the relative values of locally-applicable interventions and omits any consideration of what is truly affordable. The WHO-CHOICE thresholds set such a low bar for cost-effectiveness that very few interventions with evidence of efficacy can be ruled out. The thresholds have little value in assessing the trade-offs that decision-makers must confront. We present alternative approaches for applying cost-effectiveness criteria to choices in the allocation of health-care resources. Abstract available from the publisher. Abstract available from the publisher. Abstract available from the publisher. Abstract available from the publisher. Abstract available from the publisher.", "author" : [ { "dropping-particle" : "", "family" : "Marseille", "given" : "Elliot", "non-dropping-particle" : "", "parse-names" : false, "suffix" : "" }, { "dropping-particle" : "", "family" : "Larson", "given" : "Bruce", "non-dropping-particle" : "", "parse-names" : false, "suffix" : "" }, { "dropping-particle" : "", "family" : "Kazi", "given" : "Dhruv S", "non-dropping-particle" : "", "parse-names" : false, "suffix" : "" }, { "dropping-particle" : "", "family" : "Kahn", "given" : "James G", "non-dropping-particle" : "", "parse-names" : false, "suffix" : "" }, { "dropping-particle" : "", "family" : "Rosen", "given" : "Sydney", "non-dropping-particle" : "", "parse-names" : false, "suffix" : "" } ], "container-title" : "Bulletin of the World Health Organization", "id" : "ITEM-2", "issue" : "2", "issued" : { "date-parts" : [ [ "2015", "2" ] ] }, "page" : "118-24", "title" : "Thresholds for the cost-effectiveness of interventions: alternative approaches.", "type" : "article-journal", "volume" : "93" }, "uris" : [ "http://www.mendeley.com/documents/?uuid=65ce8130-a22f-420c-a100-9829c20b9ab8" ] } ], "mendeley" : { "formattedCitation" : "[16,17]", "plainTextFormattedCitation" : "[16,17]", "previouslyFormattedCitation" : "[16,17]"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[16,17]</w:t>
      </w:r>
      <w:r w:rsidRPr="00445A65">
        <w:rPr>
          <w:color w:val="000000" w:themeColor="text1"/>
        </w:rPr>
        <w:fldChar w:fldCharType="end"/>
      </w:r>
      <w:r w:rsidRPr="00445A65">
        <w:rPr>
          <w:color w:val="000000" w:themeColor="text1"/>
        </w:rPr>
        <w:t xml:space="preserve"> and is now strongly discouraged by WHO. Instead, we take the approach of comparing the ICERs of other similar interventions (other new vaccines and dengue interventions) that may presumably be displaced by investment in dengue vaccination (see Table</w:t>
      </w:r>
      <w:r w:rsidR="00E3248D">
        <w:rPr>
          <w:color w:val="000000" w:themeColor="text1"/>
        </w:rPr>
        <w:t xml:space="preserve"> C</w:t>
      </w:r>
      <w:r w:rsidRPr="00445A65">
        <w:rPr>
          <w:color w:val="000000" w:themeColor="text1"/>
        </w:rPr>
        <w:t xml:space="preserve">). The ICERs for rotavirus, pneumococcal and human papillomavirus vaccination in comparable settings have been estimated to be in the range of $200 - $2,000 </w:t>
      </w:r>
      <w:r w:rsidRPr="00445A65">
        <w:rPr>
          <w:color w:val="000000" w:themeColor="text1"/>
        </w:rPr>
        <w:fldChar w:fldCharType="begin" w:fldLock="1"/>
      </w:r>
      <w:r w:rsidR="00EC3854">
        <w:rPr>
          <w:color w:val="000000" w:themeColor="text1"/>
        </w:rPr>
        <w:instrText>ADDIN CSL_CITATION { "citationItems" : [ { "id" : "ITEM-1", "itemData" : { "DOI" : "10.1016/S2214-109X(14)70237-2", "ISSN" : "2214109X", "PMID" : "25103394", "abstract" : "Background: Introduction of human papillomavirus (HPV) vaccination in settings with the highest burden of HPV is not universal, partly because of the absence of quantitative estimates of country-specific effects on health and economic costs. We aimed to develop and validate a simple generic model of such effects that could be used and understood in a range of settings with little external support. Methods: We developed the Papillomavirus Rapid Interface for Modelling and Economics (PRIME) model to assess cost-effectiveness and health effects of vaccination of girls against HPV before sexual debut in terms of burden of cervical cancer and mortality. PRIME models incidence according to proposed vaccine efficacy against HPV 16/18, vaccine coverage, cervical cancer incidence and mortality, and HPV type distribution. It assumes lifelong vaccine protection and no changes to other screening programmes or vaccine uptake. We validated PRIME against existing reports of HPV vaccination cost-effectiveness, projected outcomes for 179 countries (assuming full vaccination of 12-year-old girls), and outcomes for 71 phase 2 GAVI-eligible countries (using vaccine uptake data from the GAVI Alliance). We assessed differences between countries in terms of cost-effectiveness and health effects. Findings: In validation, PRIME reproduced cost-effectiveness conclusions for 24 of 26 countries from 17 published studies, and for all 72 countries in a published study of GAVI-eligible countries. Vaccination of a cohort of 58 million 12-year-old girls in 179 countries prevented 690 000 cases of cervical cancer and 420 000 deaths during their lifetime (mostly in low-income or middle-income countries), at a net cost of US$4 billion. HPV vaccination was very cost effective (with every disability-adjusted life-year averted costing less than the gross domestic product per head) in 156 (87%) of 179 countries. Introduction of the vaccine in countries without national HPV vaccination at present would prevent substantially more cases of cervical cancer than in countries with such programmes, although the disparity has narrowed since 2012. If 71 phase 2 GAVI-eligible countries adopt vaccination according to forecasts, then in 2070 GAVI Alliance-funded vaccination could prevent 200 000 cases of cervical cancer and 100 000 deaths in some of the highest-burden countries. Interpretation: Large between-country disparities exist for HPV vaccination, with countries with the most to gain yet to introd\u2026", "author" : [ { "dropping-particle" : "", "family" : "Jit", "given" : "Mark", "non-dropping-particle" : "", "parse-names" : false, "suffix" : "" }, { "dropping-particle" : "", "family" : "Brisson", "given" : "Marc", "non-dropping-particle" : "", "parse-names" : false, "suffix" : "" }, { "dropping-particle" : "", "family" : "Portnoy", "given" : "Allison", "non-dropping-particle" : "", "parse-names" : false, "suffix" : "" }, { "dropping-particle" : "", "family" : "Hutubessy", "given" : "Raymond", "non-dropping-particle" : "", "parse-names" : false, "suffix" : "" } ], "container-title" : "The Lancet Global Health", "id" : "ITEM-1", "issue" : "7", "issued" : { "date-parts" : [ [ "2014" ] ] }, "page" : "e406-e414", "publisher" : "World Health Organization", "title" : "Cost-effectiveness of female human papillomavirus vaccination in 179 countries: a PRIME modelling study", "type" : "article-journal", "volume" : "2" }, "uris" : [ "http://www.mendeley.com/documents/?uuid=87285774-ec37-4352-86dd-4f0877cac594" ] }, { "id" : "ITEM-2", "itemData" : { "DOI" : "10.1016/S0140-6736(07)60195-0", "ISBN" : "1474-547X (Electronic)\\n0140-6736 (Linking)", "ISSN" : "01406736", "PMID" : "17276779", "abstract" : "Background: Routine vaccination of infants against Streptococcus pneumoniae (pneumococcus) needs substantial investment by governments and charitable organisations. Policymakers need information about the projected health benefits, costs, and cost-effectiveness of vaccination when considering these investments. Our aim was to incorporate these data into an economic analysis of pneumococcal vaccination of infants in countries eligible for financial support from the Global Alliance for Vaccines &amp; Immunization (GAVI). Methods: We constructed a decision analysis model to compare pneumococcal vaccination of infants aged 6, 10, and 14 weeks with no vaccination in the 72 countries that were eligible as of 2005. We used published and unpublished data to estimate child mortality, effectiveness of pneumococcal conjugate vaccine, and immunisation rates. Findings: Pneumococcal vaccination at the rate of diptheria-tetanus-pertussis vaccine coverage was projected to prevent 262 000 deaths per year (7%) in children aged 3-29 months in the 72 developing countries studied, thus averting 8??34 million disability-adjusted life years (DALYs) yearly. If every child could be reached, up to 407 000 deaths per year would be prevented. At a vaccine cost of International $5 per dose, vaccination would have a net cost of $838 million, a cost of $100 per DALY averted. Vaccination at this price was projected to be highly cost-effective in 68 of 72 countries when each country's per head gross domestic product per DALY averted was used as a benchmark. Interpretation: At a vaccine cost of between $1 and $5 per dose, purchase and accelerated uptake of pneumococcal vaccine in the world's poorest countries is projected to substantially reduce childhood mortality and to be highly cost-effective. ?? 2007 Elsevier Ltd. All rights reserved.", "author" : [ { "dropping-particle" : "", "family" : "Sinha", "given" : "Anushua", "non-dropping-particle" : "", "parse-names" : false, "suffix" : "" }, { "dropping-particle" : "", "family" : "Levine", "given" : "Orin", "non-dropping-particle" : "", "parse-names" : false, "suffix" : "" }, { "dropping-particle" : "", "family" : "Knoll", "given" : "Maria D", "non-dropping-particle" : "", "parse-names" : false, "suffix" : "" }, { "dropping-particle" : "", "family" : "Muhib", "given" : "Farzana", "non-dropping-particle" : "", "parse-names" : false, "suffix" : "" }, { "dropping-particle" : "", "family" : "Lieu", "given" : "Tracy A", "non-dropping-particle" : "", "parse-names" : false, "suffix" : "" } ], "container-title" : "Lancet", "id" : "ITEM-2", "issue" : "9559", "issued" : { "date-parts" : [ [ "2007", "2" ] ] }, "language" : "eng PT - Journal Article PT - Research Support, Non-U.S. Gov't", "page" : "389-396", "title" : "Cost-effectiveness of pneumococcal conjugate vaccination in the prevention of child mortality: an international economic analysis", "type" : "article-journal", "volume" : "369" }, "uris" : [ "http://www.mendeley.com/documents/?uuid=93fd7279-3815-4c85-ade9-e2856c2bb399" ] }, { "id" : "ITEM-3", "itemData" : { "DOI" : "10.1086/605026", "ISBN" : "1142010724", "ISSN" : "0022-1899, 1537-6613", "PMID" : "19817595", "abstract" : "BACKGROUND: Rotavirus is the leading cause of severe gastroenteritis in children worldwide. We evaluated the economic burden of rotavirus and the cost-effectiveness of vaccination from the health care perspective. METHODS: Estimates were based on existing epidemiological data, cost estimates, vaccine coverage, and efficacy data, as well as hypothetical vaccine prices. Outcome measures included health care and societal costs of rotavirus and benefits and incremental cost-effectiveness ratio of vaccination. Sensitivity analyses evaluated the impact of estimate uncertainty. RESULTS: Treatment costs increased with income level, and health burden decreased; however, burden varied across regions. On the basis of current vaccination coverage and timing, rotavirus vaccination would annually prevent 228,000 deaths, 13.7 million hospital visits, and 8.7 million disability-adjusted life-years, saving $188 million in treatment costs and $243 million in societal costs. At $5 per dose, the incremental cost-effectiveness ratio in low-, lower-middle-, and upper-middle-income countries was $88, $291, and $329 per disability-adjusted life-year averted, respectively, and $3,015, $9,951 and $11,296 per life saved, respectively. Vaccination would prevent approximately 45% of deaths and approximately 58% of associated medical visits and costs. CONCLUSIONS: Vaccination is a cost-effective strategy to reduce the health and economic burden of rotavirus. The cost-effectiveness of vaccination depends mostly on vaccine price and reaching children at highest risk of mortality.", "author" : [ { "dropping-particle" : "", "family" : "Rheingans", "given" : "Richard D", "non-dropping-particle" : "", "parse-names" : false, "suffix" : "" }, { "dropping-particle" : "", "family" : "Antil", "given" : "Lynn", "non-dropping-particle" : "", "parse-names" : false, "suffix" : "" }, { "dropping-particle" : "", "family" : "Dreibelbis", "given" : "Robert", "non-dropping-particle" : "", "parse-names" : false, "suffix" : "" }, { "dropping-particle" : "", "family" : "Podewils", "given" : "Laura Jean", "non-dropping-particle" : "", "parse-names" : false, "suffix" : "" }, { "dropping-particle" : "", "family" : "Bresee", "given" : "Joseph S", "non-dropping-particle" : "", "parse-names" : false, "suffix" : "" }, { "dropping-particle" : "", "family" : "Parashar", "given" : "Umesh D", "non-dropping-particle" : "", "parse-names" : false, "suffix" : "" } ], "container-title" : "The Journal of infectious diseases", "id" : "ITEM-3", "issue" : "Suppl 1", "issued" : { "date-parts" : [ [ "2009", "11" ] ] }, "page" : "S16-S27", "title" : "Economic costs of rotavirus gastroenteritis and cost-effectiveness of vaccination in developing countries.", "type" : "article-journal", "volume" : "200 Suppl" }, "uris" : [ "http://www.mendeley.com/documents/?uuid=3c67dd82-1ac7-43fc-9884-fc304ca7996c" ] } ], "mendeley" : { "formattedCitation" : "[18\u201320]", "plainTextFormattedCitation" : "[18\u201320]", "previouslyFormattedCitation" : "[18\u201320]"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[18–20]</w:t>
      </w:r>
      <w:r w:rsidRPr="00445A65">
        <w:rPr>
          <w:color w:val="000000" w:themeColor="text1"/>
        </w:rPr>
        <w:fldChar w:fldCharType="end"/>
      </w:r>
      <w:r w:rsidRPr="00445A65">
        <w:rPr>
          <w:color w:val="000000" w:themeColor="text1"/>
        </w:rPr>
        <w:t xml:space="preserve">. Case management of dengue has been estimated to have an ICER of around $200, while chemical and environmental vector control may cost around $2,000 - $14,000 (in 1993 USD, so likely even higher today) depending on the setting </w:t>
      </w:r>
      <w:r w:rsidRPr="00445A65">
        <w:rPr>
          <w:color w:val="000000" w:themeColor="text1"/>
        </w:rPr>
        <w:fldChar w:fldCharType="begin" w:fldLock="1"/>
      </w:r>
      <w:r w:rsidR="00EC3854">
        <w:rPr>
          <w:color w:val="000000" w:themeColor="text1"/>
        </w:rPr>
        <w:instrText>ADDIN CSL_CITATION { "citationItems" : [ { "id" : "ITEM-1", "itemData" : { "author" : [ { "dropping-particle" : "", "family" : "Shepard", "given" : "D S", "non-dropping-particle" : "", "parse-names" : false, "suffix" : "" }, { "dropping-particle" : "", "family" : "Halstead", "given" : "S B", "non-dropping-particle" : "", "parse-names" : false, "suffix" : "" } ], "container-title" : "Disease Control Priorities for Developing Countries", "id" : "ITEM-1", "issued" : { "date-parts" : [ [ "1993" ] ] }, "page" : "303-320", "title" : "Dengue (with notes on yellow fever and Japanese encephalitis).", "type" : "chapter" }, "uris" : [ "http://www.mendeley.com/documents/?uuid=26abb683-2a3f-4148-9dcf-f1344a0a699b" ] } ], "mendeley" : { "formattedCitation" : "[21]", "plainTextFormattedCitation" : "[21]", "previouslyFormattedCitation" : "[21]"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[21]</w:t>
      </w:r>
      <w:r w:rsidRPr="00445A65">
        <w:rPr>
          <w:color w:val="000000" w:themeColor="text1"/>
        </w:rPr>
        <w:fldChar w:fldCharType="end"/>
      </w:r>
      <w:r w:rsidRPr="00445A65">
        <w:rPr>
          <w:color w:val="000000" w:themeColor="text1"/>
        </w:rPr>
        <w:t>. Hence we set a base case threshold of $2,000 but vary this up to $10,000.</w:t>
      </w:r>
    </w:p>
    <w:p w14:paraId="6C841CEB" w14:textId="0019DA48" w:rsidR="00445A65" w:rsidRPr="00445A65" w:rsidRDefault="00445A65" w:rsidP="00445A65">
      <w:pPr>
        <w:rPr>
          <w:color w:val="000000" w:themeColor="text1"/>
        </w:rPr>
      </w:pPr>
      <w:r w:rsidRPr="00445A65">
        <w:rPr>
          <w:color w:val="000000" w:themeColor="text1"/>
        </w:rPr>
        <w:t xml:space="preserve">However, up to now most international health economic evaluations have used a discount rate of 3% a year for both costs and health effects. Hence the ICERs of these interventions (and hence the threshold cost per DALY averted) would decrease if benefits were not discounted. To estimate the reduction, we calculated the ratio between the ICER of different vaccines in low and middle income country settings when health effects are discounted at 3% and 0% (in both cases, costs were </w:t>
      </w:r>
      <w:r w:rsidRPr="00445A65">
        <w:rPr>
          <w:color w:val="000000" w:themeColor="text1"/>
        </w:rPr>
        <w:lastRenderedPageBreak/>
        <w:t xml:space="preserve">discounted at the same rate as health effects because there are few vaccine studies that examine differential discounting). The ratio ranged from 0.22 (HPV vaccination in Brazil </w:t>
      </w:r>
      <w:r w:rsidRPr="00445A65">
        <w:rPr>
          <w:color w:val="000000" w:themeColor="text1"/>
        </w:rPr>
        <w:fldChar w:fldCharType="begin" w:fldLock="1"/>
      </w:r>
      <w:r w:rsidR="00EC3854">
        <w:rPr>
          <w:color w:val="000000" w:themeColor="text1"/>
        </w:rPr>
        <w:instrText>ADDIN CSL_CITATION { "citationItems" : [ { "id" : "ITEM-1", "itemData" : { "DOI" : "10.1016/S2214-109X(14)70237-2", "ISSN" : "2214109X", "PMID" : "25103394", "abstract" : "Background: Introduction of human papillomavirus (HPV) vaccination in settings with the highest burden of HPV is not universal, partly because of the absence of quantitative estimates of country-specific effects on health and economic costs. We aimed to develop and validate a simple generic model of such effects that could be used and understood in a range of settings with little external support. Methods: We developed the Papillomavirus Rapid Interface for Modelling and Economics (PRIME) model to assess cost-effectiveness and health effects of vaccination of girls against HPV before sexual debut in terms of burden of cervical cancer and mortality. PRIME models incidence according to proposed vaccine efficacy against HPV 16/18, vaccine coverage, cervical cancer incidence and mortality, and HPV type distribution. It assumes lifelong vaccine protection and no changes to other screening programmes or vaccine uptake. We validated PRIME against existing reports of HPV vaccination cost-effectiveness, projected outcomes for 179 countries (assuming full vaccination of 12-year-old girls), and outcomes for 71 phase 2 GAVI-eligible countries (using vaccine uptake data from the GAVI Alliance). We assessed differences between countries in terms of cost-effectiveness and health effects. Findings: In validation, PRIME reproduced cost-effectiveness conclusions for 24 of 26 countries from 17 published studies, and for all 72 countries in a published study of GAVI-eligible countries. Vaccination of a cohort of 58 million 12-year-old girls in 179 countries prevented 690 000 cases of cervical cancer and 420 000 deaths during their lifetime (mostly in low-income or middle-income countries), at a net cost of US$4 billion. HPV vaccination was very cost effective (with every disability-adjusted life-year averted costing less than the gross domestic product per head) in 156 (87%) of 179 countries. Introduction of the vaccine in countries without national HPV vaccination at present would prevent substantially more cases of cervical cancer than in countries with such programmes, although the disparity has narrowed since 2012. If 71 phase 2 GAVI-eligible countries adopt vaccination according to forecasts, then in 2070 GAVI Alliance-funded vaccination could prevent 200 000 cases of cervical cancer and 100 000 deaths in some of the highest-burden countries. Interpretation: Large between-country disparities exist for HPV vaccination, with countries with the most to gain yet to introd\u2026", "author" : [ { "dropping-particle" : "", "family" : "Jit", "given" : "Mark", "non-dropping-particle" : "", "parse-names" : false, "suffix" : "" }, { "dropping-particle" : "", "family" : "Brisson", "given" : "Marc", "non-dropping-particle" : "", "parse-names" : false, "suffix" : "" }, { "dropping-particle" : "", "family" : "Portnoy", "given" : "Allison", "non-dropping-particle" : "", "parse-names" : false, "suffix" : "" }, { "dropping-particle" : "", "family" : "Hutubessy", "given" : "Raymond", "non-dropping-particle" : "", "parse-names" : false, "suffix" : "" } ], "container-title" : "The Lancet Global Health", "id" : "ITEM-1", "issue" : "7", "issued" : { "date-parts" : [ [ "2014" ] ] }, "page" : "e406-e414", "publisher" : "World Health Organization", "title" : "Cost-effectiveness of female human papillomavirus vaccination in 179 countries: a PRIME modelling study", "type" : "article-journal", "volume" : "2" }, "uris" : [ "http://www.mendeley.com/documents/?uuid=87285774-ec37-4352-86dd-4f0877cac594" ] } ], "mendeley" : { "formattedCitation" : "[18]", "plainTextFormattedCitation" : "[18]", "previouslyFormattedCitation" : "[18]"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[18]</w:t>
      </w:r>
      <w:r w:rsidRPr="00445A65">
        <w:rPr>
          <w:color w:val="000000" w:themeColor="text1"/>
        </w:rPr>
        <w:fldChar w:fldCharType="end"/>
      </w:r>
      <w:r w:rsidRPr="00445A65">
        <w:rPr>
          <w:color w:val="000000" w:themeColor="text1"/>
        </w:rPr>
        <w:t xml:space="preserve">) to 0.40 (rotavirus vaccination in Vietnam </w:t>
      </w:r>
      <w:r w:rsidRPr="00445A65">
        <w:rPr>
          <w:color w:val="000000" w:themeColor="text1"/>
        </w:rPr>
        <w:fldChar w:fldCharType="begin" w:fldLock="1"/>
      </w:r>
      <w:r w:rsidR="00EC3854">
        <w:rPr>
          <w:color w:val="000000" w:themeColor="text1"/>
        </w:rPr>
        <w:instrText>ADDIN CSL_CITATION { "citationItems" : [ { "id" : "ITEM-1", "itemData" : { "DOI" : "10.1186/1471-2458-9-29", "ISBN" : "1465-1858", "ISSN" : "1471-2458", "PMID" : "19159483", "abstract" : "BACKGROUND: Rotavirus is the most common cause of severe diarrhea leading to hospitalization or disease-specific death among young children. New rotavirus vaccines have recently been approved. Some previous studies have provided broad qualitative insights into the health and economic consequences of introducing the vaccines into low-income countries, representing several features of rotavirus infection, such as varying degrees of severity and age-dependency of clinical manifestation, in their model-based analyses. We extend this work to reflect additional features of rotavirus (e.g., the possibility of reinfection and varying degrees of partial immunity conferred by natural infection), and assess the influence of the features on the cost-effectiveness of rotavirus vaccination.\\n\\nMETHODS: We developed a Markov model that reflects key features of rotavirus infection, using the most recent data available. We applied the model to the 2004 Vietnamese birth cohort and re-evaluated the cost-effectiveness (2004 US dollars per disability-adjusted life year [DALY]) of rotavirus vaccination (Rotarix) compared to no vaccination, from both societal and health care system perspectives. We conducted univariate sensitivity analyses and also performed a probabilistic sensitivity analysis, based on Monte Carlo simulations drawing parameter values from the distributions assigned to key uncertain parameters.\\n\\nRESULTS: Rotavirus vaccination would not completely protect young children against rotavirus infection due to the partial nature of vaccine immunity, but would effectively reduce severe cases of rotavirus gastroenteritis (outpatient visits, hospitalizations, or deaths) by about 67% over the first 5 years of life. Under base-case assumptions (94% coverage and $5 per dose), the incremental cost per DALY averted from vaccination compared to no vaccination would be $540 from the societal perspective and $550 from the health care system perspective.\\n\\nCONCLUSION: Introducing rotavirus vaccines would be a cost-effective public health intervention in Vietnam. However, given the uncertainty about vaccine efficacy and potential changes in rotavirus epidemiology in local settings, further clinical research and re-evaluation of rotavirus vaccination programs may be necessary as new information emerges.", "author" : [ { "dropping-particle" : "", "family" : "Kim", "given" : "Sun-Young", "non-dropping-particle" : "", "parse-names" : false, "suffix" : "" }, { "dropping-particle" : "", "family" : "Goldie", "given" : "Sue J", "non-dropping-particle" : "", "parse-names" : false, "suffix" : "" }, { "dropping-particle" : "", "family" : "Salomon", "given" : "Joshua A", "non-dropping-particle" : "", "parse-names" : false, "suffix" : "" } ], "container-title" : "BMC public health", "id" : "ITEM-1", "issue" : "1", "issued" : { "date-parts" : [ [ "2009", "1" ] ] }, "page" : "29", "title" : "Cost-effectiveness of Rotavirus vaccination in Vietnam.", "type" : "article-journal", "volume" : "9" }, "uris" : [ "http://www.mendeley.com/documents/?uuid=0f4e1190-2d54-4509-95d9-29545c902758" ] } ], "mendeley" : { "formattedCitation" : "[22]", "plainTextFormattedCitation" : "[22]", "previouslyFormattedCitation" : "[22]"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[22]</w:t>
      </w:r>
      <w:r w:rsidRPr="00445A65">
        <w:rPr>
          <w:color w:val="000000" w:themeColor="text1"/>
        </w:rPr>
        <w:fldChar w:fldCharType="end"/>
      </w:r>
      <w:r w:rsidRPr="00445A65">
        <w:rPr>
          <w:color w:val="000000" w:themeColor="text1"/>
        </w:rPr>
        <w:t xml:space="preserve">) to 0.46 (pneumococcal conjugate vaccination in Kenya </w:t>
      </w:r>
      <w:r w:rsidRPr="00445A65">
        <w:rPr>
          <w:color w:val="000000" w:themeColor="text1"/>
        </w:rPr>
        <w:fldChar w:fldCharType="begin" w:fldLock="1"/>
      </w:r>
      <w:r w:rsidR="00EC3854">
        <w:rPr>
          <w:color w:val="000000" w:themeColor="text1"/>
        </w:rPr>
        <w:instrText>ADDIN CSL_CITATION { "citationItems" : [ { "id" : "ITEM-1", "itemData" : { "DOI" : "10.1371/journal.pone.0067324", "ISSN" : "1932-6203", "PMID" : "23826268", "abstract" : "BACKGROUND: The GAVI Alliance supported10-valent pneumococcal conjugate vaccine (PCV10) introduction in Kenya. We estimated the cost-effectiveness of introducing either PCV10 or the13-valent vaccine (PCV13) from a societal perspective and explored the incremental impact of including indirect vaccine effects.\n\nMETHODS: The costs and effects of pneumococcal vaccination among infants born in Kenya in 2010 were assessed using a decision analytic model comparing PCV10 or PCV13, in turn, with no vaccination. Direct vaccine effects were estimated as a reduction in the incidence of pneumococcal meningitis, sepsis, bacteraemic pneumonia and non-bacteraemic pneumonia. Pneumococcal disease incidence was extrapolated from a population-based hospital surveillance system in Kilifi and adjustments were made for variable access to care across Kenya. We used vaccine efficacy estimates from a trial in The Gambia and accounted for serotype distribution in Kilifi. We estimated indirect vaccine protection and serotype replacement by extrapolating from the USA. Multivariable sensitivity analysis was conducted using Monte Carlo simulation. We assumed a vaccine price of US$ 3.50 per dose.\n\nFINDINGS: The annual cost of delivering PCV10 was approximately US$14 million. We projected a 42.7% reduction in pneumococcal disease episodes leading to a US$1.97 million reduction in treatment costs and a 6.1% reduction in childhood mortality annually. In the base case analysis, costs per discounted DALY and per death averted by PCV10, amounted to US$ 59 (95% CI 26-103) and US$ 1,958 (95% CI 866-3,425), respectively. PCV13 introduction improved the cost-effectiveness ratios by approximately 20% and inclusion of indirect effects improved cost-effectiveness ratios by 43-56%. The break-even prices for introduction of PCV10 and PCV13 are US$ 0.41 and 0.51, respectively.\n\nCONCLUSIONS: Introducing either PCV10 or PCV13 in Kenya is highly cost-effective from a societal perspective. Indirect effects, if they occur, would significantly improve the cost-effectiveness.", "author" : [ { "dropping-particle" : "", "family" : "Ayieko", "given" : "Philip", "non-dropping-particle" : "", "parse-names" : false, "suffix" : "" }, { "dropping-particle" : "", "family" : "Griffiths", "given" : "Ulla K", "non-dropping-particle" : "", "parse-names" : false, "suffix" : "" }, { "dropping-particle" : "", "family" : "Ndiritu", "given" : "Moses", "non-dropping-particle" : "", "parse-names" : false, "suffix" : "" }, { "dropping-particle" : "", "family" : "Moisi", "given" : "Jennifer", "non-dropping-particle" : "", "parse-names" : false, "suffix" : "" }, { "dropping-particle" : "", "family" : "Mugoya", "given" : "Isaac K", "non-dropping-particle" : "", "parse-names" : false, "suffix" : "" }, { "dropping-particle" : "", "family" : "Kamau", "given" : "Tatu", "non-dropping-particle" : "", "parse-names" : false, "suffix" : "" }, { "dropping-particle" : "", "family" : "English", "given" : "Mike", "non-dropping-particle" : "", "parse-names" : false, "suffix" : "" }, { "dropping-particle" : "", "family" : "Scott", "given" : "J Anthony G", "non-dropping-particle" : "", "parse-names" : false, "suffix" : "" } ], "container-title" : "PloS one", "id" : "ITEM-1", "issue" : "6", "issued" : { "date-parts" : [ [ "2013", "1" ] ] }, "page" : "e67324", "title" : "Assessment of Health Benefits and Cost-Effectiveness of 10-Valent and 13-Valent Pneumococcal Conjugate Vaccination in Kenyan Children.", "type" : "article-journal", "volume" : "8" }, "uris" : [ "http://www.mendeley.com/documents/?uuid=111f9046-1184-41be-a358-b4e937ca9e89" ] } ], "mendeley" : { "formattedCitation" : "[23]", "plainTextFormattedCitation" : "[23]", "previouslyFormattedCitation" : "[23]" }, "properties" : { "noteIndex" : 0 }, "schema" : "https://github.com/citation-style-language/schema/raw/master/csl-citation.json" }</w:instrText>
      </w:r>
      <w:r w:rsidRPr="00445A65">
        <w:rPr>
          <w:color w:val="000000" w:themeColor="text1"/>
        </w:rPr>
        <w:fldChar w:fldCharType="separate"/>
      </w:r>
      <w:r w:rsidRPr="00445A65">
        <w:rPr>
          <w:noProof/>
          <w:color w:val="000000" w:themeColor="text1"/>
        </w:rPr>
        <w:t>[23]</w:t>
      </w:r>
      <w:r w:rsidRPr="00445A65">
        <w:rPr>
          <w:color w:val="000000" w:themeColor="text1"/>
        </w:rPr>
        <w:fldChar w:fldCharType="end"/>
      </w:r>
      <w:r w:rsidRPr="00445A65">
        <w:rPr>
          <w:color w:val="000000" w:themeColor="text1"/>
        </w:rPr>
        <w:t>). Hence we multiplied the threshold cost by 0.40 (to bring it to $800 - $4000) when using a discount rate of 0% for health effects.</w:t>
      </w:r>
    </w:p>
    <w:p w14:paraId="235643F5" w14:textId="5A01490F" w:rsidR="00445A65" w:rsidRPr="00445A65" w:rsidRDefault="00445A65" w:rsidP="00445A65">
      <w:pPr>
        <w:pStyle w:val="Caption"/>
        <w:keepNext/>
        <w:rPr>
          <w:color w:val="000000" w:themeColor="text1"/>
        </w:rPr>
      </w:pPr>
      <w:r w:rsidRPr="00445A65">
        <w:rPr>
          <w:color w:val="000000" w:themeColor="text1"/>
        </w:rPr>
        <w:t xml:space="preserve">Table </w:t>
      </w:r>
      <w:r w:rsidR="00E3248D">
        <w:rPr>
          <w:color w:val="000000" w:themeColor="text1"/>
        </w:rPr>
        <w:t>C</w:t>
      </w:r>
      <w:r w:rsidRPr="00445A65">
        <w:rPr>
          <w:color w:val="000000" w:themeColor="text1"/>
        </w:rPr>
        <w:t xml:space="preserve">: Overview of costs and ICER of alternative intervention strategies to prevent dengue and of alternative vaccines. </w:t>
      </w:r>
    </w:p>
    <w:tbl>
      <w:tblPr>
        <w:tblStyle w:val="PlainTable31"/>
        <w:tblW w:w="5343" w:type="pct"/>
        <w:tblLayout w:type="fixed"/>
        <w:tblLook w:val="04A0" w:firstRow="1" w:lastRow="0" w:firstColumn="1" w:lastColumn="0" w:noHBand="0" w:noVBand="1"/>
      </w:tblPr>
      <w:tblGrid>
        <w:gridCol w:w="2033"/>
        <w:gridCol w:w="2177"/>
        <w:gridCol w:w="1017"/>
        <w:gridCol w:w="873"/>
        <w:gridCol w:w="1163"/>
        <w:gridCol w:w="1260"/>
        <w:gridCol w:w="1353"/>
      </w:tblGrid>
      <w:tr w:rsidR="00445A65" w:rsidRPr="00445A65" w14:paraId="1F03EA85" w14:textId="77777777" w:rsidTr="00F961CB">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029" w:type="pct"/>
            <w:noWrap/>
            <w:hideMark/>
          </w:tcPr>
          <w:p w14:paraId="3F79C6BA" w14:textId="77777777" w:rsidR="00445A65" w:rsidRPr="00445A65" w:rsidRDefault="00445A65" w:rsidP="00F961CB">
            <w:pPr>
              <w:jc w:val="center"/>
              <w:rPr>
                <w:rFonts w:ascii="Calibri" w:eastAsia="Times New Roman" w:hAnsi="Calibri" w:cs="Times New Roman"/>
                <w:b w:val="0"/>
                <w:bCs w:val="0"/>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INtervention</w:t>
            </w:r>
          </w:p>
        </w:tc>
        <w:tc>
          <w:tcPr>
            <w:tcW w:w="1102" w:type="pct"/>
            <w:noWrap/>
            <w:hideMark/>
          </w:tcPr>
          <w:p w14:paraId="3DC9944E" w14:textId="77777777" w:rsidR="00445A65" w:rsidRPr="00445A65" w:rsidRDefault="00445A65" w:rsidP="00F961C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Country</w:t>
            </w:r>
          </w:p>
        </w:tc>
        <w:tc>
          <w:tcPr>
            <w:tcW w:w="515" w:type="pct"/>
            <w:noWrap/>
            <w:hideMark/>
          </w:tcPr>
          <w:p w14:paraId="794B39CB" w14:textId="77777777" w:rsidR="00445A65" w:rsidRPr="00445A65" w:rsidRDefault="00445A65" w:rsidP="00F961C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Cost per UNit</w:t>
            </w:r>
          </w:p>
        </w:tc>
        <w:tc>
          <w:tcPr>
            <w:tcW w:w="442" w:type="pct"/>
            <w:noWrap/>
            <w:hideMark/>
          </w:tcPr>
          <w:p w14:paraId="55F50932" w14:textId="77777777" w:rsidR="00445A65" w:rsidRPr="00445A65" w:rsidRDefault="00445A65" w:rsidP="00F961C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ICER</w:t>
            </w:r>
          </w:p>
        </w:tc>
        <w:tc>
          <w:tcPr>
            <w:tcW w:w="589" w:type="pct"/>
            <w:noWrap/>
            <w:hideMark/>
          </w:tcPr>
          <w:p w14:paraId="346EA519" w14:textId="77777777" w:rsidR="00445A65" w:rsidRPr="00445A65" w:rsidRDefault="00445A65" w:rsidP="00F961C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Currency</w:t>
            </w:r>
          </w:p>
        </w:tc>
        <w:tc>
          <w:tcPr>
            <w:tcW w:w="638" w:type="pct"/>
            <w:noWrap/>
            <w:hideMark/>
          </w:tcPr>
          <w:p w14:paraId="13C07312" w14:textId="77777777" w:rsidR="00445A65" w:rsidRPr="00445A65" w:rsidRDefault="00445A65" w:rsidP="00F961C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Reference</w:t>
            </w:r>
          </w:p>
        </w:tc>
        <w:tc>
          <w:tcPr>
            <w:tcW w:w="685" w:type="pct"/>
            <w:noWrap/>
            <w:hideMark/>
          </w:tcPr>
          <w:p w14:paraId="590B3BD9" w14:textId="77777777" w:rsidR="00445A65" w:rsidRPr="00445A65" w:rsidRDefault="00445A65" w:rsidP="00F961C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Perspective</w:t>
            </w:r>
          </w:p>
        </w:tc>
      </w:tr>
      <w:tr w:rsidR="00445A65" w:rsidRPr="00445A65" w14:paraId="34DEFBFB" w14:textId="77777777" w:rsidTr="00F961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29" w:type="pct"/>
            <w:noWrap/>
            <w:hideMark/>
          </w:tcPr>
          <w:p w14:paraId="7448BF5D" w14:textId="77777777" w:rsidR="00445A65" w:rsidRPr="00445A65" w:rsidRDefault="00445A65" w:rsidP="00F961CB">
            <w:pPr>
              <w:jc w:val="center"/>
              <w:rPr>
                <w:rFonts w:ascii="Calibri" w:eastAsia="Times New Roman" w:hAnsi="Calibri" w:cs="Times New Roman"/>
                <w:b w:val="0"/>
                <w:color w:val="000000" w:themeColor="text1"/>
                <w:sz w:val="18"/>
                <w:szCs w:val="18"/>
                <w:lang w:eastAsia="en-GB"/>
              </w:rPr>
            </w:pPr>
            <w:r w:rsidRPr="00445A65">
              <w:rPr>
                <w:rFonts w:ascii="Calibri" w:eastAsia="Times New Roman" w:hAnsi="Calibri" w:cs="Times New Roman"/>
                <w:b w:val="0"/>
                <w:caps w:val="0"/>
                <w:color w:val="000000" w:themeColor="text1"/>
                <w:sz w:val="18"/>
                <w:szCs w:val="18"/>
                <w:lang w:eastAsia="en-GB"/>
              </w:rPr>
              <w:t>Hpv vaccination of 12-year olds</w:t>
            </w:r>
          </w:p>
        </w:tc>
        <w:tc>
          <w:tcPr>
            <w:tcW w:w="1102" w:type="pct"/>
            <w:noWrap/>
            <w:hideMark/>
          </w:tcPr>
          <w:p w14:paraId="25E244D4"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Brazil</w:t>
            </w:r>
          </w:p>
        </w:tc>
        <w:tc>
          <w:tcPr>
            <w:tcW w:w="515" w:type="pct"/>
            <w:noWrap/>
            <w:hideMark/>
          </w:tcPr>
          <w:p w14:paraId="74773E2C"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13.5</w:t>
            </w:r>
          </w:p>
        </w:tc>
        <w:tc>
          <w:tcPr>
            <w:tcW w:w="442" w:type="pct"/>
            <w:noWrap/>
            <w:hideMark/>
          </w:tcPr>
          <w:p w14:paraId="1D9910ED"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1,290</w:t>
            </w:r>
          </w:p>
        </w:tc>
        <w:tc>
          <w:tcPr>
            <w:tcW w:w="589" w:type="pct"/>
            <w:noWrap/>
            <w:hideMark/>
          </w:tcPr>
          <w:p w14:paraId="142B2027"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2011 USD</w:t>
            </w:r>
          </w:p>
        </w:tc>
        <w:tc>
          <w:tcPr>
            <w:tcW w:w="638" w:type="pct"/>
            <w:noWrap/>
            <w:hideMark/>
          </w:tcPr>
          <w:p w14:paraId="557D39A8" w14:textId="7C7F5302"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fldChar w:fldCharType="begin" w:fldLock="1"/>
            </w:r>
            <w:r w:rsidR="00EC3854">
              <w:rPr>
                <w:rFonts w:ascii="Calibri" w:eastAsia="Times New Roman" w:hAnsi="Calibri" w:cs="Times New Roman"/>
                <w:color w:val="000000" w:themeColor="text1"/>
                <w:sz w:val="18"/>
                <w:szCs w:val="18"/>
                <w:lang w:eastAsia="en-GB"/>
              </w:rPr>
              <w:instrText>ADDIN CSL_CITATION { "citationItems" : [ { "id" : "ITEM-1", "itemData" : { "DOI" : "10.1016/S2214-109X(14)70237-2", "ISSN" : "2214109X", "PMID" : "25103394", "abstract" : "Background: Introduction of human papillomavirus (HPV) vaccination in settings with the highest burden of HPV is not universal, partly because of the absence of quantitative estimates of country-specific effects on health and economic costs. We aimed to develop and validate a simple generic model of such effects that could be used and understood in a range of settings with little external support. Methods: We developed the Papillomavirus Rapid Interface for Modelling and Economics (PRIME) model to assess cost-effectiveness and health effects of vaccination of girls against HPV before sexual debut in terms of burden of cervical cancer and mortality. PRIME models incidence according to proposed vaccine efficacy against HPV 16/18, vaccine coverage, cervical cancer incidence and mortality, and HPV type distribution. It assumes lifelong vaccine protection and no changes to other screening programmes or vaccine uptake. We validated PRIME against existing reports of HPV vaccination cost-effectiveness, projected outcomes for 179 countries (assuming full vaccination of 12-year-old girls), and outcomes for 71 phase 2 GAVI-eligible countries (using vaccine uptake data from the GAVI Alliance). We assessed differences between countries in terms of cost-effectiveness and health effects. Findings: In validation, PRIME reproduced cost-effectiveness conclusions for 24 of 26 countries from 17 published studies, and for all 72 countries in a published study of GAVI-eligible countries. Vaccination of a cohort of 58 million 12-year-old girls in 179 countries prevented 690 000 cases of cervical cancer and 420 000 deaths during their lifetime (mostly in low-income or middle-income countries), at a net cost of US$4 billion. HPV vaccination was very cost effective (with every disability-adjusted life-year averted costing less than the gross domestic product per head) in 156 (87%) of 179 countries. Introduction of the vaccine in countries without national HPV vaccination at present would prevent substantially more cases of cervical cancer than in countries with such programmes, although the disparity has narrowed since 2012. If 71 phase 2 GAVI-eligible countries adopt vaccination according to forecasts, then in 2070 GAVI Alliance-funded vaccination could prevent 200 000 cases of cervical cancer and 100 000 deaths in some of the highest-burden countries. Interpretation: Large between-country disparities exist for HPV vaccination, with countries with the most to gain yet to introd\u2026", "author" : [ { "dropping-particle" : "", "family" : "Jit", "given" : "Mark", "non-dropping-particle" : "", "parse-names" : false, "suffix" : "" }, { "dropping-particle" : "", "family" : "Brisson", "given" : "Marc", "non-dropping-particle" : "", "parse-names" : false, "suffix" : "" }, { "dropping-particle" : "", "family" : "Portnoy", "given" : "Allison", "non-dropping-particle" : "", "parse-names" : false, "suffix" : "" }, { "dropping-particle" : "", "family" : "Hutubessy", "given" : "Raymond", "non-dropping-particle" : "", "parse-names" : false, "suffix" : "" } ], "container-title" : "The Lancet Global Health", "id" : "ITEM-1", "issue" : "7", "issued" : { "date-parts" : [ [ "2014" ] ] }, "page" : "e406-e414", "publisher" : "World Health Organization", "title" : "Cost-effectiveness of female human papillomavirus vaccination in 179 countries: a PRIME modelling study", "type" : "article-journal", "volume" : "2" }, "uris" : [ "http://www.mendeley.com/documents/?uuid=87285774-ec37-4352-86dd-4f0877cac594" ] } ], "mendeley" : { "formattedCitation" : "[18]", "plainTextFormattedCitation" : "[18]", "previouslyFormattedCitation" : "[18]" }, "properties" : { "noteIndex" : 0 }, "schema" : "https://github.com/citation-style-language/schema/raw/master/csl-citation.json" }</w:instrText>
            </w:r>
            <w:r w:rsidRPr="00445A65">
              <w:rPr>
                <w:rFonts w:ascii="Calibri" w:eastAsia="Times New Roman" w:hAnsi="Calibri" w:cs="Times New Roman"/>
                <w:color w:val="000000" w:themeColor="text1"/>
                <w:sz w:val="18"/>
                <w:szCs w:val="18"/>
                <w:lang w:eastAsia="en-GB"/>
              </w:rPr>
              <w:fldChar w:fldCharType="separate"/>
            </w:r>
            <w:r w:rsidRPr="00445A65">
              <w:rPr>
                <w:rFonts w:ascii="Calibri" w:eastAsia="Times New Roman" w:hAnsi="Calibri" w:cs="Times New Roman"/>
                <w:noProof/>
                <w:color w:val="000000" w:themeColor="text1"/>
                <w:sz w:val="18"/>
                <w:szCs w:val="18"/>
                <w:lang w:eastAsia="en-GB"/>
              </w:rPr>
              <w:t>[18]</w:t>
            </w:r>
            <w:r w:rsidRPr="00445A65">
              <w:rPr>
                <w:rFonts w:ascii="Calibri" w:eastAsia="Times New Roman" w:hAnsi="Calibri" w:cs="Times New Roman"/>
                <w:color w:val="000000" w:themeColor="text1"/>
                <w:sz w:val="18"/>
                <w:szCs w:val="18"/>
                <w:lang w:eastAsia="en-GB"/>
              </w:rPr>
              <w:fldChar w:fldCharType="end"/>
            </w:r>
          </w:p>
        </w:tc>
        <w:tc>
          <w:tcPr>
            <w:tcW w:w="685" w:type="pct"/>
            <w:noWrap/>
            <w:hideMark/>
          </w:tcPr>
          <w:p w14:paraId="4019B26E"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Provider</w:t>
            </w:r>
          </w:p>
        </w:tc>
      </w:tr>
      <w:tr w:rsidR="00445A65" w:rsidRPr="00445A65" w14:paraId="3CE1D4A9" w14:textId="77777777" w:rsidTr="00F961CB">
        <w:trPr>
          <w:trHeight w:val="288"/>
        </w:trPr>
        <w:tc>
          <w:tcPr>
            <w:cnfStyle w:val="001000000000" w:firstRow="0" w:lastRow="0" w:firstColumn="1" w:lastColumn="0" w:oddVBand="0" w:evenVBand="0" w:oddHBand="0" w:evenHBand="0" w:firstRowFirstColumn="0" w:firstRowLastColumn="0" w:lastRowFirstColumn="0" w:lastRowLastColumn="0"/>
            <w:tcW w:w="1029" w:type="pct"/>
            <w:noWrap/>
            <w:hideMark/>
          </w:tcPr>
          <w:p w14:paraId="697593BD" w14:textId="77777777" w:rsidR="00445A65" w:rsidRPr="00445A65" w:rsidRDefault="00445A65" w:rsidP="00F961CB">
            <w:pPr>
              <w:jc w:val="center"/>
              <w:rPr>
                <w:rFonts w:ascii="Calibri" w:eastAsia="Times New Roman" w:hAnsi="Calibri" w:cs="Times New Roman"/>
                <w:b w:val="0"/>
                <w:color w:val="000000" w:themeColor="text1"/>
                <w:sz w:val="18"/>
                <w:szCs w:val="18"/>
                <w:lang w:eastAsia="en-GB"/>
              </w:rPr>
            </w:pPr>
            <w:r w:rsidRPr="00445A65">
              <w:rPr>
                <w:rFonts w:ascii="Calibri" w:eastAsia="Times New Roman" w:hAnsi="Calibri" w:cs="Times New Roman"/>
                <w:b w:val="0"/>
                <w:caps w:val="0"/>
                <w:color w:val="000000" w:themeColor="text1"/>
                <w:sz w:val="18"/>
                <w:szCs w:val="18"/>
                <w:lang w:eastAsia="en-GB"/>
              </w:rPr>
              <w:t>Hpv vaccination of 12-year olds</w:t>
            </w:r>
          </w:p>
        </w:tc>
        <w:tc>
          <w:tcPr>
            <w:tcW w:w="1102" w:type="pct"/>
            <w:noWrap/>
            <w:hideMark/>
          </w:tcPr>
          <w:p w14:paraId="5EB1A568"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Philippines</w:t>
            </w:r>
          </w:p>
        </w:tc>
        <w:tc>
          <w:tcPr>
            <w:tcW w:w="515" w:type="pct"/>
            <w:noWrap/>
            <w:hideMark/>
          </w:tcPr>
          <w:p w14:paraId="60236843"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13.5</w:t>
            </w:r>
          </w:p>
        </w:tc>
        <w:tc>
          <w:tcPr>
            <w:tcW w:w="442" w:type="pct"/>
            <w:noWrap/>
            <w:hideMark/>
          </w:tcPr>
          <w:p w14:paraId="4963B83E"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1,590</w:t>
            </w:r>
          </w:p>
        </w:tc>
        <w:tc>
          <w:tcPr>
            <w:tcW w:w="589" w:type="pct"/>
            <w:noWrap/>
            <w:hideMark/>
          </w:tcPr>
          <w:p w14:paraId="119FFD91"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2011 USD</w:t>
            </w:r>
          </w:p>
        </w:tc>
        <w:tc>
          <w:tcPr>
            <w:tcW w:w="638" w:type="pct"/>
            <w:noWrap/>
            <w:hideMark/>
          </w:tcPr>
          <w:p w14:paraId="41CF4B63" w14:textId="16485FDA"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fldChar w:fldCharType="begin" w:fldLock="1"/>
            </w:r>
            <w:r w:rsidR="00EC3854">
              <w:rPr>
                <w:rFonts w:ascii="Calibri" w:eastAsia="Times New Roman" w:hAnsi="Calibri" w:cs="Times New Roman"/>
                <w:color w:val="000000" w:themeColor="text1"/>
                <w:sz w:val="18"/>
                <w:szCs w:val="18"/>
                <w:lang w:eastAsia="en-GB"/>
              </w:rPr>
              <w:instrText>ADDIN CSL_CITATION { "citationItems" : [ { "id" : "ITEM-1", "itemData" : { "DOI" : "10.1016/S2214-109X(14)70237-2", "ISSN" : "2214109X", "PMID" : "25103394", "abstract" : "Background: Introduction of human papillomavirus (HPV) vaccination in settings with the highest burden of HPV is not universal, partly because of the absence of quantitative estimates of country-specific effects on health and economic costs. We aimed to develop and validate a simple generic model of such effects that could be used and understood in a range of settings with little external support. Methods: We developed the Papillomavirus Rapid Interface for Modelling and Economics (PRIME) model to assess cost-effectiveness and health effects of vaccination of girls against HPV before sexual debut in terms of burden of cervical cancer and mortality. PRIME models incidence according to proposed vaccine efficacy against HPV 16/18, vaccine coverage, cervical cancer incidence and mortality, and HPV type distribution. It assumes lifelong vaccine protection and no changes to other screening programmes or vaccine uptake. We validated PRIME against existing reports of HPV vaccination cost-effectiveness, projected outcomes for 179 countries (assuming full vaccination of 12-year-old girls), and outcomes for 71 phase 2 GAVI-eligible countries (using vaccine uptake data from the GAVI Alliance). We assessed differences between countries in terms of cost-effectiveness and health effects. Findings: In validation, PRIME reproduced cost-effectiveness conclusions for 24 of 26 countries from 17 published studies, and for all 72 countries in a published study of GAVI-eligible countries. Vaccination of a cohort of 58 million 12-year-old girls in 179 countries prevented 690 000 cases of cervical cancer and 420 000 deaths during their lifetime (mostly in low-income or middle-income countries), at a net cost of US$4 billion. HPV vaccination was very cost effective (with every disability-adjusted life-year averted costing less than the gross domestic product per head) in 156 (87%) of 179 countries. Introduction of the vaccine in countries without national HPV vaccination at present would prevent substantially more cases of cervical cancer than in countries with such programmes, although the disparity has narrowed since 2012. If 71 phase 2 GAVI-eligible countries adopt vaccination according to forecasts, then in 2070 GAVI Alliance-funded vaccination could prevent 200 000 cases of cervical cancer and 100 000 deaths in some of the highest-burden countries. Interpretation: Large between-country disparities exist for HPV vaccination, with countries with the most to gain yet to introd\u2026", "author" : [ { "dropping-particle" : "", "family" : "Jit", "given" : "Mark", "non-dropping-particle" : "", "parse-names" : false, "suffix" : "" }, { "dropping-particle" : "", "family" : "Brisson", "given" : "Marc", "non-dropping-particle" : "", "parse-names" : false, "suffix" : "" }, { "dropping-particle" : "", "family" : "Portnoy", "given" : "Allison", "non-dropping-particle" : "", "parse-names" : false, "suffix" : "" }, { "dropping-particle" : "", "family" : "Hutubessy", "given" : "Raymond", "non-dropping-particle" : "", "parse-names" : false, "suffix" : "" } ], "container-title" : "The Lancet Global Health", "id" : "ITEM-1", "issue" : "7", "issued" : { "date-parts" : [ [ "2014" ] ] }, "page" : "e406-e414", "publisher" : "World Health Organization", "title" : "Cost-effectiveness of female human papillomavirus vaccination in 179 countries: a PRIME modelling study", "type" : "article-journal", "volume" : "2" }, "uris" : [ "http://www.mendeley.com/documents/?uuid=87285774-ec37-4352-86dd-4f0877cac594" ] } ], "mendeley" : { "formattedCitation" : "[18]", "plainTextFormattedCitation" : "[18]", "previouslyFormattedCitation" : "[18]" }, "properties" : { "noteIndex" : 0 }, "schema" : "https://github.com/citation-style-language/schema/raw/master/csl-citation.json" }</w:instrText>
            </w:r>
            <w:r w:rsidRPr="00445A65">
              <w:rPr>
                <w:rFonts w:ascii="Calibri" w:eastAsia="Times New Roman" w:hAnsi="Calibri" w:cs="Times New Roman"/>
                <w:color w:val="000000" w:themeColor="text1"/>
                <w:sz w:val="18"/>
                <w:szCs w:val="18"/>
                <w:lang w:eastAsia="en-GB"/>
              </w:rPr>
              <w:fldChar w:fldCharType="separate"/>
            </w:r>
            <w:r w:rsidRPr="00445A65">
              <w:rPr>
                <w:rFonts w:ascii="Calibri" w:eastAsia="Times New Roman" w:hAnsi="Calibri" w:cs="Times New Roman"/>
                <w:noProof/>
                <w:color w:val="000000" w:themeColor="text1"/>
                <w:sz w:val="18"/>
                <w:szCs w:val="18"/>
                <w:lang w:eastAsia="en-GB"/>
              </w:rPr>
              <w:t>[18]</w:t>
            </w:r>
            <w:r w:rsidRPr="00445A65">
              <w:rPr>
                <w:rFonts w:ascii="Calibri" w:eastAsia="Times New Roman" w:hAnsi="Calibri" w:cs="Times New Roman"/>
                <w:color w:val="000000" w:themeColor="text1"/>
                <w:sz w:val="18"/>
                <w:szCs w:val="18"/>
                <w:lang w:eastAsia="en-GB"/>
              </w:rPr>
              <w:fldChar w:fldCharType="end"/>
            </w:r>
          </w:p>
        </w:tc>
        <w:tc>
          <w:tcPr>
            <w:tcW w:w="685" w:type="pct"/>
            <w:noWrap/>
            <w:hideMark/>
          </w:tcPr>
          <w:p w14:paraId="488BF925"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Provider</w:t>
            </w:r>
          </w:p>
        </w:tc>
      </w:tr>
      <w:tr w:rsidR="00445A65" w:rsidRPr="00445A65" w14:paraId="2E58E2C3" w14:textId="77777777" w:rsidTr="00F961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29" w:type="pct"/>
            <w:noWrap/>
            <w:hideMark/>
          </w:tcPr>
          <w:p w14:paraId="3EA83787" w14:textId="77777777" w:rsidR="00445A65" w:rsidRPr="00445A65" w:rsidRDefault="00445A65" w:rsidP="00F961CB">
            <w:pPr>
              <w:jc w:val="center"/>
              <w:rPr>
                <w:rFonts w:ascii="Calibri" w:eastAsia="Times New Roman" w:hAnsi="Calibri" w:cs="Times New Roman"/>
                <w:b w:val="0"/>
                <w:color w:val="000000" w:themeColor="text1"/>
                <w:sz w:val="18"/>
                <w:szCs w:val="18"/>
                <w:lang w:eastAsia="en-GB"/>
              </w:rPr>
            </w:pPr>
            <w:r w:rsidRPr="00445A65">
              <w:rPr>
                <w:rFonts w:ascii="Calibri" w:eastAsia="Times New Roman" w:hAnsi="Calibri" w:cs="Times New Roman"/>
                <w:b w:val="0"/>
                <w:caps w:val="0"/>
                <w:color w:val="000000" w:themeColor="text1"/>
                <w:sz w:val="18"/>
                <w:szCs w:val="18"/>
                <w:lang w:eastAsia="en-GB"/>
              </w:rPr>
              <w:t>Hpv vaccination of 12-year olds</w:t>
            </w:r>
          </w:p>
        </w:tc>
        <w:tc>
          <w:tcPr>
            <w:tcW w:w="1102" w:type="pct"/>
            <w:noWrap/>
            <w:hideMark/>
          </w:tcPr>
          <w:p w14:paraId="5667119B"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PAHO upper middle income countries min</w:t>
            </w:r>
          </w:p>
        </w:tc>
        <w:tc>
          <w:tcPr>
            <w:tcW w:w="515" w:type="pct"/>
            <w:noWrap/>
            <w:hideMark/>
          </w:tcPr>
          <w:p w14:paraId="4B1B3FCC"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13.5</w:t>
            </w:r>
          </w:p>
        </w:tc>
        <w:tc>
          <w:tcPr>
            <w:tcW w:w="442" w:type="pct"/>
            <w:noWrap/>
            <w:hideMark/>
          </w:tcPr>
          <w:p w14:paraId="6F6B62CD"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630</w:t>
            </w:r>
          </w:p>
        </w:tc>
        <w:tc>
          <w:tcPr>
            <w:tcW w:w="589" w:type="pct"/>
            <w:noWrap/>
            <w:hideMark/>
          </w:tcPr>
          <w:p w14:paraId="05BA4FAF"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2011 USD</w:t>
            </w:r>
          </w:p>
        </w:tc>
        <w:tc>
          <w:tcPr>
            <w:tcW w:w="638" w:type="pct"/>
            <w:noWrap/>
            <w:hideMark/>
          </w:tcPr>
          <w:p w14:paraId="578F8DC4" w14:textId="493AA94B"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fldChar w:fldCharType="begin" w:fldLock="1"/>
            </w:r>
            <w:r w:rsidR="00EC3854">
              <w:rPr>
                <w:rFonts w:ascii="Calibri" w:eastAsia="Times New Roman" w:hAnsi="Calibri" w:cs="Times New Roman"/>
                <w:color w:val="000000" w:themeColor="text1"/>
                <w:sz w:val="18"/>
                <w:szCs w:val="18"/>
                <w:lang w:eastAsia="en-GB"/>
              </w:rPr>
              <w:instrText>ADDIN CSL_CITATION { "citationItems" : [ { "id" : "ITEM-1", "itemData" : { "DOI" : "10.1016/S2214-109X(14)70237-2", "ISSN" : "2214109X", "PMID" : "25103394", "abstract" : "Background: Introduction of human papillomavirus (HPV) vaccination in settings with the highest burden of HPV is not universal, partly because of the absence of quantitative estimates of country-specific effects on health and economic costs. We aimed to develop and validate a simple generic model of such effects that could be used and understood in a range of settings with little external support. Methods: We developed the Papillomavirus Rapid Interface for Modelling and Economics (PRIME) model to assess cost-effectiveness and health effects of vaccination of girls against HPV before sexual debut in terms of burden of cervical cancer and mortality. PRIME models incidence according to proposed vaccine efficacy against HPV 16/18, vaccine coverage, cervical cancer incidence and mortality, and HPV type distribution. It assumes lifelong vaccine protection and no changes to other screening programmes or vaccine uptake. We validated PRIME against existing reports of HPV vaccination cost-effectiveness, projected outcomes for 179 countries (assuming full vaccination of 12-year-old girls), and outcomes for 71 phase 2 GAVI-eligible countries (using vaccine uptake data from the GAVI Alliance). We assessed differences between countries in terms of cost-effectiveness and health effects. Findings: In validation, PRIME reproduced cost-effectiveness conclusions for 24 of 26 countries from 17 published studies, and for all 72 countries in a published study of GAVI-eligible countries. Vaccination of a cohort of 58 million 12-year-old girls in 179 countries prevented 690 000 cases of cervical cancer and 420 000 deaths during their lifetime (mostly in low-income or middle-income countries), at a net cost of US$4 billion. HPV vaccination was very cost effective (with every disability-adjusted life-year averted costing less than the gross domestic product per head) in 156 (87%) of 179 countries. Introduction of the vaccine in countries without national HPV vaccination at present would prevent substantially more cases of cervical cancer than in countries with such programmes, although the disparity has narrowed since 2012. If 71 phase 2 GAVI-eligible countries adopt vaccination according to forecasts, then in 2070 GAVI Alliance-funded vaccination could prevent 200 000 cases of cervical cancer and 100 000 deaths in some of the highest-burden countries. Interpretation: Large between-country disparities exist for HPV vaccination, with countries with the most to gain yet to introd\u2026", "author" : [ { "dropping-particle" : "", "family" : "Jit", "given" : "Mark", "non-dropping-particle" : "", "parse-names" : false, "suffix" : "" }, { "dropping-particle" : "", "family" : "Brisson", "given" : "Marc", "non-dropping-particle" : "", "parse-names" : false, "suffix" : "" }, { "dropping-particle" : "", "family" : "Portnoy", "given" : "Allison", "non-dropping-particle" : "", "parse-names" : false, "suffix" : "" }, { "dropping-particle" : "", "family" : "Hutubessy", "given" : "Raymond", "non-dropping-particle" : "", "parse-names" : false, "suffix" : "" } ], "container-title" : "The Lancet Global Health", "id" : "ITEM-1", "issue" : "7", "issued" : { "date-parts" : [ [ "2014" ] ] }, "page" : "e406-e414", "publisher" : "World Health Organization", "title" : "Cost-effectiveness of female human papillomavirus vaccination in 179 countries: a PRIME modelling study", "type" : "article-journal", "volume" : "2" }, "uris" : [ "http://www.mendeley.com/documents/?uuid=87285774-ec37-4352-86dd-4f0877cac594" ] } ], "mendeley" : { "formattedCitation" : "[18]", "plainTextFormattedCitation" : "[18]", "previouslyFormattedCitation" : "[18]" }, "properties" : { "noteIndex" : 0 }, "schema" : "https://github.com/citation-style-language/schema/raw/master/csl-citation.json" }</w:instrText>
            </w:r>
            <w:r w:rsidRPr="00445A65">
              <w:rPr>
                <w:rFonts w:ascii="Calibri" w:eastAsia="Times New Roman" w:hAnsi="Calibri" w:cs="Times New Roman"/>
                <w:color w:val="000000" w:themeColor="text1"/>
                <w:sz w:val="18"/>
                <w:szCs w:val="18"/>
                <w:lang w:eastAsia="en-GB"/>
              </w:rPr>
              <w:fldChar w:fldCharType="separate"/>
            </w:r>
            <w:r w:rsidRPr="00445A65">
              <w:rPr>
                <w:rFonts w:ascii="Calibri" w:eastAsia="Times New Roman" w:hAnsi="Calibri" w:cs="Times New Roman"/>
                <w:noProof/>
                <w:color w:val="000000" w:themeColor="text1"/>
                <w:sz w:val="18"/>
                <w:szCs w:val="18"/>
                <w:lang w:eastAsia="en-GB"/>
              </w:rPr>
              <w:t>[18]</w:t>
            </w:r>
            <w:r w:rsidRPr="00445A65">
              <w:rPr>
                <w:rFonts w:ascii="Calibri" w:eastAsia="Times New Roman" w:hAnsi="Calibri" w:cs="Times New Roman"/>
                <w:color w:val="000000" w:themeColor="text1"/>
                <w:sz w:val="18"/>
                <w:szCs w:val="18"/>
                <w:lang w:eastAsia="en-GB"/>
              </w:rPr>
              <w:fldChar w:fldCharType="end"/>
            </w:r>
          </w:p>
        </w:tc>
        <w:tc>
          <w:tcPr>
            <w:tcW w:w="685" w:type="pct"/>
            <w:noWrap/>
            <w:hideMark/>
          </w:tcPr>
          <w:p w14:paraId="393E83F3"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Provider</w:t>
            </w:r>
          </w:p>
        </w:tc>
      </w:tr>
      <w:tr w:rsidR="00445A65" w:rsidRPr="00445A65" w14:paraId="148BC1E0" w14:textId="77777777" w:rsidTr="00F961CB">
        <w:trPr>
          <w:trHeight w:val="288"/>
        </w:trPr>
        <w:tc>
          <w:tcPr>
            <w:cnfStyle w:val="001000000000" w:firstRow="0" w:lastRow="0" w:firstColumn="1" w:lastColumn="0" w:oddVBand="0" w:evenVBand="0" w:oddHBand="0" w:evenHBand="0" w:firstRowFirstColumn="0" w:firstRowLastColumn="0" w:lastRowFirstColumn="0" w:lastRowLastColumn="0"/>
            <w:tcW w:w="1029" w:type="pct"/>
            <w:noWrap/>
            <w:hideMark/>
          </w:tcPr>
          <w:p w14:paraId="23001262" w14:textId="77777777" w:rsidR="00445A65" w:rsidRPr="00445A65" w:rsidRDefault="00445A65" w:rsidP="00F961CB">
            <w:pPr>
              <w:jc w:val="center"/>
              <w:rPr>
                <w:rFonts w:ascii="Calibri" w:eastAsia="Times New Roman" w:hAnsi="Calibri" w:cs="Times New Roman"/>
                <w:b w:val="0"/>
                <w:color w:val="000000" w:themeColor="text1"/>
                <w:sz w:val="18"/>
                <w:szCs w:val="18"/>
                <w:lang w:eastAsia="en-GB"/>
              </w:rPr>
            </w:pPr>
            <w:r w:rsidRPr="00445A65">
              <w:rPr>
                <w:rFonts w:ascii="Calibri" w:eastAsia="Times New Roman" w:hAnsi="Calibri" w:cs="Times New Roman"/>
                <w:b w:val="0"/>
                <w:caps w:val="0"/>
                <w:color w:val="000000" w:themeColor="text1"/>
                <w:sz w:val="18"/>
                <w:szCs w:val="18"/>
                <w:lang w:eastAsia="en-GB"/>
              </w:rPr>
              <w:t>Hpv vaccination of 12-year olds</w:t>
            </w:r>
          </w:p>
        </w:tc>
        <w:tc>
          <w:tcPr>
            <w:tcW w:w="1102" w:type="pct"/>
            <w:noWrap/>
            <w:hideMark/>
          </w:tcPr>
          <w:p w14:paraId="54CDEE46"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PAHO upper middle income countries max</w:t>
            </w:r>
          </w:p>
        </w:tc>
        <w:tc>
          <w:tcPr>
            <w:tcW w:w="515" w:type="pct"/>
            <w:noWrap/>
            <w:hideMark/>
          </w:tcPr>
          <w:p w14:paraId="7B3AE7DD"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13.5</w:t>
            </w:r>
          </w:p>
        </w:tc>
        <w:tc>
          <w:tcPr>
            <w:tcW w:w="442" w:type="pct"/>
            <w:noWrap/>
            <w:hideMark/>
          </w:tcPr>
          <w:p w14:paraId="1DDE13D4"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2,080</w:t>
            </w:r>
          </w:p>
        </w:tc>
        <w:tc>
          <w:tcPr>
            <w:tcW w:w="589" w:type="pct"/>
            <w:noWrap/>
            <w:hideMark/>
          </w:tcPr>
          <w:p w14:paraId="6BAB804F"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2011 USD</w:t>
            </w:r>
          </w:p>
        </w:tc>
        <w:tc>
          <w:tcPr>
            <w:tcW w:w="638" w:type="pct"/>
            <w:noWrap/>
            <w:hideMark/>
          </w:tcPr>
          <w:p w14:paraId="2D663DCD" w14:textId="79A0A4DF"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fldChar w:fldCharType="begin" w:fldLock="1"/>
            </w:r>
            <w:r w:rsidR="00EC3854">
              <w:rPr>
                <w:rFonts w:ascii="Calibri" w:eastAsia="Times New Roman" w:hAnsi="Calibri" w:cs="Times New Roman"/>
                <w:color w:val="000000" w:themeColor="text1"/>
                <w:sz w:val="18"/>
                <w:szCs w:val="18"/>
                <w:lang w:eastAsia="en-GB"/>
              </w:rPr>
              <w:instrText>ADDIN CSL_CITATION { "citationItems" : [ { "id" : "ITEM-1", "itemData" : { "DOI" : "10.1016/S2214-109X(14)70237-2", "ISSN" : "2214109X", "PMID" : "25103394", "abstract" : "Background: Introduction of human papillomavirus (HPV) vaccination in settings with the highest burden of HPV is not universal, partly because of the absence of quantitative estimates of country-specific effects on health and economic costs. We aimed to develop and validate a simple generic model of such effects that could be used and understood in a range of settings with little external support. Methods: We developed the Papillomavirus Rapid Interface for Modelling and Economics (PRIME) model to assess cost-effectiveness and health effects of vaccination of girls against HPV before sexual debut in terms of burden of cervical cancer and mortality. PRIME models incidence according to proposed vaccine efficacy against HPV 16/18, vaccine coverage, cervical cancer incidence and mortality, and HPV type distribution. It assumes lifelong vaccine protection and no changes to other screening programmes or vaccine uptake. We validated PRIME against existing reports of HPV vaccination cost-effectiveness, projected outcomes for 179 countries (assuming full vaccination of 12-year-old girls), and outcomes for 71 phase 2 GAVI-eligible countries (using vaccine uptake data from the GAVI Alliance). We assessed differences between countries in terms of cost-effectiveness and health effects. Findings: In validation, PRIME reproduced cost-effectiveness conclusions for 24 of 26 countries from 17 published studies, and for all 72 countries in a published study of GAVI-eligible countries. Vaccination of a cohort of 58 million 12-year-old girls in 179 countries prevented 690 000 cases of cervical cancer and 420 000 deaths during their lifetime (mostly in low-income or middle-income countries), at a net cost of US$4 billion. HPV vaccination was very cost effective (with every disability-adjusted life-year averted costing less than the gross domestic product per head) in 156 (87%) of 179 countries. Introduction of the vaccine in countries without national HPV vaccination at present would prevent substantially more cases of cervical cancer than in countries with such programmes, although the disparity has narrowed since 2012. If 71 phase 2 GAVI-eligible countries adopt vaccination according to forecasts, then in 2070 GAVI Alliance-funded vaccination could prevent 200 000 cases of cervical cancer and 100 000 deaths in some of the highest-burden countries. Interpretation: Large between-country disparities exist for HPV vaccination, with countries with the most to gain yet to introd\u2026", "author" : [ { "dropping-particle" : "", "family" : "Jit", "given" : "Mark", "non-dropping-particle" : "", "parse-names" : false, "suffix" : "" }, { "dropping-particle" : "", "family" : "Brisson", "given" : "Marc", "non-dropping-particle" : "", "parse-names" : false, "suffix" : "" }, { "dropping-particle" : "", "family" : "Portnoy", "given" : "Allison", "non-dropping-particle" : "", "parse-names" : false, "suffix" : "" }, { "dropping-particle" : "", "family" : "Hutubessy", "given" : "Raymond", "non-dropping-particle" : "", "parse-names" : false, "suffix" : "" } ], "container-title" : "The Lancet Global Health", "id" : "ITEM-1", "issue" : "7", "issued" : { "date-parts" : [ [ "2014" ] ] }, "page" : "e406-e414", "publisher" : "World Health Organization", "title" : "Cost-effectiveness of female human papillomavirus vaccination in 179 countries: a PRIME modelling study", "type" : "article-journal", "volume" : "2" }, "uris" : [ "http://www.mendeley.com/documents/?uuid=87285774-ec37-4352-86dd-4f0877cac594" ] } ], "mendeley" : { "formattedCitation" : "[18]", "plainTextFormattedCitation" : "[18]", "previouslyFormattedCitation" : "[18]" }, "properties" : { "noteIndex" : 0 }, "schema" : "https://github.com/citation-style-language/schema/raw/master/csl-citation.json" }</w:instrText>
            </w:r>
            <w:r w:rsidRPr="00445A65">
              <w:rPr>
                <w:rFonts w:ascii="Calibri" w:eastAsia="Times New Roman" w:hAnsi="Calibri" w:cs="Times New Roman"/>
                <w:color w:val="000000" w:themeColor="text1"/>
                <w:sz w:val="18"/>
                <w:szCs w:val="18"/>
                <w:lang w:eastAsia="en-GB"/>
              </w:rPr>
              <w:fldChar w:fldCharType="separate"/>
            </w:r>
            <w:r w:rsidRPr="00445A65">
              <w:rPr>
                <w:rFonts w:ascii="Calibri" w:eastAsia="Times New Roman" w:hAnsi="Calibri" w:cs="Times New Roman"/>
                <w:noProof/>
                <w:color w:val="000000" w:themeColor="text1"/>
                <w:sz w:val="18"/>
                <w:szCs w:val="18"/>
                <w:lang w:eastAsia="en-GB"/>
              </w:rPr>
              <w:t>[18]</w:t>
            </w:r>
            <w:r w:rsidRPr="00445A65">
              <w:rPr>
                <w:rFonts w:ascii="Calibri" w:eastAsia="Times New Roman" w:hAnsi="Calibri" w:cs="Times New Roman"/>
                <w:color w:val="000000" w:themeColor="text1"/>
                <w:sz w:val="18"/>
                <w:szCs w:val="18"/>
                <w:lang w:eastAsia="en-GB"/>
              </w:rPr>
              <w:fldChar w:fldCharType="end"/>
            </w:r>
          </w:p>
        </w:tc>
        <w:tc>
          <w:tcPr>
            <w:tcW w:w="685" w:type="pct"/>
            <w:noWrap/>
            <w:hideMark/>
          </w:tcPr>
          <w:p w14:paraId="465DB8EA"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Provider</w:t>
            </w:r>
          </w:p>
        </w:tc>
      </w:tr>
      <w:tr w:rsidR="00445A65" w:rsidRPr="00445A65" w14:paraId="7C57256A" w14:textId="77777777" w:rsidTr="00F961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29" w:type="pct"/>
            <w:noWrap/>
            <w:hideMark/>
          </w:tcPr>
          <w:p w14:paraId="5099722F" w14:textId="77777777" w:rsidR="00445A65" w:rsidRPr="00445A65" w:rsidRDefault="00445A65" w:rsidP="00F961CB">
            <w:pPr>
              <w:jc w:val="center"/>
              <w:rPr>
                <w:rFonts w:ascii="Calibri" w:eastAsia="Times New Roman" w:hAnsi="Calibri" w:cs="Times New Roman"/>
                <w:b w:val="0"/>
                <w:color w:val="000000" w:themeColor="text1"/>
                <w:sz w:val="18"/>
                <w:szCs w:val="18"/>
                <w:lang w:eastAsia="en-GB"/>
              </w:rPr>
            </w:pPr>
            <w:r w:rsidRPr="00445A65">
              <w:rPr>
                <w:rFonts w:ascii="Calibri" w:eastAsia="Times New Roman" w:hAnsi="Calibri" w:cs="Times New Roman"/>
                <w:b w:val="0"/>
                <w:caps w:val="0"/>
                <w:color w:val="000000" w:themeColor="text1"/>
                <w:sz w:val="18"/>
                <w:szCs w:val="18"/>
                <w:lang w:eastAsia="en-GB"/>
              </w:rPr>
              <w:t>Hpv vaccination of 12-year olds</w:t>
            </w:r>
          </w:p>
        </w:tc>
        <w:tc>
          <w:tcPr>
            <w:tcW w:w="1102" w:type="pct"/>
            <w:noWrap/>
            <w:hideMark/>
          </w:tcPr>
          <w:p w14:paraId="29BE5DAD"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WPRO lower middle income countries min</w:t>
            </w:r>
          </w:p>
        </w:tc>
        <w:tc>
          <w:tcPr>
            <w:tcW w:w="515" w:type="pct"/>
            <w:noWrap/>
            <w:hideMark/>
          </w:tcPr>
          <w:p w14:paraId="071C7F35"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13.5</w:t>
            </w:r>
          </w:p>
        </w:tc>
        <w:tc>
          <w:tcPr>
            <w:tcW w:w="442" w:type="pct"/>
            <w:noWrap/>
            <w:hideMark/>
          </w:tcPr>
          <w:p w14:paraId="6B48C10F"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260</w:t>
            </w:r>
          </w:p>
        </w:tc>
        <w:tc>
          <w:tcPr>
            <w:tcW w:w="589" w:type="pct"/>
            <w:noWrap/>
            <w:hideMark/>
          </w:tcPr>
          <w:p w14:paraId="61234E1D"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2011 USD</w:t>
            </w:r>
          </w:p>
        </w:tc>
        <w:tc>
          <w:tcPr>
            <w:tcW w:w="638" w:type="pct"/>
            <w:noWrap/>
            <w:hideMark/>
          </w:tcPr>
          <w:p w14:paraId="22789D82" w14:textId="657E8A53"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fldChar w:fldCharType="begin" w:fldLock="1"/>
            </w:r>
            <w:r w:rsidR="00EC3854">
              <w:rPr>
                <w:rFonts w:ascii="Calibri" w:eastAsia="Times New Roman" w:hAnsi="Calibri" w:cs="Times New Roman"/>
                <w:color w:val="000000" w:themeColor="text1"/>
                <w:sz w:val="18"/>
                <w:szCs w:val="18"/>
                <w:lang w:eastAsia="en-GB"/>
              </w:rPr>
              <w:instrText>ADDIN CSL_CITATION { "citationItems" : [ { "id" : "ITEM-1", "itemData" : { "DOI" : "10.1016/S2214-109X(14)70237-2", "ISSN" : "2214109X", "PMID" : "25103394", "abstract" : "Background: Introduction of human papillomavirus (HPV) vaccination in settings with the highest burden of HPV is not universal, partly because of the absence of quantitative estimates of country-specific effects on health and economic costs. We aimed to develop and validate a simple generic model of such effects that could be used and understood in a range of settings with little external support. Methods: We developed the Papillomavirus Rapid Interface for Modelling and Economics (PRIME) model to assess cost-effectiveness and health effects of vaccination of girls against HPV before sexual debut in terms of burden of cervical cancer and mortality. PRIME models incidence according to proposed vaccine efficacy against HPV 16/18, vaccine coverage, cervical cancer incidence and mortality, and HPV type distribution. It assumes lifelong vaccine protection and no changes to other screening programmes or vaccine uptake. We validated PRIME against existing reports of HPV vaccination cost-effectiveness, projected outcomes for 179 countries (assuming full vaccination of 12-year-old girls), and outcomes for 71 phase 2 GAVI-eligible countries (using vaccine uptake data from the GAVI Alliance). We assessed differences between countries in terms of cost-effectiveness and health effects. Findings: In validation, PRIME reproduced cost-effectiveness conclusions for 24 of 26 countries from 17 published studies, and for all 72 countries in a published study of GAVI-eligible countries. Vaccination of a cohort of 58 million 12-year-old girls in 179 countries prevented 690 000 cases of cervical cancer and 420 000 deaths during their lifetime (mostly in low-income or middle-income countries), at a net cost of US$4 billion. HPV vaccination was very cost effective (with every disability-adjusted life-year averted costing less than the gross domestic product per head) in 156 (87%) of 179 countries. Introduction of the vaccine in countries without national HPV vaccination at present would prevent substantially more cases of cervical cancer than in countries with such programmes, although the disparity has narrowed since 2012. If 71 phase 2 GAVI-eligible countries adopt vaccination according to forecasts, then in 2070 GAVI Alliance-funded vaccination could prevent 200 000 cases of cervical cancer and 100 000 deaths in some of the highest-burden countries. Interpretation: Large between-country disparities exist for HPV vaccination, with countries with the most to gain yet to introd\u2026", "author" : [ { "dropping-particle" : "", "family" : "Jit", "given" : "Mark", "non-dropping-particle" : "", "parse-names" : false, "suffix" : "" }, { "dropping-particle" : "", "family" : "Brisson", "given" : "Marc", "non-dropping-particle" : "", "parse-names" : false, "suffix" : "" }, { "dropping-particle" : "", "family" : "Portnoy", "given" : "Allison", "non-dropping-particle" : "", "parse-names" : false, "suffix" : "" }, { "dropping-particle" : "", "family" : "Hutubessy", "given" : "Raymond", "non-dropping-particle" : "", "parse-names" : false, "suffix" : "" } ], "container-title" : "The Lancet Global Health", "id" : "ITEM-1", "issue" : "7", "issued" : { "date-parts" : [ [ "2014" ] ] }, "page" : "e406-e414", "publisher" : "World Health Organization", "title" : "Cost-effectiveness of female human papillomavirus vaccination in 179 countries: a PRIME modelling study", "type" : "article-journal", "volume" : "2" }, "uris" : [ "http://www.mendeley.com/documents/?uuid=87285774-ec37-4352-86dd-4f0877cac594" ] } ], "mendeley" : { "formattedCitation" : "[18]", "plainTextFormattedCitation" : "[18]", "previouslyFormattedCitation" : "[18]" }, "properties" : { "noteIndex" : 0 }, "schema" : "https://github.com/citation-style-language/schema/raw/master/csl-citation.json" }</w:instrText>
            </w:r>
            <w:r w:rsidRPr="00445A65">
              <w:rPr>
                <w:rFonts w:ascii="Calibri" w:eastAsia="Times New Roman" w:hAnsi="Calibri" w:cs="Times New Roman"/>
                <w:color w:val="000000" w:themeColor="text1"/>
                <w:sz w:val="18"/>
                <w:szCs w:val="18"/>
                <w:lang w:eastAsia="en-GB"/>
              </w:rPr>
              <w:fldChar w:fldCharType="separate"/>
            </w:r>
            <w:r w:rsidRPr="00445A65">
              <w:rPr>
                <w:rFonts w:ascii="Calibri" w:eastAsia="Times New Roman" w:hAnsi="Calibri" w:cs="Times New Roman"/>
                <w:noProof/>
                <w:color w:val="000000" w:themeColor="text1"/>
                <w:sz w:val="18"/>
                <w:szCs w:val="18"/>
                <w:lang w:eastAsia="en-GB"/>
              </w:rPr>
              <w:t>[18]</w:t>
            </w:r>
            <w:r w:rsidRPr="00445A65">
              <w:rPr>
                <w:rFonts w:ascii="Calibri" w:eastAsia="Times New Roman" w:hAnsi="Calibri" w:cs="Times New Roman"/>
                <w:color w:val="000000" w:themeColor="text1"/>
                <w:sz w:val="18"/>
                <w:szCs w:val="18"/>
                <w:lang w:eastAsia="en-GB"/>
              </w:rPr>
              <w:fldChar w:fldCharType="end"/>
            </w:r>
          </w:p>
        </w:tc>
        <w:tc>
          <w:tcPr>
            <w:tcW w:w="685" w:type="pct"/>
            <w:noWrap/>
            <w:hideMark/>
          </w:tcPr>
          <w:p w14:paraId="083F3815"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Provider</w:t>
            </w:r>
          </w:p>
        </w:tc>
      </w:tr>
      <w:tr w:rsidR="00445A65" w:rsidRPr="00445A65" w14:paraId="273FE641" w14:textId="77777777" w:rsidTr="00F961CB">
        <w:trPr>
          <w:trHeight w:val="288"/>
        </w:trPr>
        <w:tc>
          <w:tcPr>
            <w:cnfStyle w:val="001000000000" w:firstRow="0" w:lastRow="0" w:firstColumn="1" w:lastColumn="0" w:oddVBand="0" w:evenVBand="0" w:oddHBand="0" w:evenHBand="0" w:firstRowFirstColumn="0" w:firstRowLastColumn="0" w:lastRowFirstColumn="0" w:lastRowLastColumn="0"/>
            <w:tcW w:w="1029" w:type="pct"/>
            <w:noWrap/>
            <w:hideMark/>
          </w:tcPr>
          <w:p w14:paraId="36433EA8" w14:textId="77777777" w:rsidR="00445A65" w:rsidRPr="00445A65" w:rsidRDefault="00445A65" w:rsidP="00F961CB">
            <w:pPr>
              <w:jc w:val="center"/>
              <w:rPr>
                <w:rFonts w:ascii="Calibri" w:eastAsia="Times New Roman" w:hAnsi="Calibri" w:cs="Times New Roman"/>
                <w:b w:val="0"/>
                <w:color w:val="000000" w:themeColor="text1"/>
                <w:sz w:val="18"/>
                <w:szCs w:val="18"/>
                <w:lang w:eastAsia="en-GB"/>
              </w:rPr>
            </w:pPr>
            <w:r w:rsidRPr="00445A65">
              <w:rPr>
                <w:rFonts w:ascii="Calibri" w:eastAsia="Times New Roman" w:hAnsi="Calibri" w:cs="Times New Roman"/>
                <w:b w:val="0"/>
                <w:caps w:val="0"/>
                <w:color w:val="000000" w:themeColor="text1"/>
                <w:sz w:val="18"/>
                <w:szCs w:val="18"/>
                <w:lang w:eastAsia="en-GB"/>
              </w:rPr>
              <w:t>Hpv vaccination of 12-year olds</w:t>
            </w:r>
          </w:p>
        </w:tc>
        <w:tc>
          <w:tcPr>
            <w:tcW w:w="1102" w:type="pct"/>
            <w:noWrap/>
            <w:hideMark/>
          </w:tcPr>
          <w:p w14:paraId="4CC78347"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WPRO lower middle income countries max</w:t>
            </w:r>
          </w:p>
        </w:tc>
        <w:tc>
          <w:tcPr>
            <w:tcW w:w="515" w:type="pct"/>
            <w:noWrap/>
            <w:hideMark/>
          </w:tcPr>
          <w:p w14:paraId="1D04293D"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13.5</w:t>
            </w:r>
          </w:p>
        </w:tc>
        <w:tc>
          <w:tcPr>
            <w:tcW w:w="442" w:type="pct"/>
            <w:noWrap/>
            <w:hideMark/>
          </w:tcPr>
          <w:p w14:paraId="43AED8F5"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15,000</w:t>
            </w:r>
          </w:p>
        </w:tc>
        <w:tc>
          <w:tcPr>
            <w:tcW w:w="589" w:type="pct"/>
            <w:noWrap/>
            <w:hideMark/>
          </w:tcPr>
          <w:p w14:paraId="25C61A01"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2011 USD</w:t>
            </w:r>
          </w:p>
        </w:tc>
        <w:tc>
          <w:tcPr>
            <w:tcW w:w="638" w:type="pct"/>
            <w:noWrap/>
            <w:hideMark/>
          </w:tcPr>
          <w:p w14:paraId="3BE05A87" w14:textId="5AB71261"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fldChar w:fldCharType="begin" w:fldLock="1"/>
            </w:r>
            <w:r w:rsidR="00EC3854">
              <w:rPr>
                <w:rFonts w:ascii="Calibri" w:eastAsia="Times New Roman" w:hAnsi="Calibri" w:cs="Times New Roman"/>
                <w:color w:val="000000" w:themeColor="text1"/>
                <w:sz w:val="18"/>
                <w:szCs w:val="18"/>
                <w:lang w:eastAsia="en-GB"/>
              </w:rPr>
              <w:instrText>ADDIN CSL_CITATION { "citationItems" : [ { "id" : "ITEM-1", "itemData" : { "DOI" : "10.1016/S2214-109X(14)70237-2", "ISSN" : "2214109X", "PMID" : "25103394", "abstract" : "Background: Introduction of human papillomavirus (HPV) vaccination in settings with the highest burden of HPV is not universal, partly because of the absence of quantitative estimates of country-specific effects on health and economic costs. We aimed to develop and validate a simple generic model of such effects that could be used and understood in a range of settings with little external support. Methods: We developed the Papillomavirus Rapid Interface for Modelling and Economics (PRIME) model to assess cost-effectiveness and health effects of vaccination of girls against HPV before sexual debut in terms of burden of cervical cancer and mortality. PRIME models incidence according to proposed vaccine efficacy against HPV 16/18, vaccine coverage, cervical cancer incidence and mortality, and HPV type distribution. It assumes lifelong vaccine protection and no changes to other screening programmes or vaccine uptake. We validated PRIME against existing reports of HPV vaccination cost-effectiveness, projected outcomes for 179 countries (assuming full vaccination of 12-year-old girls), and outcomes for 71 phase 2 GAVI-eligible countries (using vaccine uptake data from the GAVI Alliance). We assessed differences between countries in terms of cost-effectiveness and health effects. Findings: In validation, PRIME reproduced cost-effectiveness conclusions for 24 of 26 countries from 17 published studies, and for all 72 countries in a published study of GAVI-eligible countries. Vaccination of a cohort of 58 million 12-year-old girls in 179 countries prevented 690 000 cases of cervical cancer and 420 000 deaths during their lifetime (mostly in low-income or middle-income countries), at a net cost of US$4 billion. HPV vaccination was very cost effective (with every disability-adjusted life-year averted costing less than the gross domestic product per head) in 156 (87%) of 179 countries. Introduction of the vaccine in countries without national HPV vaccination at present would prevent substantially more cases of cervical cancer than in countries with such programmes, although the disparity has narrowed since 2012. If 71 phase 2 GAVI-eligible countries adopt vaccination according to forecasts, then in 2070 GAVI Alliance-funded vaccination could prevent 200 000 cases of cervical cancer and 100 000 deaths in some of the highest-burden countries. Interpretation: Large between-country disparities exist for HPV vaccination, with countries with the most to gain yet to introd\u2026", "author" : [ { "dropping-particle" : "", "family" : "Jit", "given" : "Mark", "non-dropping-particle" : "", "parse-names" : false, "suffix" : "" }, { "dropping-particle" : "", "family" : "Brisson", "given" : "Marc", "non-dropping-particle" : "", "parse-names" : false, "suffix" : "" }, { "dropping-particle" : "", "family" : "Portnoy", "given" : "Allison", "non-dropping-particle" : "", "parse-names" : false, "suffix" : "" }, { "dropping-particle" : "", "family" : "Hutubessy", "given" : "Raymond", "non-dropping-particle" : "", "parse-names" : false, "suffix" : "" } ], "container-title" : "The Lancet Global Health", "id" : "ITEM-1", "issue" : "7", "issued" : { "date-parts" : [ [ "2014" ] ] }, "page" : "e406-e414", "publisher" : "World Health Organization", "title" : "Cost-effectiveness of female human papillomavirus vaccination in 179 countries: a PRIME modelling study", "type" : "article-journal", "volume" : "2" }, "uris" : [ "http://www.mendeley.com/documents/?uuid=87285774-ec37-4352-86dd-4f0877cac594" ] } ], "mendeley" : { "formattedCitation" : "[18]", "plainTextFormattedCitation" : "[18]", "previouslyFormattedCitation" : "[18]" }, "properties" : { "noteIndex" : 0 }, "schema" : "https://github.com/citation-style-language/schema/raw/master/csl-citation.json" }</w:instrText>
            </w:r>
            <w:r w:rsidRPr="00445A65">
              <w:rPr>
                <w:rFonts w:ascii="Calibri" w:eastAsia="Times New Roman" w:hAnsi="Calibri" w:cs="Times New Roman"/>
                <w:color w:val="000000" w:themeColor="text1"/>
                <w:sz w:val="18"/>
                <w:szCs w:val="18"/>
                <w:lang w:eastAsia="en-GB"/>
              </w:rPr>
              <w:fldChar w:fldCharType="separate"/>
            </w:r>
            <w:r w:rsidRPr="00445A65">
              <w:rPr>
                <w:rFonts w:ascii="Calibri" w:eastAsia="Times New Roman" w:hAnsi="Calibri" w:cs="Times New Roman"/>
                <w:noProof/>
                <w:color w:val="000000" w:themeColor="text1"/>
                <w:sz w:val="18"/>
                <w:szCs w:val="18"/>
                <w:lang w:eastAsia="en-GB"/>
              </w:rPr>
              <w:t>[18]</w:t>
            </w:r>
            <w:r w:rsidRPr="00445A65">
              <w:rPr>
                <w:rFonts w:ascii="Calibri" w:eastAsia="Times New Roman" w:hAnsi="Calibri" w:cs="Times New Roman"/>
                <w:color w:val="000000" w:themeColor="text1"/>
                <w:sz w:val="18"/>
                <w:szCs w:val="18"/>
                <w:lang w:eastAsia="en-GB"/>
              </w:rPr>
              <w:fldChar w:fldCharType="end"/>
            </w:r>
          </w:p>
        </w:tc>
        <w:tc>
          <w:tcPr>
            <w:tcW w:w="685" w:type="pct"/>
            <w:noWrap/>
            <w:hideMark/>
          </w:tcPr>
          <w:p w14:paraId="28FDAF6E"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Provider</w:t>
            </w:r>
          </w:p>
        </w:tc>
      </w:tr>
      <w:tr w:rsidR="00445A65" w:rsidRPr="00445A65" w14:paraId="0F97A03A" w14:textId="77777777" w:rsidTr="00F961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29" w:type="pct"/>
            <w:noWrap/>
            <w:hideMark/>
          </w:tcPr>
          <w:p w14:paraId="5971168A" w14:textId="77777777" w:rsidR="00445A65" w:rsidRPr="00445A65" w:rsidRDefault="00445A65" w:rsidP="00F961CB">
            <w:pPr>
              <w:jc w:val="center"/>
              <w:rPr>
                <w:rFonts w:ascii="Calibri" w:eastAsia="Times New Roman" w:hAnsi="Calibri" w:cs="Times New Roman"/>
                <w:b w:val="0"/>
                <w:color w:val="000000" w:themeColor="text1"/>
                <w:sz w:val="18"/>
                <w:szCs w:val="18"/>
                <w:lang w:eastAsia="en-GB"/>
              </w:rPr>
            </w:pPr>
            <w:r w:rsidRPr="00445A65">
              <w:rPr>
                <w:rFonts w:ascii="Calibri" w:eastAsia="Times New Roman" w:hAnsi="Calibri" w:cs="Times New Roman"/>
                <w:b w:val="0"/>
                <w:caps w:val="0"/>
                <w:color w:val="000000" w:themeColor="text1"/>
                <w:sz w:val="18"/>
                <w:szCs w:val="18"/>
                <w:lang w:eastAsia="en-GB"/>
              </w:rPr>
              <w:t>Infant pcv7 vaccination</w:t>
            </w:r>
          </w:p>
        </w:tc>
        <w:tc>
          <w:tcPr>
            <w:tcW w:w="1102" w:type="pct"/>
            <w:noWrap/>
            <w:hideMark/>
          </w:tcPr>
          <w:p w14:paraId="627A9E8C"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Latin America &amp; the Caribbean</w:t>
            </w:r>
          </w:p>
        </w:tc>
        <w:tc>
          <w:tcPr>
            <w:tcW w:w="515" w:type="pct"/>
            <w:noWrap/>
            <w:hideMark/>
          </w:tcPr>
          <w:p w14:paraId="152148B7"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10</w:t>
            </w:r>
          </w:p>
        </w:tc>
        <w:tc>
          <w:tcPr>
            <w:tcW w:w="442" w:type="pct"/>
            <w:noWrap/>
            <w:hideMark/>
          </w:tcPr>
          <w:p w14:paraId="38EF3E84"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1,168</w:t>
            </w:r>
          </w:p>
        </w:tc>
        <w:tc>
          <w:tcPr>
            <w:tcW w:w="589" w:type="pct"/>
            <w:noWrap/>
            <w:hideMark/>
          </w:tcPr>
          <w:p w14:paraId="4D3E23F8"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2005 USD</w:t>
            </w:r>
          </w:p>
        </w:tc>
        <w:tc>
          <w:tcPr>
            <w:tcW w:w="638" w:type="pct"/>
            <w:noWrap/>
            <w:hideMark/>
          </w:tcPr>
          <w:p w14:paraId="63F6CF03" w14:textId="43AA9BE2"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fldChar w:fldCharType="begin" w:fldLock="1"/>
            </w:r>
            <w:r w:rsidR="00EC3854">
              <w:rPr>
                <w:rFonts w:ascii="Calibri" w:eastAsia="Times New Roman" w:hAnsi="Calibri" w:cs="Times New Roman"/>
                <w:color w:val="000000" w:themeColor="text1"/>
                <w:sz w:val="18"/>
                <w:szCs w:val="18"/>
                <w:lang w:eastAsia="en-GB"/>
              </w:rPr>
              <w:instrText>ADDIN CSL_CITATION { "citationItems" : [ { "id" : "ITEM-1", "itemData" : { "DOI" : "10.1016/S0140-6736(07)60195-0", "ISBN" : "1474-547X (Electronic)\\n0140-6736 (Linking)", "ISSN" : "01406736", "PMID" : "17276779", "abstract" : "Background: Routine vaccination of infants against Streptococcus pneumoniae (pneumococcus) needs substantial investment by governments and charitable organisations. Policymakers need information about the projected health benefits, costs, and cost-effectiveness of vaccination when considering these investments. Our aim was to incorporate these data into an economic analysis of pneumococcal vaccination of infants in countries eligible for financial support from the Global Alliance for Vaccines &amp; Immunization (GAVI). Methods: We constructed a decision analysis model to compare pneumococcal vaccination of infants aged 6, 10, and 14 weeks with no vaccination in the 72 countries that were eligible as of 2005. We used published and unpublished data to estimate child mortality, effectiveness of pneumococcal conjugate vaccine, and immunisation rates. Findings: Pneumococcal vaccination at the rate of diptheria-tetanus-pertussis vaccine coverage was projected to prevent 262 000 deaths per year (7%) in children aged 3-29 months in the 72 developing countries studied, thus averting 8??34 million disability-adjusted life years (DALYs) yearly. If every child could be reached, up to 407 000 deaths per year would be prevented. At a vaccine cost of International $5 per dose, vaccination would have a net cost of $838 million, a cost of $100 per DALY averted. Vaccination at this price was projected to be highly cost-effective in 68 of 72 countries when each country's per head gross domestic product per DALY averted was used as a benchmark. Interpretation: At a vaccine cost of between $1 and $5 per dose, purchase and accelerated uptake of pneumococcal vaccine in the world's poorest countries is projected to substantially reduce childhood mortality and to be highly cost-effective. ?? 2007 Elsevier Ltd. All rights reserved.", "author" : [ { "dropping-particle" : "", "family" : "Sinha", "given" : "Anushua", "non-dropping-particle" : "", "parse-names" : false, "suffix" : "" }, { "dropping-particle" : "", "family" : "Levine", "given" : "Orin", "non-dropping-particle" : "", "parse-names" : false, "suffix" : "" }, { "dropping-particle" : "", "family" : "Knoll", "given" : "Maria D", "non-dropping-particle" : "", "parse-names" : false, "suffix" : "" }, { "dropping-particle" : "", "family" : "Muhib", "given" : "Farzana", "non-dropping-particle" : "", "parse-names" : false, "suffix" : "" }, { "dropping-particle" : "", "family" : "Lieu", "given" : "Tracy A", "non-dropping-particle" : "", "parse-names" : false, "suffix" : "" } ], "container-title" : "Lancet", "id" : "ITEM-1", "issue" : "9559", "issued" : { "date-parts" : [ [ "2007", "2" ] ] }, "language" : "eng PT - Journal Article PT - Research Support, Non-U.S. Gov't", "page" : "389-396", "title" : "Cost-effectiveness of pneumococcal conjugate vaccination in the prevention of child mortality: an international economic analysis", "type" : "article-journal", "volume" : "369" }, "uris" : [ "http://www.mendeley.com/documents/?uuid=93fd7279-3815-4c85-ade9-e2856c2bb399" ] } ], "mendeley" : { "formattedCitation" : "[19]", "plainTextFormattedCitation" : "[19]", "previouslyFormattedCitation" : "[19]" }, "properties" : { "noteIndex" : 0 }, "schema" : "https://github.com/citation-style-language/schema/raw/master/csl-citation.json" }</w:instrText>
            </w:r>
            <w:r w:rsidRPr="00445A65">
              <w:rPr>
                <w:rFonts w:ascii="Calibri" w:eastAsia="Times New Roman" w:hAnsi="Calibri" w:cs="Times New Roman"/>
                <w:color w:val="000000" w:themeColor="text1"/>
                <w:sz w:val="18"/>
                <w:szCs w:val="18"/>
                <w:lang w:eastAsia="en-GB"/>
              </w:rPr>
              <w:fldChar w:fldCharType="separate"/>
            </w:r>
            <w:r w:rsidRPr="00445A65">
              <w:rPr>
                <w:rFonts w:ascii="Calibri" w:eastAsia="Times New Roman" w:hAnsi="Calibri" w:cs="Times New Roman"/>
                <w:noProof/>
                <w:color w:val="000000" w:themeColor="text1"/>
                <w:sz w:val="18"/>
                <w:szCs w:val="18"/>
                <w:lang w:eastAsia="en-GB"/>
              </w:rPr>
              <w:t>[19]</w:t>
            </w:r>
            <w:r w:rsidRPr="00445A65">
              <w:rPr>
                <w:rFonts w:ascii="Calibri" w:eastAsia="Times New Roman" w:hAnsi="Calibri" w:cs="Times New Roman"/>
                <w:color w:val="000000" w:themeColor="text1"/>
                <w:sz w:val="18"/>
                <w:szCs w:val="18"/>
                <w:lang w:eastAsia="en-GB"/>
              </w:rPr>
              <w:fldChar w:fldCharType="end"/>
            </w:r>
          </w:p>
        </w:tc>
        <w:tc>
          <w:tcPr>
            <w:tcW w:w="685" w:type="pct"/>
            <w:noWrap/>
            <w:hideMark/>
          </w:tcPr>
          <w:p w14:paraId="0E7091D7"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Provider</w:t>
            </w:r>
          </w:p>
        </w:tc>
      </w:tr>
      <w:tr w:rsidR="00445A65" w:rsidRPr="00445A65" w14:paraId="70F00182" w14:textId="77777777" w:rsidTr="00F961CB">
        <w:trPr>
          <w:trHeight w:val="288"/>
        </w:trPr>
        <w:tc>
          <w:tcPr>
            <w:cnfStyle w:val="001000000000" w:firstRow="0" w:lastRow="0" w:firstColumn="1" w:lastColumn="0" w:oddVBand="0" w:evenVBand="0" w:oddHBand="0" w:evenHBand="0" w:firstRowFirstColumn="0" w:firstRowLastColumn="0" w:lastRowFirstColumn="0" w:lastRowLastColumn="0"/>
            <w:tcW w:w="1029" w:type="pct"/>
            <w:noWrap/>
            <w:hideMark/>
          </w:tcPr>
          <w:p w14:paraId="46EA909C" w14:textId="77777777" w:rsidR="00445A65" w:rsidRPr="00445A65" w:rsidRDefault="00445A65" w:rsidP="00F961CB">
            <w:pPr>
              <w:jc w:val="center"/>
              <w:rPr>
                <w:rFonts w:ascii="Calibri" w:eastAsia="Times New Roman" w:hAnsi="Calibri" w:cs="Times New Roman"/>
                <w:b w:val="0"/>
                <w:color w:val="000000" w:themeColor="text1"/>
                <w:sz w:val="18"/>
                <w:szCs w:val="18"/>
                <w:lang w:eastAsia="en-GB"/>
              </w:rPr>
            </w:pPr>
            <w:r w:rsidRPr="00445A65">
              <w:rPr>
                <w:rFonts w:ascii="Calibri" w:eastAsia="Times New Roman" w:hAnsi="Calibri" w:cs="Times New Roman"/>
                <w:b w:val="0"/>
                <w:caps w:val="0"/>
                <w:color w:val="000000" w:themeColor="text1"/>
                <w:sz w:val="18"/>
                <w:szCs w:val="18"/>
                <w:lang w:eastAsia="en-GB"/>
              </w:rPr>
              <w:t>Infant pcv7 vaccination</w:t>
            </w:r>
          </w:p>
        </w:tc>
        <w:tc>
          <w:tcPr>
            <w:tcW w:w="1102" w:type="pct"/>
            <w:noWrap/>
            <w:hideMark/>
          </w:tcPr>
          <w:p w14:paraId="2FBA8BB6"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Latin America &amp; the Caribbean</w:t>
            </w:r>
          </w:p>
        </w:tc>
        <w:tc>
          <w:tcPr>
            <w:tcW w:w="515" w:type="pct"/>
            <w:noWrap/>
            <w:hideMark/>
          </w:tcPr>
          <w:p w14:paraId="228E9332"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10</w:t>
            </w:r>
          </w:p>
        </w:tc>
        <w:tc>
          <w:tcPr>
            <w:tcW w:w="442" w:type="pct"/>
            <w:noWrap/>
            <w:hideMark/>
          </w:tcPr>
          <w:p w14:paraId="52B1A2FB"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685</w:t>
            </w:r>
          </w:p>
        </w:tc>
        <w:tc>
          <w:tcPr>
            <w:tcW w:w="589" w:type="pct"/>
            <w:noWrap/>
            <w:hideMark/>
          </w:tcPr>
          <w:p w14:paraId="03C64B68"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2005 USD</w:t>
            </w:r>
          </w:p>
        </w:tc>
        <w:tc>
          <w:tcPr>
            <w:tcW w:w="638" w:type="pct"/>
            <w:noWrap/>
            <w:hideMark/>
          </w:tcPr>
          <w:p w14:paraId="69478E8C" w14:textId="12906B3D"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fldChar w:fldCharType="begin" w:fldLock="1"/>
            </w:r>
            <w:r w:rsidR="00EC3854">
              <w:rPr>
                <w:rFonts w:ascii="Calibri" w:eastAsia="Times New Roman" w:hAnsi="Calibri" w:cs="Times New Roman"/>
                <w:color w:val="000000" w:themeColor="text1"/>
                <w:sz w:val="18"/>
                <w:szCs w:val="18"/>
                <w:lang w:eastAsia="en-GB"/>
              </w:rPr>
              <w:instrText>ADDIN CSL_CITATION { "citationItems" : [ { "id" : "ITEM-1", "itemData" : { "DOI" : "10.1016/S0140-6736(07)60195-0", "ISBN" : "1474-547X (Electronic)\\n0140-6736 (Linking)", "ISSN" : "01406736", "PMID" : "17276779", "abstract" : "Background: Routine vaccination of infants against Streptococcus pneumoniae (pneumococcus) needs substantial investment by governments and charitable organisations. Policymakers need information about the projected health benefits, costs, and cost-effectiveness of vaccination when considering these investments. Our aim was to incorporate these data into an economic analysis of pneumococcal vaccination of infants in countries eligible for financial support from the Global Alliance for Vaccines &amp; Immunization (GAVI). Methods: We constructed a decision analysis model to compare pneumococcal vaccination of infants aged 6, 10, and 14 weeks with no vaccination in the 72 countries that were eligible as of 2005. We used published and unpublished data to estimate child mortality, effectiveness of pneumococcal conjugate vaccine, and immunisation rates. Findings: Pneumococcal vaccination at the rate of diptheria-tetanus-pertussis vaccine coverage was projected to prevent 262 000 deaths per year (7%) in children aged 3-29 months in the 72 developing countries studied, thus averting 8??34 million disability-adjusted life years (DALYs) yearly. If every child could be reached, up to 407 000 deaths per year would be prevented. At a vaccine cost of International $5 per dose, vaccination would have a net cost of $838 million, a cost of $100 per DALY averted. Vaccination at this price was projected to be highly cost-effective in 68 of 72 countries when each country's per head gross domestic product per DALY averted was used as a benchmark. Interpretation: At a vaccine cost of between $1 and $5 per dose, purchase and accelerated uptake of pneumococcal vaccine in the world's poorest countries is projected to substantially reduce childhood mortality and to be highly cost-effective. ?? 2007 Elsevier Ltd. All rights reserved.", "author" : [ { "dropping-particle" : "", "family" : "Sinha", "given" : "Anushua", "non-dropping-particle" : "", "parse-names" : false, "suffix" : "" }, { "dropping-particle" : "", "family" : "Levine", "given" : "Orin", "non-dropping-particle" : "", "parse-names" : false, "suffix" : "" }, { "dropping-particle" : "", "family" : "Knoll", "given" : "Maria D", "non-dropping-particle" : "", "parse-names" : false, "suffix" : "" }, { "dropping-particle" : "", "family" : "Muhib", "given" : "Farzana", "non-dropping-particle" : "", "parse-names" : false, "suffix" : "" }, { "dropping-particle" : "", "family" : "Lieu", "given" : "Tracy A", "non-dropping-particle" : "", "parse-names" : false, "suffix" : "" } ], "container-title" : "Lancet", "id" : "ITEM-1", "issue" : "9559", "issued" : { "date-parts" : [ [ "2007", "2" ] ] }, "language" : "eng PT - Journal Article PT - Research Support, Non-U.S. Gov't", "page" : "389-396", "title" : "Cost-effectiveness of pneumococcal conjugate vaccination in the prevention of child mortality: an international economic analysis", "type" : "article-journal", "volume" : "369" }, "uris" : [ "http://www.mendeley.com/documents/?uuid=93fd7279-3815-4c85-ade9-e2856c2bb399" ] } ], "mendeley" : { "formattedCitation" : "[19]", "plainTextFormattedCitation" : "[19]", "previouslyFormattedCitation" : "[19]" }, "properties" : { "noteIndex" : 0 }, "schema" : "https://github.com/citation-style-language/schema/raw/master/csl-citation.json" }</w:instrText>
            </w:r>
            <w:r w:rsidRPr="00445A65">
              <w:rPr>
                <w:rFonts w:ascii="Calibri" w:eastAsia="Times New Roman" w:hAnsi="Calibri" w:cs="Times New Roman"/>
                <w:color w:val="000000" w:themeColor="text1"/>
                <w:sz w:val="18"/>
                <w:szCs w:val="18"/>
                <w:lang w:eastAsia="en-GB"/>
              </w:rPr>
              <w:fldChar w:fldCharType="separate"/>
            </w:r>
            <w:r w:rsidRPr="00445A65">
              <w:rPr>
                <w:rFonts w:ascii="Calibri" w:eastAsia="Times New Roman" w:hAnsi="Calibri" w:cs="Times New Roman"/>
                <w:noProof/>
                <w:color w:val="000000" w:themeColor="text1"/>
                <w:sz w:val="18"/>
                <w:szCs w:val="18"/>
                <w:lang w:eastAsia="en-GB"/>
              </w:rPr>
              <w:t>[19]</w:t>
            </w:r>
            <w:r w:rsidRPr="00445A65">
              <w:rPr>
                <w:rFonts w:ascii="Calibri" w:eastAsia="Times New Roman" w:hAnsi="Calibri" w:cs="Times New Roman"/>
                <w:color w:val="000000" w:themeColor="text1"/>
                <w:sz w:val="18"/>
                <w:szCs w:val="18"/>
                <w:lang w:eastAsia="en-GB"/>
              </w:rPr>
              <w:fldChar w:fldCharType="end"/>
            </w:r>
          </w:p>
        </w:tc>
        <w:tc>
          <w:tcPr>
            <w:tcW w:w="685" w:type="pct"/>
            <w:noWrap/>
            <w:hideMark/>
          </w:tcPr>
          <w:p w14:paraId="793492C8"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Societal</w:t>
            </w:r>
          </w:p>
        </w:tc>
      </w:tr>
      <w:tr w:rsidR="00445A65" w:rsidRPr="00445A65" w14:paraId="2CD08572" w14:textId="77777777" w:rsidTr="00F961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29" w:type="pct"/>
            <w:noWrap/>
            <w:hideMark/>
          </w:tcPr>
          <w:p w14:paraId="4276C5FF" w14:textId="77777777" w:rsidR="00445A65" w:rsidRPr="00445A65" w:rsidRDefault="00445A65" w:rsidP="00F961CB">
            <w:pPr>
              <w:jc w:val="center"/>
              <w:rPr>
                <w:rFonts w:ascii="Calibri" w:eastAsia="Times New Roman" w:hAnsi="Calibri" w:cs="Times New Roman"/>
                <w:b w:val="0"/>
                <w:color w:val="000000" w:themeColor="text1"/>
                <w:sz w:val="18"/>
                <w:szCs w:val="18"/>
                <w:lang w:eastAsia="en-GB"/>
              </w:rPr>
            </w:pPr>
            <w:r w:rsidRPr="00445A65">
              <w:rPr>
                <w:rFonts w:ascii="Calibri" w:eastAsia="Times New Roman" w:hAnsi="Calibri" w:cs="Times New Roman"/>
                <w:b w:val="0"/>
                <w:caps w:val="0"/>
                <w:color w:val="000000" w:themeColor="text1"/>
                <w:sz w:val="18"/>
                <w:szCs w:val="18"/>
                <w:lang w:eastAsia="en-GB"/>
              </w:rPr>
              <w:t>Infant rotavirus vaccination</w:t>
            </w:r>
          </w:p>
        </w:tc>
        <w:tc>
          <w:tcPr>
            <w:tcW w:w="1102" w:type="pct"/>
            <w:noWrap/>
            <w:hideMark/>
          </w:tcPr>
          <w:p w14:paraId="6196A585"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Americas upper middle income countries</w:t>
            </w:r>
          </w:p>
        </w:tc>
        <w:tc>
          <w:tcPr>
            <w:tcW w:w="515" w:type="pct"/>
            <w:noWrap/>
            <w:hideMark/>
          </w:tcPr>
          <w:p w14:paraId="6B58D002"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7.5</w:t>
            </w:r>
          </w:p>
        </w:tc>
        <w:tc>
          <w:tcPr>
            <w:tcW w:w="442" w:type="pct"/>
            <w:noWrap/>
            <w:hideMark/>
          </w:tcPr>
          <w:p w14:paraId="4930BDC2"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506</w:t>
            </w:r>
          </w:p>
        </w:tc>
        <w:tc>
          <w:tcPr>
            <w:tcW w:w="589" w:type="pct"/>
            <w:noWrap/>
            <w:hideMark/>
          </w:tcPr>
          <w:p w14:paraId="6DEC9E01"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2007 USD</w:t>
            </w:r>
          </w:p>
        </w:tc>
        <w:tc>
          <w:tcPr>
            <w:tcW w:w="638" w:type="pct"/>
            <w:noWrap/>
            <w:hideMark/>
          </w:tcPr>
          <w:p w14:paraId="29768719" w14:textId="4B89A34B"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fldChar w:fldCharType="begin" w:fldLock="1"/>
            </w:r>
            <w:r w:rsidR="00EC3854">
              <w:rPr>
                <w:rFonts w:ascii="Calibri" w:eastAsia="Times New Roman" w:hAnsi="Calibri" w:cs="Times New Roman"/>
                <w:color w:val="000000" w:themeColor="text1"/>
                <w:sz w:val="18"/>
                <w:szCs w:val="18"/>
                <w:lang w:eastAsia="en-GB"/>
              </w:rPr>
              <w:instrText>ADDIN CSL_CITATION { "citationItems" : [ { "id" : "ITEM-1", "itemData" : { "DOI" : "10.1086/605026", "ISBN" : "1142010724", "ISSN" : "0022-1899, 1537-6613", "PMID" : "19817595", "abstract" : "BACKGROUND: Rotavirus is the leading cause of severe gastroenteritis in children worldwide. We evaluated the economic burden of rotavirus and the cost-effectiveness of vaccination from the health care perspective. METHODS: Estimates were based on existing epidemiological data, cost estimates, vaccine coverage, and efficacy data, as well as hypothetical vaccine prices. Outcome measures included health care and societal costs of rotavirus and benefits and incremental cost-effectiveness ratio of vaccination. Sensitivity analyses evaluated the impact of estimate uncertainty. RESULTS: Treatment costs increased with income level, and health burden decreased; however, burden varied across regions. On the basis of current vaccination coverage and timing, rotavirus vaccination would annually prevent 228,000 deaths, 13.7 million hospital visits, and 8.7 million disability-adjusted life-years, saving $188 million in treatment costs and $243 million in societal costs. At $5 per dose, the incremental cost-effectiveness ratio in low-, lower-middle-, and upper-middle-income countries was $88, $291, and $329 per disability-adjusted life-year averted, respectively, and $3,015, $9,951 and $11,296 per life saved, respectively. Vaccination would prevent approximately 45% of deaths and approximately 58% of associated medical visits and costs. CONCLUSIONS: Vaccination is a cost-effective strategy to reduce the health and economic burden of rotavirus. The cost-effectiveness of vaccination depends mostly on vaccine price and reaching children at highest risk of mortality.", "author" : [ { "dropping-particle" : "", "family" : "Rheingans", "given" : "Richard D", "non-dropping-particle" : "", "parse-names" : false, "suffix" : "" }, { "dropping-particle" : "", "family" : "Antil", "given" : "Lynn", "non-dropping-particle" : "", "parse-names" : false, "suffix" : "" }, { "dropping-particle" : "", "family" : "Dreibelbis", "given" : "Robert", "non-dropping-particle" : "", "parse-names" : false, "suffix" : "" }, { "dropping-particle" : "", "family" : "Podewils", "given" : "Laura Jean", "non-dropping-particle" : "", "parse-names" : false, "suffix" : "" }, { "dropping-particle" : "", "family" : "Bresee", "given" : "Joseph S", "non-dropping-particle" : "", "parse-names" : false, "suffix" : "" }, { "dropping-particle" : "", "family" : "Parashar", "given" : "Umesh D", "non-dropping-particle" : "", "parse-names" : false, "suffix" : "" } ], "container-title" : "The Journal of infectious diseases", "id" : "ITEM-1", "issue" : "Suppl 1", "issued" : { "date-parts" : [ [ "2009", "11" ] ] }, "page" : "S16-S27", "title" : "Economic costs of rotavirus gastroenteritis and cost-effectiveness of vaccination in developing countries.", "type" : "article-journal", "volume" : "200 Suppl" }, "uris" : [ "http://www.mendeley.com/documents/?uuid=3c67dd82-1ac7-43fc-9884-fc304ca7996c" ] } ], "mendeley" : { "formattedCitation" : "[20]", "plainTextFormattedCitation" : "[20]", "previouslyFormattedCitation" : "[20]" }, "properties" : { "noteIndex" : 0 }, "schema" : "https://github.com/citation-style-language/schema/raw/master/csl-citation.json" }</w:instrText>
            </w:r>
            <w:r w:rsidRPr="00445A65">
              <w:rPr>
                <w:rFonts w:ascii="Calibri" w:eastAsia="Times New Roman" w:hAnsi="Calibri" w:cs="Times New Roman"/>
                <w:color w:val="000000" w:themeColor="text1"/>
                <w:sz w:val="18"/>
                <w:szCs w:val="18"/>
                <w:lang w:eastAsia="en-GB"/>
              </w:rPr>
              <w:fldChar w:fldCharType="separate"/>
            </w:r>
            <w:r w:rsidRPr="00445A65">
              <w:rPr>
                <w:rFonts w:ascii="Calibri" w:eastAsia="Times New Roman" w:hAnsi="Calibri" w:cs="Times New Roman"/>
                <w:noProof/>
                <w:color w:val="000000" w:themeColor="text1"/>
                <w:sz w:val="18"/>
                <w:szCs w:val="18"/>
                <w:lang w:eastAsia="en-GB"/>
              </w:rPr>
              <w:t>[20]</w:t>
            </w:r>
            <w:r w:rsidRPr="00445A65">
              <w:rPr>
                <w:rFonts w:ascii="Calibri" w:eastAsia="Times New Roman" w:hAnsi="Calibri" w:cs="Times New Roman"/>
                <w:color w:val="000000" w:themeColor="text1"/>
                <w:sz w:val="18"/>
                <w:szCs w:val="18"/>
                <w:lang w:eastAsia="en-GB"/>
              </w:rPr>
              <w:fldChar w:fldCharType="end"/>
            </w:r>
          </w:p>
        </w:tc>
        <w:tc>
          <w:tcPr>
            <w:tcW w:w="685" w:type="pct"/>
            <w:noWrap/>
            <w:hideMark/>
          </w:tcPr>
          <w:p w14:paraId="432991F0"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Provider</w:t>
            </w:r>
          </w:p>
        </w:tc>
      </w:tr>
      <w:tr w:rsidR="00445A65" w:rsidRPr="00445A65" w14:paraId="1CDBCCD0" w14:textId="77777777" w:rsidTr="00F961CB">
        <w:trPr>
          <w:trHeight w:val="288"/>
        </w:trPr>
        <w:tc>
          <w:tcPr>
            <w:cnfStyle w:val="001000000000" w:firstRow="0" w:lastRow="0" w:firstColumn="1" w:lastColumn="0" w:oddVBand="0" w:evenVBand="0" w:oddHBand="0" w:evenHBand="0" w:firstRowFirstColumn="0" w:firstRowLastColumn="0" w:lastRowFirstColumn="0" w:lastRowLastColumn="0"/>
            <w:tcW w:w="1029" w:type="pct"/>
            <w:noWrap/>
            <w:hideMark/>
          </w:tcPr>
          <w:p w14:paraId="569C3769" w14:textId="77777777" w:rsidR="00445A65" w:rsidRPr="00445A65" w:rsidRDefault="00445A65" w:rsidP="00F961CB">
            <w:pPr>
              <w:jc w:val="center"/>
              <w:rPr>
                <w:rFonts w:ascii="Calibri" w:eastAsia="Times New Roman" w:hAnsi="Calibri" w:cs="Times New Roman"/>
                <w:b w:val="0"/>
                <w:color w:val="000000" w:themeColor="text1"/>
                <w:sz w:val="18"/>
                <w:szCs w:val="18"/>
                <w:lang w:eastAsia="en-GB"/>
              </w:rPr>
            </w:pPr>
            <w:r w:rsidRPr="00445A65">
              <w:rPr>
                <w:rFonts w:ascii="Calibri" w:eastAsia="Times New Roman" w:hAnsi="Calibri" w:cs="Times New Roman"/>
                <w:b w:val="0"/>
                <w:caps w:val="0"/>
                <w:color w:val="000000" w:themeColor="text1"/>
                <w:sz w:val="18"/>
                <w:szCs w:val="18"/>
                <w:lang w:eastAsia="en-GB"/>
              </w:rPr>
              <w:t>Infant rotavirus vaccination</w:t>
            </w:r>
          </w:p>
        </w:tc>
        <w:tc>
          <w:tcPr>
            <w:tcW w:w="1102" w:type="pct"/>
            <w:noWrap/>
            <w:hideMark/>
          </w:tcPr>
          <w:p w14:paraId="42069E8C"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Western Pacific lower middle income countries</w:t>
            </w:r>
          </w:p>
        </w:tc>
        <w:tc>
          <w:tcPr>
            <w:tcW w:w="515" w:type="pct"/>
            <w:noWrap/>
            <w:hideMark/>
          </w:tcPr>
          <w:p w14:paraId="12FD2DD0"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7.5</w:t>
            </w:r>
          </w:p>
        </w:tc>
        <w:tc>
          <w:tcPr>
            <w:tcW w:w="442" w:type="pct"/>
            <w:noWrap/>
            <w:hideMark/>
          </w:tcPr>
          <w:p w14:paraId="15D34CF2"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439</w:t>
            </w:r>
          </w:p>
        </w:tc>
        <w:tc>
          <w:tcPr>
            <w:tcW w:w="589" w:type="pct"/>
            <w:noWrap/>
            <w:hideMark/>
          </w:tcPr>
          <w:p w14:paraId="663BA539"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2007 USD</w:t>
            </w:r>
          </w:p>
        </w:tc>
        <w:tc>
          <w:tcPr>
            <w:tcW w:w="638" w:type="pct"/>
            <w:noWrap/>
            <w:hideMark/>
          </w:tcPr>
          <w:p w14:paraId="193E5639" w14:textId="53EC2E1E"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fldChar w:fldCharType="begin" w:fldLock="1"/>
            </w:r>
            <w:r w:rsidR="00EC3854">
              <w:rPr>
                <w:rFonts w:ascii="Calibri" w:eastAsia="Times New Roman" w:hAnsi="Calibri" w:cs="Times New Roman"/>
                <w:color w:val="000000" w:themeColor="text1"/>
                <w:sz w:val="18"/>
                <w:szCs w:val="18"/>
                <w:lang w:eastAsia="en-GB"/>
              </w:rPr>
              <w:instrText>ADDIN CSL_CITATION { "citationItems" : [ { "id" : "ITEM-1", "itemData" : { "DOI" : "10.1086/605026", "ISBN" : "1142010724", "ISSN" : "0022-1899, 1537-6613", "PMID" : "19817595", "abstract" : "BACKGROUND: Rotavirus is the leading cause of severe gastroenteritis in children worldwide. We evaluated the economic burden of rotavirus and the cost-effectiveness of vaccination from the health care perspective. METHODS: Estimates were based on existing epidemiological data, cost estimates, vaccine coverage, and efficacy data, as well as hypothetical vaccine prices. Outcome measures included health care and societal costs of rotavirus and benefits and incremental cost-effectiveness ratio of vaccination. Sensitivity analyses evaluated the impact of estimate uncertainty. RESULTS: Treatment costs increased with income level, and health burden decreased; however, burden varied across regions. On the basis of current vaccination coverage and timing, rotavirus vaccination would annually prevent 228,000 deaths, 13.7 million hospital visits, and 8.7 million disability-adjusted life-years, saving $188 million in treatment costs and $243 million in societal costs. At $5 per dose, the incremental cost-effectiveness ratio in low-, lower-middle-, and upper-middle-income countries was $88, $291, and $329 per disability-adjusted life-year averted, respectively, and $3,015, $9,951 and $11,296 per life saved, respectively. Vaccination would prevent approximately 45% of deaths and approximately 58% of associated medical visits and costs. CONCLUSIONS: Vaccination is a cost-effective strategy to reduce the health and economic burden of rotavirus. The cost-effectiveness of vaccination depends mostly on vaccine price and reaching children at highest risk of mortality.", "author" : [ { "dropping-particle" : "", "family" : "Rheingans", "given" : "Richard D", "non-dropping-particle" : "", "parse-names" : false, "suffix" : "" }, { "dropping-particle" : "", "family" : "Antil", "given" : "Lynn", "non-dropping-particle" : "", "parse-names" : false, "suffix" : "" }, { "dropping-particle" : "", "family" : "Dreibelbis", "given" : "Robert", "non-dropping-particle" : "", "parse-names" : false, "suffix" : "" }, { "dropping-particle" : "", "family" : "Podewils", "given" : "Laura Jean", "non-dropping-particle" : "", "parse-names" : false, "suffix" : "" }, { "dropping-particle" : "", "family" : "Bresee", "given" : "Joseph S", "non-dropping-particle" : "", "parse-names" : false, "suffix" : "" }, { "dropping-particle" : "", "family" : "Parashar", "given" : "Umesh D", "non-dropping-particle" : "", "parse-names" : false, "suffix" : "" } ], "container-title" : "The Journal of infectious diseases", "id" : "ITEM-1", "issue" : "Suppl 1", "issued" : { "date-parts" : [ [ "2009", "11" ] ] }, "page" : "S16-S27", "title" : "Economic costs of rotavirus gastroenteritis and cost-effectiveness of vaccination in developing countries.", "type" : "article-journal", "volume" : "200 Suppl" }, "uris" : [ "http://www.mendeley.com/documents/?uuid=3c67dd82-1ac7-43fc-9884-fc304ca7996c" ] } ], "mendeley" : { "formattedCitation" : "[20]", "plainTextFormattedCitation" : "[20]", "previouslyFormattedCitation" : "[20]" }, "properties" : { "noteIndex" : 0 }, "schema" : "https://github.com/citation-style-language/schema/raw/master/csl-citation.json" }</w:instrText>
            </w:r>
            <w:r w:rsidRPr="00445A65">
              <w:rPr>
                <w:rFonts w:ascii="Calibri" w:eastAsia="Times New Roman" w:hAnsi="Calibri" w:cs="Times New Roman"/>
                <w:color w:val="000000" w:themeColor="text1"/>
                <w:sz w:val="18"/>
                <w:szCs w:val="18"/>
                <w:lang w:eastAsia="en-GB"/>
              </w:rPr>
              <w:fldChar w:fldCharType="separate"/>
            </w:r>
            <w:r w:rsidRPr="00445A65">
              <w:rPr>
                <w:rFonts w:ascii="Calibri" w:eastAsia="Times New Roman" w:hAnsi="Calibri" w:cs="Times New Roman"/>
                <w:noProof/>
                <w:color w:val="000000" w:themeColor="text1"/>
                <w:sz w:val="18"/>
                <w:szCs w:val="18"/>
                <w:lang w:eastAsia="en-GB"/>
              </w:rPr>
              <w:t>[20]</w:t>
            </w:r>
            <w:r w:rsidRPr="00445A65">
              <w:rPr>
                <w:rFonts w:ascii="Calibri" w:eastAsia="Times New Roman" w:hAnsi="Calibri" w:cs="Times New Roman"/>
                <w:color w:val="000000" w:themeColor="text1"/>
                <w:sz w:val="18"/>
                <w:szCs w:val="18"/>
                <w:lang w:eastAsia="en-GB"/>
              </w:rPr>
              <w:fldChar w:fldCharType="end"/>
            </w:r>
          </w:p>
        </w:tc>
        <w:tc>
          <w:tcPr>
            <w:tcW w:w="685" w:type="pct"/>
            <w:noWrap/>
            <w:hideMark/>
          </w:tcPr>
          <w:p w14:paraId="077E8C5F"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Provider</w:t>
            </w:r>
          </w:p>
        </w:tc>
      </w:tr>
      <w:tr w:rsidR="00445A65" w:rsidRPr="00445A65" w14:paraId="22566664" w14:textId="77777777" w:rsidTr="00F961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29" w:type="pct"/>
            <w:noWrap/>
            <w:hideMark/>
          </w:tcPr>
          <w:p w14:paraId="374D1929" w14:textId="77777777" w:rsidR="00445A65" w:rsidRPr="00445A65" w:rsidRDefault="00445A65" w:rsidP="00F961CB">
            <w:pPr>
              <w:jc w:val="center"/>
              <w:rPr>
                <w:rFonts w:ascii="Calibri" w:eastAsia="Times New Roman" w:hAnsi="Calibri" w:cs="Times New Roman"/>
                <w:b w:val="0"/>
                <w:color w:val="000000" w:themeColor="text1"/>
                <w:sz w:val="18"/>
                <w:szCs w:val="18"/>
                <w:lang w:eastAsia="en-GB"/>
              </w:rPr>
            </w:pPr>
            <w:r w:rsidRPr="00445A65">
              <w:rPr>
                <w:rFonts w:ascii="Calibri" w:eastAsia="Times New Roman" w:hAnsi="Calibri" w:cs="Times New Roman"/>
                <w:b w:val="0"/>
                <w:caps w:val="0"/>
                <w:color w:val="000000" w:themeColor="text1"/>
                <w:sz w:val="18"/>
                <w:szCs w:val="18"/>
                <w:lang w:eastAsia="en-GB"/>
              </w:rPr>
              <w:t>Case management of dengue</w:t>
            </w:r>
          </w:p>
        </w:tc>
        <w:tc>
          <w:tcPr>
            <w:tcW w:w="1102" w:type="pct"/>
            <w:noWrap/>
            <w:hideMark/>
          </w:tcPr>
          <w:p w14:paraId="23CB0C51"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Developed health system</w:t>
            </w:r>
          </w:p>
        </w:tc>
        <w:tc>
          <w:tcPr>
            <w:tcW w:w="515" w:type="pct"/>
            <w:noWrap/>
            <w:hideMark/>
          </w:tcPr>
          <w:p w14:paraId="3FA451C6"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200</w:t>
            </w:r>
          </w:p>
        </w:tc>
        <w:tc>
          <w:tcPr>
            <w:tcW w:w="442" w:type="pct"/>
            <w:noWrap/>
            <w:hideMark/>
          </w:tcPr>
          <w:p w14:paraId="1DE1E44F"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587</w:t>
            </w:r>
          </w:p>
        </w:tc>
        <w:tc>
          <w:tcPr>
            <w:tcW w:w="589" w:type="pct"/>
            <w:noWrap/>
            <w:hideMark/>
          </w:tcPr>
          <w:p w14:paraId="7E007A32"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1993 USD</w:t>
            </w:r>
          </w:p>
        </w:tc>
        <w:tc>
          <w:tcPr>
            <w:tcW w:w="638" w:type="pct"/>
            <w:noWrap/>
            <w:hideMark/>
          </w:tcPr>
          <w:p w14:paraId="735CC5A6" w14:textId="5F4220D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fldChar w:fldCharType="begin" w:fldLock="1"/>
            </w:r>
            <w:r w:rsidR="00EC3854">
              <w:rPr>
                <w:rFonts w:ascii="Calibri" w:eastAsia="Times New Roman" w:hAnsi="Calibri" w:cs="Times New Roman"/>
                <w:color w:val="000000" w:themeColor="text1"/>
                <w:sz w:val="18"/>
                <w:szCs w:val="18"/>
                <w:lang w:eastAsia="en-GB"/>
              </w:rPr>
              <w:instrText>ADDIN CSL_CITATION { "citationItems" : [ { "id" : "ITEM-1", "itemData" : { "author" : [ { "dropping-particle" : "", "family" : "Shepard", "given" : "D S", "non-dropping-particle" : "", "parse-names" : false, "suffix" : "" }, { "dropping-particle" : "", "family" : "Halstead", "given" : "S B", "non-dropping-particle" : "", "parse-names" : false, "suffix" : "" } ], "container-title" : "Disease Control Priorities for Developing Countries", "id" : "ITEM-1", "issued" : { "date-parts" : [ [ "1993" ] ] }, "page" : "303-320", "title" : "Dengue (with notes on yellow fever and Japanese encephalitis).", "type" : "chapter" }, "uris" : [ "http://www.mendeley.com/documents/?uuid=26abb683-2a3f-4148-9dcf-f1344a0a699b" ] } ], "mendeley" : { "formattedCitation" : "[21]", "plainTextFormattedCitation" : "[21]", "previouslyFormattedCitation" : "[21]" }, "properties" : { "noteIndex" : 0 }, "schema" : "https://github.com/citation-style-language/schema/raw/master/csl-citation.json" }</w:instrText>
            </w:r>
            <w:r w:rsidRPr="00445A65">
              <w:rPr>
                <w:rFonts w:ascii="Calibri" w:eastAsia="Times New Roman" w:hAnsi="Calibri" w:cs="Times New Roman"/>
                <w:color w:val="000000" w:themeColor="text1"/>
                <w:sz w:val="18"/>
                <w:szCs w:val="18"/>
                <w:lang w:eastAsia="en-GB"/>
              </w:rPr>
              <w:fldChar w:fldCharType="separate"/>
            </w:r>
            <w:r w:rsidRPr="00445A65">
              <w:rPr>
                <w:rFonts w:ascii="Calibri" w:eastAsia="Times New Roman" w:hAnsi="Calibri" w:cs="Times New Roman"/>
                <w:noProof/>
                <w:color w:val="000000" w:themeColor="text1"/>
                <w:sz w:val="18"/>
                <w:szCs w:val="18"/>
                <w:lang w:eastAsia="en-GB"/>
              </w:rPr>
              <w:t>[21]</w:t>
            </w:r>
            <w:r w:rsidRPr="00445A65">
              <w:rPr>
                <w:rFonts w:ascii="Calibri" w:eastAsia="Times New Roman" w:hAnsi="Calibri" w:cs="Times New Roman"/>
                <w:color w:val="000000" w:themeColor="text1"/>
                <w:sz w:val="18"/>
                <w:szCs w:val="18"/>
                <w:lang w:eastAsia="en-GB"/>
              </w:rPr>
              <w:fldChar w:fldCharType="end"/>
            </w:r>
          </w:p>
        </w:tc>
        <w:tc>
          <w:tcPr>
            <w:tcW w:w="685" w:type="pct"/>
            <w:noWrap/>
            <w:hideMark/>
          </w:tcPr>
          <w:p w14:paraId="49176A50"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Provider</w:t>
            </w:r>
          </w:p>
        </w:tc>
      </w:tr>
      <w:tr w:rsidR="00445A65" w:rsidRPr="00445A65" w14:paraId="63FC294F" w14:textId="77777777" w:rsidTr="00F961CB">
        <w:trPr>
          <w:trHeight w:val="288"/>
        </w:trPr>
        <w:tc>
          <w:tcPr>
            <w:cnfStyle w:val="001000000000" w:firstRow="0" w:lastRow="0" w:firstColumn="1" w:lastColumn="0" w:oddVBand="0" w:evenVBand="0" w:oddHBand="0" w:evenHBand="0" w:firstRowFirstColumn="0" w:firstRowLastColumn="0" w:lastRowFirstColumn="0" w:lastRowLastColumn="0"/>
            <w:tcW w:w="1029" w:type="pct"/>
            <w:noWrap/>
            <w:hideMark/>
          </w:tcPr>
          <w:p w14:paraId="67A2D04F" w14:textId="77777777" w:rsidR="00445A65" w:rsidRPr="00445A65" w:rsidRDefault="00445A65" w:rsidP="00F961CB">
            <w:pPr>
              <w:jc w:val="center"/>
              <w:rPr>
                <w:rFonts w:ascii="Calibri" w:eastAsia="Times New Roman" w:hAnsi="Calibri" w:cs="Times New Roman"/>
                <w:b w:val="0"/>
                <w:color w:val="000000" w:themeColor="text1"/>
                <w:sz w:val="18"/>
                <w:szCs w:val="18"/>
                <w:lang w:eastAsia="en-GB"/>
              </w:rPr>
            </w:pPr>
            <w:r w:rsidRPr="00445A65">
              <w:rPr>
                <w:rFonts w:ascii="Calibri" w:eastAsia="Times New Roman" w:hAnsi="Calibri" w:cs="Times New Roman"/>
                <w:b w:val="0"/>
                <w:caps w:val="0"/>
                <w:color w:val="000000" w:themeColor="text1"/>
                <w:sz w:val="18"/>
                <w:szCs w:val="18"/>
                <w:lang w:eastAsia="en-GB"/>
              </w:rPr>
              <w:t>Vector chemically controlled (vs case management alone)</w:t>
            </w:r>
          </w:p>
        </w:tc>
        <w:tc>
          <w:tcPr>
            <w:tcW w:w="1102" w:type="pct"/>
            <w:noWrap/>
            <w:hideMark/>
          </w:tcPr>
          <w:p w14:paraId="6C1E5990"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Developed health system</w:t>
            </w:r>
          </w:p>
        </w:tc>
        <w:tc>
          <w:tcPr>
            <w:tcW w:w="515" w:type="pct"/>
            <w:noWrap/>
            <w:hideMark/>
          </w:tcPr>
          <w:p w14:paraId="635ED49C"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0.46</w:t>
            </w:r>
          </w:p>
        </w:tc>
        <w:tc>
          <w:tcPr>
            <w:tcW w:w="442" w:type="pct"/>
            <w:noWrap/>
            <w:hideMark/>
          </w:tcPr>
          <w:p w14:paraId="480F42B5"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6,568</w:t>
            </w:r>
          </w:p>
        </w:tc>
        <w:tc>
          <w:tcPr>
            <w:tcW w:w="589" w:type="pct"/>
            <w:noWrap/>
            <w:hideMark/>
          </w:tcPr>
          <w:p w14:paraId="0C7EF206"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1993 USD</w:t>
            </w:r>
          </w:p>
        </w:tc>
        <w:tc>
          <w:tcPr>
            <w:tcW w:w="638" w:type="pct"/>
            <w:noWrap/>
            <w:hideMark/>
          </w:tcPr>
          <w:p w14:paraId="7D17829A" w14:textId="43F229AB"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fldChar w:fldCharType="begin" w:fldLock="1"/>
            </w:r>
            <w:r w:rsidR="00EC3854">
              <w:rPr>
                <w:rFonts w:ascii="Calibri" w:eastAsia="Times New Roman" w:hAnsi="Calibri" w:cs="Times New Roman"/>
                <w:color w:val="000000" w:themeColor="text1"/>
                <w:sz w:val="18"/>
                <w:szCs w:val="18"/>
                <w:lang w:eastAsia="en-GB"/>
              </w:rPr>
              <w:instrText>ADDIN CSL_CITATION { "citationItems" : [ { "id" : "ITEM-1", "itemData" : { "author" : [ { "dropping-particle" : "", "family" : "Shepard", "given" : "D S", "non-dropping-particle" : "", "parse-names" : false, "suffix" : "" }, { "dropping-particle" : "", "family" : "Halstead", "given" : "S B", "non-dropping-particle" : "", "parse-names" : false, "suffix" : "" } ], "container-title" : "Disease Control Priorities for Developing Countries", "id" : "ITEM-1", "issued" : { "date-parts" : [ [ "1993" ] ] }, "page" : "303-320", "title" : "Dengue (with notes on yellow fever and Japanese encephalitis).", "type" : "chapter" }, "uris" : [ "http://www.mendeley.com/documents/?uuid=26abb683-2a3f-4148-9dcf-f1344a0a699b" ] } ], "mendeley" : { "formattedCitation" : "[21]", "plainTextFormattedCitation" : "[21]", "previouslyFormattedCitation" : "[21]" }, "properties" : { "noteIndex" : 0 }, "schema" : "https://github.com/citation-style-language/schema/raw/master/csl-citation.json" }</w:instrText>
            </w:r>
            <w:r w:rsidRPr="00445A65">
              <w:rPr>
                <w:rFonts w:ascii="Calibri" w:eastAsia="Times New Roman" w:hAnsi="Calibri" w:cs="Times New Roman"/>
                <w:color w:val="000000" w:themeColor="text1"/>
                <w:sz w:val="18"/>
                <w:szCs w:val="18"/>
                <w:lang w:eastAsia="en-GB"/>
              </w:rPr>
              <w:fldChar w:fldCharType="separate"/>
            </w:r>
            <w:r w:rsidRPr="00445A65">
              <w:rPr>
                <w:rFonts w:ascii="Calibri" w:eastAsia="Times New Roman" w:hAnsi="Calibri" w:cs="Times New Roman"/>
                <w:noProof/>
                <w:color w:val="000000" w:themeColor="text1"/>
                <w:sz w:val="18"/>
                <w:szCs w:val="18"/>
                <w:lang w:eastAsia="en-GB"/>
              </w:rPr>
              <w:t>[21]</w:t>
            </w:r>
            <w:r w:rsidRPr="00445A65">
              <w:rPr>
                <w:rFonts w:ascii="Calibri" w:eastAsia="Times New Roman" w:hAnsi="Calibri" w:cs="Times New Roman"/>
                <w:color w:val="000000" w:themeColor="text1"/>
                <w:sz w:val="18"/>
                <w:szCs w:val="18"/>
                <w:lang w:eastAsia="en-GB"/>
              </w:rPr>
              <w:fldChar w:fldCharType="end"/>
            </w:r>
          </w:p>
        </w:tc>
        <w:tc>
          <w:tcPr>
            <w:tcW w:w="685" w:type="pct"/>
            <w:noWrap/>
            <w:hideMark/>
          </w:tcPr>
          <w:p w14:paraId="09FA5784"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Provider</w:t>
            </w:r>
          </w:p>
        </w:tc>
      </w:tr>
      <w:tr w:rsidR="00445A65" w:rsidRPr="00445A65" w14:paraId="1C34C488" w14:textId="77777777" w:rsidTr="00F961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29" w:type="pct"/>
            <w:noWrap/>
            <w:hideMark/>
          </w:tcPr>
          <w:p w14:paraId="5BC9AB0B" w14:textId="77777777" w:rsidR="00445A65" w:rsidRPr="00445A65" w:rsidRDefault="00445A65" w:rsidP="00F961CB">
            <w:pPr>
              <w:jc w:val="center"/>
              <w:rPr>
                <w:rFonts w:ascii="Calibri" w:eastAsia="Times New Roman" w:hAnsi="Calibri" w:cs="Times New Roman"/>
                <w:b w:val="0"/>
                <w:color w:val="000000" w:themeColor="text1"/>
                <w:sz w:val="18"/>
                <w:szCs w:val="18"/>
                <w:lang w:eastAsia="en-GB"/>
              </w:rPr>
            </w:pPr>
            <w:r w:rsidRPr="00445A65">
              <w:rPr>
                <w:rFonts w:ascii="Calibri" w:eastAsia="Times New Roman" w:hAnsi="Calibri" w:cs="Times New Roman"/>
                <w:b w:val="0"/>
                <w:caps w:val="0"/>
                <w:color w:val="000000" w:themeColor="text1"/>
                <w:sz w:val="18"/>
                <w:szCs w:val="18"/>
                <w:lang w:eastAsia="en-GB"/>
              </w:rPr>
              <w:t>Environmental vector control (vs case management alone)</w:t>
            </w:r>
          </w:p>
        </w:tc>
        <w:tc>
          <w:tcPr>
            <w:tcW w:w="1102" w:type="pct"/>
            <w:noWrap/>
            <w:hideMark/>
          </w:tcPr>
          <w:p w14:paraId="62B39BB0"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Developed health system</w:t>
            </w:r>
          </w:p>
        </w:tc>
        <w:tc>
          <w:tcPr>
            <w:tcW w:w="515" w:type="pct"/>
            <w:noWrap/>
            <w:hideMark/>
          </w:tcPr>
          <w:p w14:paraId="1F688ED9"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2.25</w:t>
            </w:r>
          </w:p>
        </w:tc>
        <w:tc>
          <w:tcPr>
            <w:tcW w:w="442" w:type="pct"/>
            <w:noWrap/>
            <w:hideMark/>
          </w:tcPr>
          <w:p w14:paraId="093CE17E"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13,696</w:t>
            </w:r>
          </w:p>
        </w:tc>
        <w:tc>
          <w:tcPr>
            <w:tcW w:w="589" w:type="pct"/>
            <w:noWrap/>
            <w:hideMark/>
          </w:tcPr>
          <w:p w14:paraId="7FA35D43"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1993 USD</w:t>
            </w:r>
          </w:p>
        </w:tc>
        <w:tc>
          <w:tcPr>
            <w:tcW w:w="638" w:type="pct"/>
            <w:noWrap/>
            <w:hideMark/>
          </w:tcPr>
          <w:p w14:paraId="393DBFE9" w14:textId="176A14D5"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fldChar w:fldCharType="begin" w:fldLock="1"/>
            </w:r>
            <w:r w:rsidR="00EC3854">
              <w:rPr>
                <w:rFonts w:ascii="Calibri" w:eastAsia="Times New Roman" w:hAnsi="Calibri" w:cs="Times New Roman"/>
                <w:color w:val="000000" w:themeColor="text1"/>
                <w:sz w:val="18"/>
                <w:szCs w:val="18"/>
                <w:lang w:eastAsia="en-GB"/>
              </w:rPr>
              <w:instrText>ADDIN CSL_CITATION { "citationItems" : [ { "id" : "ITEM-1", "itemData" : { "author" : [ { "dropping-particle" : "", "family" : "Shepard", "given" : "D S", "non-dropping-particle" : "", "parse-names" : false, "suffix" : "" }, { "dropping-particle" : "", "family" : "Halstead", "given" : "S B", "non-dropping-particle" : "", "parse-names" : false, "suffix" : "" } ], "container-title" : "Disease Control Priorities for Developing Countries", "id" : "ITEM-1", "issued" : { "date-parts" : [ [ "1993" ] ] }, "page" : "303-320", "title" : "Dengue (with notes on yellow fever and Japanese encephalitis).", "type" : "chapter" }, "uris" : [ "http://www.mendeley.com/documents/?uuid=26abb683-2a3f-4148-9dcf-f1344a0a699b" ] } ], "mendeley" : { "formattedCitation" : "[21]", "plainTextFormattedCitation" : "[21]", "previouslyFormattedCitation" : "[21]" }, "properties" : { "noteIndex" : 0 }, "schema" : "https://github.com/citation-style-language/schema/raw/master/csl-citation.json" }</w:instrText>
            </w:r>
            <w:r w:rsidRPr="00445A65">
              <w:rPr>
                <w:rFonts w:ascii="Calibri" w:eastAsia="Times New Roman" w:hAnsi="Calibri" w:cs="Times New Roman"/>
                <w:color w:val="000000" w:themeColor="text1"/>
                <w:sz w:val="18"/>
                <w:szCs w:val="18"/>
                <w:lang w:eastAsia="en-GB"/>
              </w:rPr>
              <w:fldChar w:fldCharType="separate"/>
            </w:r>
            <w:r w:rsidRPr="00445A65">
              <w:rPr>
                <w:rFonts w:ascii="Calibri" w:eastAsia="Times New Roman" w:hAnsi="Calibri" w:cs="Times New Roman"/>
                <w:noProof/>
                <w:color w:val="000000" w:themeColor="text1"/>
                <w:sz w:val="18"/>
                <w:szCs w:val="18"/>
                <w:lang w:eastAsia="en-GB"/>
              </w:rPr>
              <w:t>[21]</w:t>
            </w:r>
            <w:r w:rsidRPr="00445A65">
              <w:rPr>
                <w:rFonts w:ascii="Calibri" w:eastAsia="Times New Roman" w:hAnsi="Calibri" w:cs="Times New Roman"/>
                <w:color w:val="000000" w:themeColor="text1"/>
                <w:sz w:val="18"/>
                <w:szCs w:val="18"/>
                <w:lang w:eastAsia="en-GB"/>
              </w:rPr>
              <w:fldChar w:fldCharType="end"/>
            </w:r>
          </w:p>
        </w:tc>
        <w:tc>
          <w:tcPr>
            <w:tcW w:w="685" w:type="pct"/>
            <w:noWrap/>
            <w:hideMark/>
          </w:tcPr>
          <w:p w14:paraId="10F82F21"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Provider</w:t>
            </w:r>
          </w:p>
        </w:tc>
      </w:tr>
      <w:tr w:rsidR="00445A65" w:rsidRPr="00445A65" w14:paraId="71E91E9A" w14:textId="77777777" w:rsidTr="00F961CB">
        <w:trPr>
          <w:trHeight w:val="288"/>
        </w:trPr>
        <w:tc>
          <w:tcPr>
            <w:cnfStyle w:val="001000000000" w:firstRow="0" w:lastRow="0" w:firstColumn="1" w:lastColumn="0" w:oddVBand="0" w:evenVBand="0" w:oddHBand="0" w:evenHBand="0" w:firstRowFirstColumn="0" w:firstRowLastColumn="0" w:lastRowFirstColumn="0" w:lastRowLastColumn="0"/>
            <w:tcW w:w="1029" w:type="pct"/>
            <w:noWrap/>
            <w:hideMark/>
          </w:tcPr>
          <w:p w14:paraId="2F644A15" w14:textId="77777777" w:rsidR="00445A65" w:rsidRPr="00445A65" w:rsidRDefault="00445A65" w:rsidP="00F961CB">
            <w:pPr>
              <w:jc w:val="center"/>
              <w:rPr>
                <w:rFonts w:ascii="Calibri" w:eastAsia="Times New Roman" w:hAnsi="Calibri" w:cs="Times New Roman"/>
                <w:b w:val="0"/>
                <w:color w:val="000000" w:themeColor="text1"/>
                <w:sz w:val="18"/>
                <w:szCs w:val="18"/>
                <w:lang w:eastAsia="en-GB"/>
              </w:rPr>
            </w:pPr>
            <w:r w:rsidRPr="00445A65">
              <w:rPr>
                <w:rFonts w:ascii="Calibri" w:eastAsia="Times New Roman" w:hAnsi="Calibri" w:cs="Times New Roman"/>
                <w:b w:val="0"/>
                <w:caps w:val="0"/>
                <w:color w:val="000000" w:themeColor="text1"/>
                <w:sz w:val="18"/>
                <w:szCs w:val="18"/>
                <w:lang w:eastAsia="en-GB"/>
              </w:rPr>
              <w:t>Vector chemically controlled (vs do nothing)</w:t>
            </w:r>
          </w:p>
        </w:tc>
        <w:tc>
          <w:tcPr>
            <w:tcW w:w="1102" w:type="pct"/>
            <w:noWrap/>
            <w:hideMark/>
          </w:tcPr>
          <w:p w14:paraId="357AD5B5"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Undeveloped health system</w:t>
            </w:r>
          </w:p>
        </w:tc>
        <w:tc>
          <w:tcPr>
            <w:tcW w:w="515" w:type="pct"/>
            <w:noWrap/>
            <w:hideMark/>
          </w:tcPr>
          <w:p w14:paraId="44653E92"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0.46</w:t>
            </w:r>
          </w:p>
        </w:tc>
        <w:tc>
          <w:tcPr>
            <w:tcW w:w="442" w:type="pct"/>
            <w:noWrap/>
            <w:hideMark/>
          </w:tcPr>
          <w:p w14:paraId="7B1E3B41"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1,992</w:t>
            </w:r>
          </w:p>
        </w:tc>
        <w:tc>
          <w:tcPr>
            <w:tcW w:w="589" w:type="pct"/>
            <w:noWrap/>
            <w:hideMark/>
          </w:tcPr>
          <w:p w14:paraId="51D4331C"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1993 USD</w:t>
            </w:r>
          </w:p>
        </w:tc>
        <w:tc>
          <w:tcPr>
            <w:tcW w:w="638" w:type="pct"/>
            <w:noWrap/>
            <w:hideMark/>
          </w:tcPr>
          <w:p w14:paraId="54B994CF" w14:textId="0BDAB0F2"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fldChar w:fldCharType="begin" w:fldLock="1"/>
            </w:r>
            <w:r w:rsidR="00EC3854">
              <w:rPr>
                <w:rFonts w:ascii="Calibri" w:eastAsia="Times New Roman" w:hAnsi="Calibri" w:cs="Times New Roman"/>
                <w:color w:val="000000" w:themeColor="text1"/>
                <w:sz w:val="18"/>
                <w:szCs w:val="18"/>
                <w:lang w:eastAsia="en-GB"/>
              </w:rPr>
              <w:instrText>ADDIN CSL_CITATION { "citationItems" : [ { "id" : "ITEM-1", "itemData" : { "author" : [ { "dropping-particle" : "", "family" : "Shepard", "given" : "D S", "non-dropping-particle" : "", "parse-names" : false, "suffix" : "" }, { "dropping-particle" : "", "family" : "Halstead", "given" : "S B", "non-dropping-particle" : "", "parse-names" : false, "suffix" : "" } ], "container-title" : "Disease Control Priorities for Developing Countries", "id" : "ITEM-1", "issued" : { "date-parts" : [ [ "1993" ] ] }, "page" : "303-320", "title" : "Dengue (with notes on yellow fever and Japanese encephalitis).", "type" : "chapter" }, "uris" : [ "http://www.mendeley.com/documents/?uuid=26abb683-2a3f-4148-9dcf-f1344a0a699b" ] } ], "mendeley" : { "formattedCitation" : "[21]", "plainTextFormattedCitation" : "[21]", "previouslyFormattedCitation" : "[21]" }, "properties" : { "noteIndex" : 0 }, "schema" : "https://github.com/citation-style-language/schema/raw/master/csl-citation.json" }</w:instrText>
            </w:r>
            <w:r w:rsidRPr="00445A65">
              <w:rPr>
                <w:rFonts w:ascii="Calibri" w:eastAsia="Times New Roman" w:hAnsi="Calibri" w:cs="Times New Roman"/>
                <w:color w:val="000000" w:themeColor="text1"/>
                <w:sz w:val="18"/>
                <w:szCs w:val="18"/>
                <w:lang w:eastAsia="en-GB"/>
              </w:rPr>
              <w:fldChar w:fldCharType="separate"/>
            </w:r>
            <w:r w:rsidRPr="00445A65">
              <w:rPr>
                <w:rFonts w:ascii="Calibri" w:eastAsia="Times New Roman" w:hAnsi="Calibri" w:cs="Times New Roman"/>
                <w:noProof/>
                <w:color w:val="000000" w:themeColor="text1"/>
                <w:sz w:val="18"/>
                <w:szCs w:val="18"/>
                <w:lang w:eastAsia="en-GB"/>
              </w:rPr>
              <w:t>[21]</w:t>
            </w:r>
            <w:r w:rsidRPr="00445A65">
              <w:rPr>
                <w:rFonts w:ascii="Calibri" w:eastAsia="Times New Roman" w:hAnsi="Calibri" w:cs="Times New Roman"/>
                <w:color w:val="000000" w:themeColor="text1"/>
                <w:sz w:val="18"/>
                <w:szCs w:val="18"/>
                <w:lang w:eastAsia="en-GB"/>
              </w:rPr>
              <w:fldChar w:fldCharType="end"/>
            </w:r>
          </w:p>
        </w:tc>
        <w:tc>
          <w:tcPr>
            <w:tcW w:w="685" w:type="pct"/>
            <w:noWrap/>
            <w:hideMark/>
          </w:tcPr>
          <w:p w14:paraId="6E8EA8A8"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Provider</w:t>
            </w:r>
          </w:p>
        </w:tc>
      </w:tr>
      <w:tr w:rsidR="00445A65" w:rsidRPr="00445A65" w14:paraId="169BEF63" w14:textId="77777777" w:rsidTr="00F961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29" w:type="pct"/>
            <w:noWrap/>
            <w:hideMark/>
          </w:tcPr>
          <w:p w14:paraId="1747F79A" w14:textId="77777777" w:rsidR="00445A65" w:rsidRPr="00445A65" w:rsidRDefault="00445A65" w:rsidP="00F961CB">
            <w:pPr>
              <w:jc w:val="center"/>
              <w:rPr>
                <w:rFonts w:ascii="Calibri" w:eastAsia="Times New Roman" w:hAnsi="Calibri" w:cs="Times New Roman"/>
                <w:b w:val="0"/>
                <w:color w:val="000000" w:themeColor="text1"/>
                <w:sz w:val="18"/>
                <w:szCs w:val="18"/>
                <w:lang w:eastAsia="en-GB"/>
              </w:rPr>
            </w:pPr>
            <w:r w:rsidRPr="00445A65">
              <w:rPr>
                <w:rFonts w:ascii="Calibri" w:eastAsia="Times New Roman" w:hAnsi="Calibri" w:cs="Times New Roman"/>
                <w:b w:val="0"/>
                <w:caps w:val="0"/>
                <w:color w:val="000000" w:themeColor="text1"/>
                <w:sz w:val="18"/>
                <w:szCs w:val="18"/>
                <w:lang w:eastAsia="en-GB"/>
              </w:rPr>
              <w:t>Environmental vector control (vs do nothing)</w:t>
            </w:r>
          </w:p>
        </w:tc>
        <w:tc>
          <w:tcPr>
            <w:tcW w:w="1102" w:type="pct"/>
            <w:noWrap/>
            <w:hideMark/>
          </w:tcPr>
          <w:p w14:paraId="3EF299F3"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Undeveloped health system</w:t>
            </w:r>
          </w:p>
        </w:tc>
        <w:tc>
          <w:tcPr>
            <w:tcW w:w="515" w:type="pct"/>
            <w:noWrap/>
            <w:hideMark/>
          </w:tcPr>
          <w:p w14:paraId="7C08D24B"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2.25</w:t>
            </w:r>
          </w:p>
        </w:tc>
        <w:tc>
          <w:tcPr>
            <w:tcW w:w="442" w:type="pct"/>
            <w:noWrap/>
            <w:hideMark/>
          </w:tcPr>
          <w:p w14:paraId="79789156"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3,668</w:t>
            </w:r>
          </w:p>
        </w:tc>
        <w:tc>
          <w:tcPr>
            <w:tcW w:w="589" w:type="pct"/>
            <w:noWrap/>
            <w:hideMark/>
          </w:tcPr>
          <w:p w14:paraId="216C8775"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1993 USD</w:t>
            </w:r>
          </w:p>
        </w:tc>
        <w:tc>
          <w:tcPr>
            <w:tcW w:w="638" w:type="pct"/>
            <w:noWrap/>
            <w:hideMark/>
          </w:tcPr>
          <w:p w14:paraId="5B9546AE" w14:textId="584F1161"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fldChar w:fldCharType="begin" w:fldLock="1"/>
            </w:r>
            <w:r w:rsidR="00EC3854">
              <w:rPr>
                <w:rFonts w:ascii="Calibri" w:eastAsia="Times New Roman" w:hAnsi="Calibri" w:cs="Times New Roman"/>
                <w:color w:val="000000" w:themeColor="text1"/>
                <w:sz w:val="18"/>
                <w:szCs w:val="18"/>
                <w:lang w:eastAsia="en-GB"/>
              </w:rPr>
              <w:instrText>ADDIN CSL_CITATION { "citationItems" : [ { "id" : "ITEM-1", "itemData" : { "author" : [ { "dropping-particle" : "", "family" : "Shepard", "given" : "D S", "non-dropping-particle" : "", "parse-names" : false, "suffix" : "" }, { "dropping-particle" : "", "family" : "Halstead", "given" : "S B", "non-dropping-particle" : "", "parse-names" : false, "suffix" : "" } ], "container-title" : "Disease Control Priorities for Developing Countries", "id" : "ITEM-1", "issued" : { "date-parts" : [ [ "1993" ] ] }, "page" : "303-320", "title" : "Dengue (with notes on yellow fever and Japanese encephalitis).", "type" : "chapter" }, "uris" : [ "http://www.mendeley.com/documents/?uuid=26abb683-2a3f-4148-9dcf-f1344a0a699b" ] } ], "mendeley" : { "formattedCitation" : "[21]", "plainTextFormattedCitation" : "[21]", "previouslyFormattedCitation" : "[21]" }, "properties" : { "noteIndex" : 0 }, "schema" : "https://github.com/citation-style-language/schema/raw/master/csl-citation.json" }</w:instrText>
            </w:r>
            <w:r w:rsidRPr="00445A65">
              <w:rPr>
                <w:rFonts w:ascii="Calibri" w:eastAsia="Times New Roman" w:hAnsi="Calibri" w:cs="Times New Roman"/>
                <w:color w:val="000000" w:themeColor="text1"/>
                <w:sz w:val="18"/>
                <w:szCs w:val="18"/>
                <w:lang w:eastAsia="en-GB"/>
              </w:rPr>
              <w:fldChar w:fldCharType="separate"/>
            </w:r>
            <w:r w:rsidRPr="00445A65">
              <w:rPr>
                <w:rFonts w:ascii="Calibri" w:eastAsia="Times New Roman" w:hAnsi="Calibri" w:cs="Times New Roman"/>
                <w:noProof/>
                <w:color w:val="000000" w:themeColor="text1"/>
                <w:sz w:val="18"/>
                <w:szCs w:val="18"/>
                <w:lang w:eastAsia="en-GB"/>
              </w:rPr>
              <w:t>[21]</w:t>
            </w:r>
            <w:r w:rsidRPr="00445A65">
              <w:rPr>
                <w:rFonts w:ascii="Calibri" w:eastAsia="Times New Roman" w:hAnsi="Calibri" w:cs="Times New Roman"/>
                <w:color w:val="000000" w:themeColor="text1"/>
                <w:sz w:val="18"/>
                <w:szCs w:val="18"/>
                <w:lang w:eastAsia="en-GB"/>
              </w:rPr>
              <w:fldChar w:fldCharType="end"/>
            </w:r>
          </w:p>
        </w:tc>
        <w:tc>
          <w:tcPr>
            <w:tcW w:w="685" w:type="pct"/>
            <w:noWrap/>
            <w:hideMark/>
          </w:tcPr>
          <w:p w14:paraId="08C55D60"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Provider</w:t>
            </w:r>
          </w:p>
        </w:tc>
      </w:tr>
      <w:tr w:rsidR="00445A65" w:rsidRPr="00445A65" w14:paraId="5CDE87AB" w14:textId="77777777" w:rsidTr="00F961CB">
        <w:trPr>
          <w:trHeight w:val="288"/>
        </w:trPr>
        <w:tc>
          <w:tcPr>
            <w:cnfStyle w:val="001000000000" w:firstRow="0" w:lastRow="0" w:firstColumn="1" w:lastColumn="0" w:oddVBand="0" w:evenVBand="0" w:oddHBand="0" w:evenHBand="0" w:firstRowFirstColumn="0" w:firstRowLastColumn="0" w:lastRowFirstColumn="0" w:lastRowLastColumn="0"/>
            <w:tcW w:w="1029" w:type="pct"/>
            <w:noWrap/>
            <w:hideMark/>
          </w:tcPr>
          <w:p w14:paraId="773B75B0" w14:textId="77777777" w:rsidR="00445A65" w:rsidRPr="00445A65" w:rsidRDefault="00445A65" w:rsidP="00F961CB">
            <w:pPr>
              <w:jc w:val="center"/>
              <w:rPr>
                <w:rFonts w:ascii="Calibri" w:eastAsia="Times New Roman" w:hAnsi="Calibri" w:cs="Times New Roman"/>
                <w:b w:val="0"/>
                <w:color w:val="000000" w:themeColor="text1"/>
                <w:sz w:val="18"/>
                <w:szCs w:val="18"/>
                <w:lang w:eastAsia="en-GB"/>
              </w:rPr>
            </w:pPr>
            <w:r w:rsidRPr="00445A65">
              <w:rPr>
                <w:rFonts w:ascii="Calibri" w:eastAsia="Times New Roman" w:hAnsi="Calibri" w:cs="Times New Roman"/>
                <w:b w:val="0"/>
                <w:caps w:val="0"/>
                <w:color w:val="000000" w:themeColor="text1"/>
                <w:sz w:val="18"/>
                <w:szCs w:val="18"/>
                <w:lang w:eastAsia="en-GB"/>
              </w:rPr>
              <w:t>GDP per capita</w:t>
            </w:r>
          </w:p>
        </w:tc>
        <w:tc>
          <w:tcPr>
            <w:tcW w:w="1102" w:type="pct"/>
            <w:noWrap/>
            <w:hideMark/>
          </w:tcPr>
          <w:p w14:paraId="3F1EE124"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Brazil</w:t>
            </w:r>
          </w:p>
        </w:tc>
        <w:tc>
          <w:tcPr>
            <w:tcW w:w="515" w:type="pct"/>
            <w:noWrap/>
            <w:hideMark/>
          </w:tcPr>
          <w:p w14:paraId="1EAFF3D4"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w:t>
            </w:r>
          </w:p>
        </w:tc>
        <w:tc>
          <w:tcPr>
            <w:tcW w:w="442" w:type="pct"/>
            <w:noWrap/>
            <w:hideMark/>
          </w:tcPr>
          <w:p w14:paraId="5F29C602"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11,000</w:t>
            </w:r>
          </w:p>
        </w:tc>
        <w:tc>
          <w:tcPr>
            <w:tcW w:w="589" w:type="pct"/>
            <w:noWrap/>
            <w:hideMark/>
          </w:tcPr>
          <w:p w14:paraId="609E2B31"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2013 USD</w:t>
            </w:r>
          </w:p>
        </w:tc>
        <w:tc>
          <w:tcPr>
            <w:tcW w:w="638" w:type="pct"/>
            <w:noWrap/>
            <w:hideMark/>
          </w:tcPr>
          <w:p w14:paraId="2EEBE94B"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World Bank</w:t>
            </w:r>
          </w:p>
        </w:tc>
        <w:tc>
          <w:tcPr>
            <w:tcW w:w="685" w:type="pct"/>
            <w:noWrap/>
            <w:hideMark/>
          </w:tcPr>
          <w:p w14:paraId="2B61AAB4" w14:textId="77777777" w:rsidR="00445A65" w:rsidRPr="00445A65" w:rsidRDefault="00445A65" w:rsidP="00F961C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w:t>
            </w:r>
          </w:p>
        </w:tc>
      </w:tr>
      <w:tr w:rsidR="00445A65" w:rsidRPr="00445A65" w14:paraId="775D8D86" w14:textId="77777777" w:rsidTr="00F961C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29" w:type="pct"/>
            <w:noWrap/>
            <w:hideMark/>
          </w:tcPr>
          <w:p w14:paraId="60078183" w14:textId="77777777" w:rsidR="00445A65" w:rsidRPr="00445A65" w:rsidRDefault="00445A65" w:rsidP="00F961CB">
            <w:pPr>
              <w:jc w:val="center"/>
              <w:rPr>
                <w:rFonts w:ascii="Calibri" w:eastAsia="Times New Roman" w:hAnsi="Calibri" w:cs="Times New Roman"/>
                <w:b w:val="0"/>
                <w:color w:val="000000" w:themeColor="text1"/>
                <w:sz w:val="18"/>
                <w:szCs w:val="18"/>
                <w:lang w:eastAsia="en-GB"/>
              </w:rPr>
            </w:pPr>
            <w:r w:rsidRPr="00445A65">
              <w:rPr>
                <w:rFonts w:ascii="Calibri" w:eastAsia="Times New Roman" w:hAnsi="Calibri" w:cs="Times New Roman"/>
                <w:b w:val="0"/>
                <w:caps w:val="0"/>
                <w:color w:val="000000" w:themeColor="text1"/>
                <w:sz w:val="18"/>
                <w:szCs w:val="18"/>
                <w:lang w:eastAsia="en-GB"/>
              </w:rPr>
              <w:t>GDPdp per capita</w:t>
            </w:r>
          </w:p>
        </w:tc>
        <w:tc>
          <w:tcPr>
            <w:tcW w:w="1102" w:type="pct"/>
            <w:noWrap/>
            <w:hideMark/>
          </w:tcPr>
          <w:p w14:paraId="1B0068FE"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Philippines</w:t>
            </w:r>
          </w:p>
        </w:tc>
        <w:tc>
          <w:tcPr>
            <w:tcW w:w="515" w:type="pct"/>
            <w:noWrap/>
            <w:hideMark/>
          </w:tcPr>
          <w:p w14:paraId="79C8890C"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w:t>
            </w:r>
          </w:p>
        </w:tc>
        <w:tc>
          <w:tcPr>
            <w:tcW w:w="442" w:type="pct"/>
            <w:noWrap/>
            <w:hideMark/>
          </w:tcPr>
          <w:p w14:paraId="1D3E9B14"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2,765</w:t>
            </w:r>
          </w:p>
        </w:tc>
        <w:tc>
          <w:tcPr>
            <w:tcW w:w="589" w:type="pct"/>
            <w:noWrap/>
            <w:hideMark/>
          </w:tcPr>
          <w:p w14:paraId="05D022B7"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2013 USD</w:t>
            </w:r>
          </w:p>
        </w:tc>
        <w:tc>
          <w:tcPr>
            <w:tcW w:w="638" w:type="pct"/>
            <w:noWrap/>
            <w:hideMark/>
          </w:tcPr>
          <w:p w14:paraId="1CD06ECB"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World Bank</w:t>
            </w:r>
          </w:p>
        </w:tc>
        <w:tc>
          <w:tcPr>
            <w:tcW w:w="685" w:type="pct"/>
            <w:noWrap/>
            <w:hideMark/>
          </w:tcPr>
          <w:p w14:paraId="033730F3" w14:textId="77777777" w:rsidR="00445A65" w:rsidRPr="00445A65" w:rsidRDefault="00445A65" w:rsidP="00F961C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themeColor="text1"/>
                <w:sz w:val="18"/>
                <w:szCs w:val="18"/>
                <w:lang w:eastAsia="en-GB"/>
              </w:rPr>
            </w:pPr>
            <w:r w:rsidRPr="00445A65">
              <w:rPr>
                <w:rFonts w:ascii="Calibri" w:eastAsia="Times New Roman" w:hAnsi="Calibri" w:cs="Times New Roman"/>
                <w:color w:val="000000" w:themeColor="text1"/>
                <w:sz w:val="18"/>
                <w:szCs w:val="18"/>
                <w:lang w:eastAsia="en-GB"/>
              </w:rPr>
              <w:t>-</w:t>
            </w:r>
          </w:p>
        </w:tc>
      </w:tr>
    </w:tbl>
    <w:p w14:paraId="5B0B572D" w14:textId="77777777" w:rsidR="00445A65" w:rsidRPr="00445A65" w:rsidRDefault="00445A65" w:rsidP="00445A65">
      <w:pPr>
        <w:rPr>
          <w:color w:val="000000" w:themeColor="text1"/>
        </w:rPr>
      </w:pPr>
    </w:p>
    <w:p w14:paraId="5D1C2FBD" w14:textId="77777777" w:rsidR="00445A65" w:rsidRPr="00445A65" w:rsidRDefault="00445A65" w:rsidP="00445A65">
      <w:pPr>
        <w:rPr>
          <w:color w:val="000000" w:themeColor="text1"/>
        </w:rPr>
      </w:pPr>
    </w:p>
    <w:p w14:paraId="1D605010" w14:textId="0CED1279" w:rsidR="00A22C36" w:rsidRDefault="00A22C36">
      <w:pPr>
        <w:rPr>
          <w:rFonts w:asciiTheme="majorHAnsi" w:eastAsiaTheme="majorEastAsia" w:hAnsiTheme="majorHAnsi" w:cstheme="majorBidi"/>
          <w:color w:val="000000" w:themeColor="text1"/>
          <w:sz w:val="26"/>
          <w:szCs w:val="26"/>
        </w:rPr>
      </w:pPr>
      <w:r>
        <w:rPr>
          <w:color w:val="000000" w:themeColor="text1"/>
        </w:rPr>
        <w:br w:type="page"/>
      </w:r>
    </w:p>
    <w:p w14:paraId="12EC2698" w14:textId="77777777" w:rsidR="00445A65" w:rsidRPr="00445A65" w:rsidRDefault="00445A65" w:rsidP="00445A65">
      <w:pPr>
        <w:pStyle w:val="Heading2"/>
        <w:rPr>
          <w:color w:val="000000" w:themeColor="text1"/>
        </w:rPr>
      </w:pPr>
      <w:r w:rsidRPr="00445A65">
        <w:rPr>
          <w:color w:val="000000" w:themeColor="text1"/>
        </w:rPr>
        <w:lastRenderedPageBreak/>
        <w:t>Additional health economic results</w:t>
      </w:r>
    </w:p>
    <w:p w14:paraId="08915237" w14:textId="77777777" w:rsidR="00445A65" w:rsidRPr="00445A65" w:rsidRDefault="00445A65" w:rsidP="00445A65">
      <w:pPr>
        <w:rPr>
          <w:color w:val="000000" w:themeColor="text1"/>
        </w:rPr>
      </w:pPr>
      <w:r w:rsidRPr="00445A65">
        <w:rPr>
          <w:i/>
          <w:color w:val="000000" w:themeColor="text1"/>
        </w:rPr>
        <w:t>Changes to the vaccination strategy.</w:t>
      </w:r>
      <w:r w:rsidRPr="00445A65">
        <w:rPr>
          <w:color w:val="000000" w:themeColor="text1"/>
        </w:rPr>
        <w:t xml:space="preserve"> In line with the model predictions for health impacts, cost-effectiveness is maintained (or even improved) for later ages of vaccination except in the 90% seroprevalence setting. The incremental cost-effectiveness of a one-off catch-up policy was found to be similar to that of vaccinating 9 year olds routinely in moderate transmission settings, but lower in the highest (SP9=90%) transmission intensity setting. This suggests that in moderate transmission intensity settings, the decision to implement a catch-up campaign should be driven by affordability considerations. </w:t>
      </w:r>
    </w:p>
    <w:p w14:paraId="4A0BB5E9" w14:textId="48126723" w:rsidR="00445A65" w:rsidRDefault="00445A65" w:rsidP="00445A65">
      <w:pPr>
        <w:rPr>
          <w:noProof/>
          <w:color w:val="000000" w:themeColor="text1"/>
        </w:rPr>
      </w:pPr>
      <w:r w:rsidRPr="00445A65">
        <w:rPr>
          <w:i/>
          <w:color w:val="000000" w:themeColor="text1"/>
        </w:rPr>
        <w:t xml:space="preserve">Changes in economic assumptions. </w:t>
      </w:r>
      <w:r w:rsidR="00D40AD7">
        <w:rPr>
          <w:color w:val="000000" w:themeColor="text1"/>
        </w:rPr>
        <w:t>Figure K</w:t>
      </w:r>
      <w:r w:rsidRPr="00445A65">
        <w:rPr>
          <w:noProof/>
          <w:color w:val="000000" w:themeColor="text1"/>
        </w:rPr>
        <w:t xml:space="preserve"> shows the threshold cost per vaccinated person with changes in key economic assumptions around discounting, setting and perspective. Removing discounting of health effects has little effect</w:t>
      </w:r>
      <w:r w:rsidR="0065695F">
        <w:rPr>
          <w:noProof/>
          <w:color w:val="000000" w:themeColor="text1"/>
        </w:rPr>
        <w:t xml:space="preserve"> in most models</w:t>
      </w:r>
      <w:r w:rsidRPr="00445A65">
        <w:rPr>
          <w:noProof/>
          <w:color w:val="000000" w:themeColor="text1"/>
        </w:rPr>
        <w:t xml:space="preserve">, since the threshold cost per DALY averted drops by  60% to reflect the better cost-effectiveness of alternative ways of spending on health under this scenario. Similarly, using a South-East Asian setting only alters parameters slightly and hence has little effect. However, using a societal perspective considerably raises cost savings, with threshold costs per vaccinated person </w:t>
      </w:r>
      <w:r w:rsidR="0065695F">
        <w:rPr>
          <w:noProof/>
          <w:color w:val="000000" w:themeColor="text1"/>
        </w:rPr>
        <w:t>increasing to $28-$1</w:t>
      </w:r>
      <w:r w:rsidR="00301B8F">
        <w:rPr>
          <w:noProof/>
          <w:color w:val="000000" w:themeColor="text1"/>
        </w:rPr>
        <w:t>04</w:t>
      </w:r>
      <w:r w:rsidRPr="00445A65">
        <w:rPr>
          <w:noProof/>
          <w:color w:val="000000" w:themeColor="text1"/>
        </w:rPr>
        <w:t xml:space="preserve"> for the base case threshold cost per DALY averted of $2,000 and reaching </w:t>
      </w:r>
      <w:r w:rsidR="0065695F">
        <w:rPr>
          <w:noProof/>
          <w:color w:val="000000" w:themeColor="text1"/>
        </w:rPr>
        <w:t>$43-$</w:t>
      </w:r>
      <w:r w:rsidR="00301B8F">
        <w:rPr>
          <w:noProof/>
          <w:color w:val="000000" w:themeColor="text1"/>
        </w:rPr>
        <w:t xml:space="preserve">169 </w:t>
      </w:r>
      <w:r w:rsidRPr="00445A65">
        <w:rPr>
          <w:noProof/>
          <w:color w:val="000000" w:themeColor="text1"/>
        </w:rPr>
        <w:t>when the threshold cost per DALY averted is $10,000.</w:t>
      </w:r>
    </w:p>
    <w:p w14:paraId="0C6B83D3" w14:textId="77777777" w:rsidR="0060162C" w:rsidRPr="00445A65" w:rsidRDefault="0060162C" w:rsidP="00445A65">
      <w:pPr>
        <w:rPr>
          <w:color w:val="000000" w:themeColor="text1"/>
        </w:rPr>
      </w:pPr>
    </w:p>
    <w:p w14:paraId="7CC40E18" w14:textId="73377126" w:rsidR="001778FE" w:rsidRDefault="00B440AB" w:rsidP="00ED4A5F">
      <w:pPr>
        <w:keepNext/>
      </w:pPr>
      <w:r>
        <w:rPr>
          <w:noProof/>
          <w:lang w:eastAsia="en-GB"/>
        </w:rPr>
        <w:lastRenderedPageBreak/>
        <w:drawing>
          <wp:inline distT="0" distB="0" distL="0" distR="0" wp14:anchorId="12D80428" wp14:editId="4F7AC499">
            <wp:extent cx="5727700" cy="5632450"/>
            <wp:effectExtent l="0" t="0" r="6350" b="6350"/>
            <wp:docPr id="25" name="Picture 25" descr="C:\Users\EIDESFLA\Dropbox\CMDVI\20160400 Manuscript\others\additional plots\Appendix Figure 9\Appendix Figure 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IDESFLA\Dropbox\CMDVI\20160400 Manuscript\others\additional plots\Appendix Figure 9\Appendix Figure 9.ti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5632450"/>
                    </a:xfrm>
                    <a:prstGeom prst="rect">
                      <a:avLst/>
                    </a:prstGeom>
                    <a:noFill/>
                    <a:ln>
                      <a:noFill/>
                    </a:ln>
                  </pic:spPr>
                </pic:pic>
              </a:graphicData>
            </a:graphic>
          </wp:inline>
        </w:drawing>
      </w:r>
    </w:p>
    <w:p w14:paraId="3E4E92BF" w14:textId="0FA9AE6F" w:rsidR="00445A65" w:rsidRPr="00445A65" w:rsidRDefault="001778FE" w:rsidP="00ED4A5F">
      <w:pPr>
        <w:pStyle w:val="Caption"/>
        <w:rPr>
          <w:color w:val="000000" w:themeColor="text1"/>
        </w:rPr>
      </w:pPr>
      <w:r w:rsidRPr="00ED4A5F">
        <w:rPr>
          <w:color w:val="auto"/>
        </w:rPr>
        <w:t>Figure</w:t>
      </w:r>
      <w:r w:rsidR="00E3248D">
        <w:rPr>
          <w:color w:val="auto"/>
        </w:rPr>
        <w:t xml:space="preserve"> K</w:t>
      </w:r>
      <w:r w:rsidRPr="00ED4A5F">
        <w:rPr>
          <w:color w:val="auto"/>
        </w:rPr>
        <w:t xml:space="preserve">: Threshold costs per fully vaccinated person in reference to thresholds of the cost of averting a DALY for the </w:t>
      </w:r>
      <w:r w:rsidRPr="00445A65">
        <w:rPr>
          <w:color w:val="000000" w:themeColor="text1"/>
        </w:rPr>
        <w:t>following scenarios: (a) 0% health discounting (instead of 3%), (b) South-East Asia-like scenario (instead of Latin America-like) and (c) societal perspective (instead of health care provider). Unless otherwise stated, cost and health outcomes are calculated for 30 years after the introduction of Dengvaxia® to 9y olds with 80% coverage and without a catch-up campaign. The healthcare provider’s perspective is taken and only costs are discounted at 3%.</w:t>
      </w:r>
    </w:p>
    <w:p w14:paraId="02F62AEA" w14:textId="190B4AFE" w:rsidR="00445A65" w:rsidRPr="00445A65" w:rsidRDefault="00445A65" w:rsidP="00445A65">
      <w:pPr>
        <w:rPr>
          <w:i/>
          <w:color w:val="000000" w:themeColor="text1"/>
        </w:rPr>
      </w:pPr>
      <w:r w:rsidRPr="00445A65">
        <w:rPr>
          <w:i/>
          <w:color w:val="000000" w:themeColor="text1"/>
        </w:rPr>
        <w:t>Changes in economic parameters.</w:t>
      </w:r>
      <w:r w:rsidRPr="00445A65">
        <w:rPr>
          <w:color w:val="000000" w:themeColor="text1"/>
        </w:rPr>
        <w:t xml:space="preserve"> Figure </w:t>
      </w:r>
      <w:r w:rsidR="00D40AD7">
        <w:rPr>
          <w:color w:val="000000" w:themeColor="text1"/>
        </w:rPr>
        <w:t>L</w:t>
      </w:r>
      <w:r w:rsidRPr="00445A65">
        <w:rPr>
          <w:noProof/>
          <w:color w:val="000000" w:themeColor="text1"/>
        </w:rPr>
        <w:t xml:space="preserve"> shows the threshold cost per vaccinated person w</w:t>
      </w:r>
      <w:r w:rsidRPr="00445A65">
        <w:rPr>
          <w:color w:val="000000" w:themeColor="text1"/>
        </w:rPr>
        <w:t xml:space="preserve">hen the costs and DALYs associated with ambulatory, hospitalised and fatal cases are varied. With a </w:t>
      </w:r>
      <w:r w:rsidR="00EA7B68">
        <w:rPr>
          <w:color w:val="000000" w:themeColor="text1"/>
        </w:rPr>
        <w:t xml:space="preserve">public </w:t>
      </w:r>
      <w:r w:rsidRPr="00445A65">
        <w:rPr>
          <w:color w:val="000000" w:themeColor="text1"/>
        </w:rPr>
        <w:t xml:space="preserve">healthcare provider perspective, there is little change to the threshold cost per vaccinated person. However, with a societal perspective the cost of </w:t>
      </w:r>
      <w:r w:rsidR="00EA7B68">
        <w:rPr>
          <w:color w:val="000000" w:themeColor="text1"/>
        </w:rPr>
        <w:t xml:space="preserve">dengue treatment </w:t>
      </w:r>
      <w:r w:rsidRPr="00445A65">
        <w:rPr>
          <w:color w:val="000000" w:themeColor="text1"/>
        </w:rPr>
        <w:t>can have a large impact on this threshold cost.</w:t>
      </w:r>
    </w:p>
    <w:p w14:paraId="6F7CC8FA" w14:textId="77777777" w:rsidR="00A22C36" w:rsidRDefault="00A22C36">
      <w:pPr>
        <w:rPr>
          <w:rFonts w:asciiTheme="majorHAnsi" w:eastAsiaTheme="majorEastAsia" w:hAnsiTheme="majorHAnsi" w:cstheme="majorBidi"/>
          <w:color w:val="000000" w:themeColor="text1"/>
          <w:sz w:val="26"/>
          <w:szCs w:val="26"/>
        </w:rPr>
      </w:pPr>
      <w:r>
        <w:rPr>
          <w:color w:val="000000" w:themeColor="text1"/>
        </w:rPr>
        <w:br w:type="page"/>
      </w:r>
    </w:p>
    <w:p w14:paraId="3EFE2D97" w14:textId="74AC51E1" w:rsidR="00445A65" w:rsidRDefault="00445A65" w:rsidP="00445A65">
      <w:pPr>
        <w:pStyle w:val="Caption"/>
        <w:keepNext/>
        <w:rPr>
          <w:color w:val="000000" w:themeColor="text1"/>
        </w:rPr>
      </w:pPr>
    </w:p>
    <w:p w14:paraId="2F46DFB7" w14:textId="13C73CFE" w:rsidR="00105794" w:rsidRPr="00105794" w:rsidRDefault="00B440AB" w:rsidP="00105794">
      <w:r>
        <w:rPr>
          <w:noProof/>
          <w:lang w:eastAsia="en-GB"/>
        </w:rPr>
        <w:drawing>
          <wp:inline distT="0" distB="0" distL="0" distR="0" wp14:anchorId="51DA58F7" wp14:editId="363739D3">
            <wp:extent cx="5727700" cy="1433830"/>
            <wp:effectExtent l="0" t="0" r="6350" b="0"/>
            <wp:docPr id="26" name="Picture 26" descr="C:\Users\EIDESFLA\Dropbox\CMDVI\Phase II analysis\Figures\Manuscript\Fig8b_Tornado_groups_re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IDESFLA\Dropbox\CMDVI\Phase II analysis\Figures\Manuscript\Fig8b_Tornado_groups_rel.ti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1433830"/>
                    </a:xfrm>
                    <a:prstGeom prst="rect">
                      <a:avLst/>
                    </a:prstGeom>
                    <a:noFill/>
                    <a:ln>
                      <a:noFill/>
                    </a:ln>
                  </pic:spPr>
                </pic:pic>
              </a:graphicData>
            </a:graphic>
          </wp:inline>
        </w:drawing>
      </w:r>
      <w:r>
        <w:rPr>
          <w:noProof/>
          <w:lang w:eastAsia="en-GB"/>
        </w:rPr>
        <w:drawing>
          <wp:inline distT="0" distB="0" distL="0" distR="0" wp14:anchorId="4952A129" wp14:editId="301190CC">
            <wp:extent cx="5727700" cy="1433830"/>
            <wp:effectExtent l="0" t="0" r="6350" b="0"/>
            <wp:docPr id="27" name="Picture 27" descr="C:\Users\EIDESFLA\Dropbox\CMDVI\Phase II analysis\Figures\Manuscript\Fig8d_Tornado_groups_SOC_re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IDESFLA\Dropbox\CMDVI\Phase II analysis\Figures\Manuscript\Fig8d_Tornado_groups_SOC_rel.ti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1433830"/>
                    </a:xfrm>
                    <a:prstGeom prst="rect">
                      <a:avLst/>
                    </a:prstGeom>
                    <a:noFill/>
                    <a:ln>
                      <a:noFill/>
                    </a:ln>
                  </pic:spPr>
                </pic:pic>
              </a:graphicData>
            </a:graphic>
          </wp:inline>
        </w:drawing>
      </w:r>
    </w:p>
    <w:p w14:paraId="3827BC9E" w14:textId="290A92A4" w:rsidR="00445A65" w:rsidRPr="00445A65" w:rsidRDefault="00445A65" w:rsidP="00445A65">
      <w:pPr>
        <w:pStyle w:val="Caption"/>
        <w:rPr>
          <w:color w:val="000000" w:themeColor="text1"/>
        </w:rPr>
      </w:pPr>
      <w:r w:rsidRPr="00445A65">
        <w:rPr>
          <w:color w:val="000000" w:themeColor="text1"/>
        </w:rPr>
        <w:t>Figure</w:t>
      </w:r>
      <w:r w:rsidR="00131C8A">
        <w:rPr>
          <w:color w:val="000000" w:themeColor="text1"/>
        </w:rPr>
        <w:t xml:space="preserve"> </w:t>
      </w:r>
      <w:r w:rsidR="00E3248D">
        <w:rPr>
          <w:color w:val="000000" w:themeColor="text1"/>
        </w:rPr>
        <w:t>L</w:t>
      </w:r>
      <w:r w:rsidRPr="00445A65">
        <w:rPr>
          <w:color w:val="000000" w:themeColor="text1"/>
        </w:rPr>
        <w:t xml:space="preserve">: Sensitivity analyses on the threshold costs per fully vaccinated person in a highly endemic setting (SP9=70%) and assuming the threshold costs of averting a DALY are $2000. </w:t>
      </w:r>
      <w:r w:rsidR="00F15883">
        <w:rPr>
          <w:color w:val="000000" w:themeColor="text1"/>
        </w:rPr>
        <w:t xml:space="preserve">The </w:t>
      </w:r>
      <w:r w:rsidR="00EA7B68">
        <w:rPr>
          <w:color w:val="000000" w:themeColor="text1"/>
        </w:rPr>
        <w:t xml:space="preserve">public sector </w:t>
      </w:r>
      <w:r w:rsidR="00F15883">
        <w:rPr>
          <w:color w:val="000000" w:themeColor="text1"/>
        </w:rPr>
        <w:t>provider perspective is taken in the upper panel and t</w:t>
      </w:r>
      <w:r w:rsidRPr="00445A65">
        <w:rPr>
          <w:color w:val="000000" w:themeColor="text1"/>
        </w:rPr>
        <w:t>he societal perspective is taken</w:t>
      </w:r>
      <w:r w:rsidR="00F15883">
        <w:rPr>
          <w:color w:val="000000" w:themeColor="text1"/>
        </w:rPr>
        <w:t xml:space="preserve"> in the lower panel</w:t>
      </w:r>
      <w:r w:rsidRPr="00445A65">
        <w:rPr>
          <w:color w:val="000000" w:themeColor="text1"/>
        </w:rPr>
        <w:t>.</w:t>
      </w:r>
    </w:p>
    <w:p w14:paraId="677BCD2B" w14:textId="5AB45381" w:rsidR="00445A65" w:rsidRDefault="00445A65" w:rsidP="00445A65">
      <w:pPr>
        <w:pStyle w:val="Caption"/>
        <w:rPr>
          <w:color w:val="000000" w:themeColor="text1"/>
        </w:rPr>
      </w:pPr>
    </w:p>
    <w:p w14:paraId="23EE0361" w14:textId="0F3BB460" w:rsidR="00A22C36" w:rsidRPr="00445A65" w:rsidRDefault="00A22C36" w:rsidP="00A22C36">
      <w:pPr>
        <w:pStyle w:val="Heading2"/>
        <w:rPr>
          <w:color w:val="000000" w:themeColor="text1"/>
        </w:rPr>
      </w:pPr>
      <w:r>
        <w:rPr>
          <w:color w:val="000000" w:themeColor="text1"/>
        </w:rPr>
        <w:t>Tabulation of results</w:t>
      </w:r>
    </w:p>
    <w:p w14:paraId="137AC74F" w14:textId="4A482268" w:rsidR="00445A65" w:rsidRPr="00445A65" w:rsidRDefault="00445A65" w:rsidP="00445A65">
      <w:pPr>
        <w:pStyle w:val="Caption"/>
        <w:keepNext/>
        <w:rPr>
          <w:color w:val="000000" w:themeColor="text1"/>
        </w:rPr>
      </w:pPr>
      <w:bookmarkStart w:id="11" w:name="_Ref447282663"/>
      <w:r w:rsidRPr="00445A65">
        <w:rPr>
          <w:color w:val="000000" w:themeColor="text1"/>
        </w:rPr>
        <w:t xml:space="preserve">Table </w:t>
      </w:r>
      <w:bookmarkEnd w:id="11"/>
      <w:r w:rsidR="00E3248D">
        <w:rPr>
          <w:color w:val="000000" w:themeColor="text1"/>
        </w:rPr>
        <w:t>D</w:t>
      </w:r>
      <w:r w:rsidRPr="00445A65">
        <w:rPr>
          <w:color w:val="000000" w:themeColor="text1"/>
        </w:rPr>
        <w:t>: The proportion of hospitalised DENV cases averted within 30 years after vaccine introduction in the reference scenario. Mean and 95% range over multiple simulations are presented. This table corresponds to the data illustrated in</w:t>
      </w:r>
      <w:r w:rsidR="00105794">
        <w:rPr>
          <w:color w:val="000000" w:themeColor="text1"/>
        </w:rPr>
        <w:t xml:space="preserve"> Figure 3.</w:t>
      </w:r>
    </w:p>
    <w:tbl>
      <w:tblPr>
        <w:tblW w:w="5000" w:type="pct"/>
        <w:tblLayout w:type="fixed"/>
        <w:tblLook w:val="0000" w:firstRow="0" w:lastRow="0" w:firstColumn="0" w:lastColumn="0" w:noHBand="0" w:noVBand="0"/>
      </w:tblPr>
      <w:tblGrid>
        <w:gridCol w:w="1541"/>
        <w:gridCol w:w="1541"/>
        <w:gridCol w:w="1540"/>
        <w:gridCol w:w="1540"/>
        <w:gridCol w:w="1540"/>
        <w:gridCol w:w="1540"/>
      </w:tblGrid>
      <w:tr w:rsidR="00445A65" w:rsidRPr="00445A65" w14:paraId="1AF6602B" w14:textId="77777777" w:rsidTr="00C51D6D">
        <w:trPr>
          <w:trHeight w:val="290"/>
        </w:trPr>
        <w:tc>
          <w:tcPr>
            <w:tcW w:w="834" w:type="pct"/>
            <w:tcBorders>
              <w:top w:val="nil"/>
              <w:left w:val="nil"/>
              <w:bottom w:val="single" w:sz="4" w:space="0" w:color="auto"/>
              <w:right w:val="single" w:sz="4" w:space="0" w:color="auto"/>
            </w:tcBorders>
            <w:vAlign w:val="center"/>
          </w:tcPr>
          <w:p w14:paraId="683CEF9F" w14:textId="77777777" w:rsidR="00445A65" w:rsidRPr="00445A65" w:rsidRDefault="00445A65" w:rsidP="00C51D6D">
            <w:pPr>
              <w:autoSpaceDE w:val="0"/>
              <w:autoSpaceDN w:val="0"/>
              <w:adjustRightInd w:val="0"/>
              <w:spacing w:line="240" w:lineRule="auto"/>
              <w:jc w:val="center"/>
              <w:rPr>
                <w:rFonts w:ascii="Calibri" w:hAnsi="Calibri" w:cs="Calibri"/>
                <w:color w:val="000000" w:themeColor="text1"/>
                <w:sz w:val="16"/>
                <w:szCs w:val="16"/>
              </w:rPr>
            </w:pPr>
          </w:p>
        </w:tc>
        <w:tc>
          <w:tcPr>
            <w:tcW w:w="834" w:type="pct"/>
            <w:tcBorders>
              <w:top w:val="nil"/>
              <w:left w:val="single" w:sz="4" w:space="0" w:color="auto"/>
              <w:bottom w:val="single" w:sz="4" w:space="0" w:color="auto"/>
              <w:right w:val="nil"/>
            </w:tcBorders>
            <w:vAlign w:val="center"/>
          </w:tcPr>
          <w:p w14:paraId="04C1A35F"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SP9=10%</w:t>
            </w:r>
          </w:p>
        </w:tc>
        <w:tc>
          <w:tcPr>
            <w:tcW w:w="833" w:type="pct"/>
            <w:tcBorders>
              <w:top w:val="nil"/>
              <w:left w:val="nil"/>
              <w:bottom w:val="single" w:sz="4" w:space="0" w:color="auto"/>
              <w:right w:val="nil"/>
            </w:tcBorders>
            <w:vAlign w:val="center"/>
          </w:tcPr>
          <w:p w14:paraId="13A5299D"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SP9=30%</w:t>
            </w:r>
          </w:p>
        </w:tc>
        <w:tc>
          <w:tcPr>
            <w:tcW w:w="833" w:type="pct"/>
            <w:tcBorders>
              <w:top w:val="nil"/>
              <w:left w:val="nil"/>
              <w:bottom w:val="single" w:sz="4" w:space="0" w:color="auto"/>
              <w:right w:val="nil"/>
            </w:tcBorders>
            <w:vAlign w:val="center"/>
          </w:tcPr>
          <w:p w14:paraId="423A250E"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SP9=50%</w:t>
            </w:r>
          </w:p>
        </w:tc>
        <w:tc>
          <w:tcPr>
            <w:tcW w:w="833" w:type="pct"/>
            <w:tcBorders>
              <w:top w:val="nil"/>
              <w:left w:val="nil"/>
              <w:bottom w:val="single" w:sz="4" w:space="0" w:color="auto"/>
              <w:right w:val="nil"/>
            </w:tcBorders>
            <w:vAlign w:val="center"/>
          </w:tcPr>
          <w:p w14:paraId="4BAC6CB1"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SP9=70%</w:t>
            </w:r>
          </w:p>
        </w:tc>
        <w:tc>
          <w:tcPr>
            <w:tcW w:w="833" w:type="pct"/>
            <w:tcBorders>
              <w:top w:val="nil"/>
              <w:left w:val="nil"/>
              <w:bottom w:val="single" w:sz="4" w:space="0" w:color="auto"/>
              <w:right w:val="nil"/>
            </w:tcBorders>
            <w:vAlign w:val="center"/>
          </w:tcPr>
          <w:p w14:paraId="30D29DA4"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SP9=90%</w:t>
            </w:r>
          </w:p>
        </w:tc>
      </w:tr>
      <w:tr w:rsidR="00BB0C82" w:rsidRPr="00445A65" w14:paraId="654F9B4C" w14:textId="77777777" w:rsidTr="00ED4A5F">
        <w:trPr>
          <w:trHeight w:val="290"/>
        </w:trPr>
        <w:tc>
          <w:tcPr>
            <w:tcW w:w="834" w:type="pct"/>
            <w:tcBorders>
              <w:top w:val="single" w:sz="4" w:space="0" w:color="auto"/>
              <w:left w:val="nil"/>
              <w:bottom w:val="nil"/>
              <w:right w:val="single" w:sz="4" w:space="0" w:color="auto"/>
            </w:tcBorders>
            <w:shd w:val="clear" w:color="auto" w:fill="F2F2F2" w:themeFill="background1" w:themeFillShade="F2"/>
            <w:vAlign w:val="center"/>
          </w:tcPr>
          <w:p w14:paraId="78D3FEF3" w14:textId="77777777" w:rsidR="00BB0C82" w:rsidRPr="00445A65"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Duke</w:t>
            </w:r>
          </w:p>
        </w:tc>
        <w:tc>
          <w:tcPr>
            <w:tcW w:w="834" w:type="pct"/>
            <w:tcBorders>
              <w:top w:val="single" w:sz="4" w:space="0" w:color="auto"/>
              <w:left w:val="single" w:sz="4" w:space="0" w:color="auto"/>
              <w:right w:val="nil"/>
            </w:tcBorders>
            <w:shd w:val="clear" w:color="auto" w:fill="F2F2F2" w:themeFill="background1" w:themeFillShade="F2"/>
            <w:vAlign w:val="bottom"/>
          </w:tcPr>
          <w:p w14:paraId="77E8AC5B" w14:textId="5FFC9B3A"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-0.04 (-0.3;0.19)</w:t>
            </w:r>
          </w:p>
        </w:tc>
        <w:tc>
          <w:tcPr>
            <w:tcW w:w="833" w:type="pct"/>
            <w:tcBorders>
              <w:top w:val="single" w:sz="4" w:space="0" w:color="auto"/>
              <w:left w:val="nil"/>
              <w:right w:val="nil"/>
            </w:tcBorders>
            <w:shd w:val="clear" w:color="auto" w:fill="F2F2F2" w:themeFill="background1" w:themeFillShade="F2"/>
            <w:vAlign w:val="bottom"/>
          </w:tcPr>
          <w:p w14:paraId="34291778" w14:textId="1D2AEE90"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-0.03 (-0.13;0.1)</w:t>
            </w:r>
          </w:p>
        </w:tc>
        <w:tc>
          <w:tcPr>
            <w:tcW w:w="833" w:type="pct"/>
            <w:tcBorders>
              <w:top w:val="single" w:sz="4" w:space="0" w:color="auto"/>
              <w:left w:val="nil"/>
              <w:right w:val="nil"/>
            </w:tcBorders>
            <w:shd w:val="clear" w:color="auto" w:fill="F2F2F2" w:themeFill="background1" w:themeFillShade="F2"/>
            <w:vAlign w:val="bottom"/>
          </w:tcPr>
          <w:p w14:paraId="27762C8A" w14:textId="2BB7A291"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0.07 (-0.03;0.12)</w:t>
            </w:r>
          </w:p>
        </w:tc>
        <w:tc>
          <w:tcPr>
            <w:tcW w:w="833" w:type="pct"/>
            <w:tcBorders>
              <w:top w:val="single" w:sz="4" w:space="0" w:color="auto"/>
              <w:left w:val="nil"/>
              <w:right w:val="nil"/>
            </w:tcBorders>
            <w:shd w:val="clear" w:color="auto" w:fill="F2F2F2" w:themeFill="background1" w:themeFillShade="F2"/>
            <w:vAlign w:val="bottom"/>
          </w:tcPr>
          <w:p w14:paraId="7B976AB8" w14:textId="29BEF436"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0.17 (0.1;0.2)</w:t>
            </w:r>
          </w:p>
        </w:tc>
        <w:tc>
          <w:tcPr>
            <w:tcW w:w="833" w:type="pct"/>
            <w:tcBorders>
              <w:top w:val="single" w:sz="4" w:space="0" w:color="auto"/>
              <w:left w:val="nil"/>
              <w:right w:val="nil"/>
            </w:tcBorders>
            <w:shd w:val="clear" w:color="auto" w:fill="F2F2F2" w:themeFill="background1" w:themeFillShade="F2"/>
            <w:vAlign w:val="bottom"/>
          </w:tcPr>
          <w:p w14:paraId="7AE604B5" w14:textId="4E6C5472"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0.18 (0.08;0.24)</w:t>
            </w:r>
          </w:p>
        </w:tc>
      </w:tr>
      <w:tr w:rsidR="00BB0C82" w:rsidRPr="00445A65" w14:paraId="26B4DE20" w14:textId="77777777" w:rsidTr="00ED4A5F">
        <w:trPr>
          <w:trHeight w:val="290"/>
        </w:trPr>
        <w:tc>
          <w:tcPr>
            <w:tcW w:w="834" w:type="pct"/>
            <w:tcBorders>
              <w:top w:val="nil"/>
              <w:left w:val="nil"/>
              <w:bottom w:val="nil"/>
              <w:right w:val="single" w:sz="4" w:space="0" w:color="auto"/>
            </w:tcBorders>
            <w:vAlign w:val="center"/>
          </w:tcPr>
          <w:p w14:paraId="3A05A314" w14:textId="77777777" w:rsidR="00BB0C82" w:rsidRPr="00445A65"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Exeter/Oxford</w:t>
            </w:r>
          </w:p>
        </w:tc>
        <w:tc>
          <w:tcPr>
            <w:tcW w:w="834" w:type="pct"/>
            <w:tcBorders>
              <w:top w:val="nil"/>
              <w:left w:val="single" w:sz="4" w:space="0" w:color="auto"/>
              <w:bottom w:val="nil"/>
              <w:right w:val="nil"/>
            </w:tcBorders>
            <w:vAlign w:val="bottom"/>
          </w:tcPr>
          <w:p w14:paraId="054E0266" w14:textId="594E2383"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-0.15 (-0.28;-0.03)</w:t>
            </w:r>
          </w:p>
        </w:tc>
        <w:tc>
          <w:tcPr>
            <w:tcW w:w="833" w:type="pct"/>
            <w:tcBorders>
              <w:top w:val="nil"/>
              <w:left w:val="nil"/>
              <w:bottom w:val="nil"/>
              <w:right w:val="nil"/>
            </w:tcBorders>
            <w:vAlign w:val="bottom"/>
          </w:tcPr>
          <w:p w14:paraId="1CBEA526" w14:textId="262E534F"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-0.04 (-0.09;0.01)</w:t>
            </w:r>
          </w:p>
        </w:tc>
        <w:tc>
          <w:tcPr>
            <w:tcW w:w="833" w:type="pct"/>
            <w:tcBorders>
              <w:top w:val="nil"/>
              <w:left w:val="nil"/>
              <w:bottom w:val="nil"/>
              <w:right w:val="nil"/>
            </w:tcBorders>
            <w:vAlign w:val="bottom"/>
          </w:tcPr>
          <w:p w14:paraId="58D26F15" w14:textId="685BEB88"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0.06 (0.04;0.08)</w:t>
            </w:r>
          </w:p>
        </w:tc>
        <w:tc>
          <w:tcPr>
            <w:tcW w:w="833" w:type="pct"/>
            <w:tcBorders>
              <w:top w:val="nil"/>
              <w:left w:val="nil"/>
              <w:bottom w:val="nil"/>
              <w:right w:val="nil"/>
            </w:tcBorders>
            <w:vAlign w:val="bottom"/>
          </w:tcPr>
          <w:p w14:paraId="1BFC4F06" w14:textId="7CAFD3AE"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0.13 (0.12;0.14)</w:t>
            </w:r>
          </w:p>
        </w:tc>
        <w:tc>
          <w:tcPr>
            <w:tcW w:w="833" w:type="pct"/>
            <w:tcBorders>
              <w:top w:val="nil"/>
              <w:left w:val="nil"/>
              <w:bottom w:val="nil"/>
              <w:right w:val="nil"/>
            </w:tcBorders>
            <w:vAlign w:val="bottom"/>
          </w:tcPr>
          <w:p w14:paraId="39705D37" w14:textId="72A1FE38"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0.13 (0.12;0.14)</w:t>
            </w:r>
          </w:p>
        </w:tc>
      </w:tr>
      <w:tr w:rsidR="00BB0C82" w:rsidRPr="00445A65" w14:paraId="54F31B7A" w14:textId="77777777" w:rsidTr="00ED4A5F">
        <w:trPr>
          <w:trHeight w:val="290"/>
        </w:trPr>
        <w:tc>
          <w:tcPr>
            <w:tcW w:w="834" w:type="pct"/>
            <w:tcBorders>
              <w:top w:val="nil"/>
              <w:left w:val="nil"/>
              <w:bottom w:val="nil"/>
              <w:right w:val="single" w:sz="4" w:space="0" w:color="auto"/>
            </w:tcBorders>
            <w:shd w:val="clear" w:color="auto" w:fill="F2F2F2" w:themeFill="background1" w:themeFillShade="F2"/>
            <w:vAlign w:val="center"/>
          </w:tcPr>
          <w:p w14:paraId="03BA2E9F" w14:textId="77777777" w:rsidR="00BB0C82" w:rsidRPr="00445A65"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Hopkins/UF</w:t>
            </w:r>
          </w:p>
        </w:tc>
        <w:tc>
          <w:tcPr>
            <w:tcW w:w="834" w:type="pct"/>
            <w:tcBorders>
              <w:top w:val="nil"/>
              <w:left w:val="single" w:sz="4" w:space="0" w:color="auto"/>
              <w:bottom w:val="nil"/>
              <w:right w:val="nil"/>
            </w:tcBorders>
            <w:shd w:val="clear" w:color="auto" w:fill="F2F2F2" w:themeFill="background1" w:themeFillShade="F2"/>
            <w:vAlign w:val="bottom"/>
          </w:tcPr>
          <w:p w14:paraId="189B37B2" w14:textId="66439A9B"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-2.4 (-2.47;-2.35)</w:t>
            </w:r>
          </w:p>
        </w:tc>
        <w:tc>
          <w:tcPr>
            <w:tcW w:w="833" w:type="pct"/>
            <w:tcBorders>
              <w:top w:val="nil"/>
              <w:left w:val="nil"/>
              <w:bottom w:val="nil"/>
              <w:right w:val="nil"/>
            </w:tcBorders>
            <w:shd w:val="clear" w:color="auto" w:fill="F2F2F2" w:themeFill="background1" w:themeFillShade="F2"/>
            <w:vAlign w:val="bottom"/>
          </w:tcPr>
          <w:p w14:paraId="15B46868" w14:textId="3364B216"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-0.16 (-0.23;-0.11)</w:t>
            </w:r>
          </w:p>
        </w:tc>
        <w:tc>
          <w:tcPr>
            <w:tcW w:w="833" w:type="pct"/>
            <w:tcBorders>
              <w:top w:val="nil"/>
              <w:left w:val="nil"/>
              <w:bottom w:val="nil"/>
              <w:right w:val="nil"/>
            </w:tcBorders>
            <w:shd w:val="clear" w:color="auto" w:fill="F2F2F2" w:themeFill="background1" w:themeFillShade="F2"/>
            <w:vAlign w:val="bottom"/>
          </w:tcPr>
          <w:p w14:paraId="45160EDC" w14:textId="3910B3F5"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0.1 (0.04;0.16)</w:t>
            </w:r>
          </w:p>
        </w:tc>
        <w:tc>
          <w:tcPr>
            <w:tcW w:w="833" w:type="pct"/>
            <w:tcBorders>
              <w:top w:val="nil"/>
              <w:left w:val="nil"/>
              <w:bottom w:val="nil"/>
              <w:right w:val="nil"/>
            </w:tcBorders>
            <w:shd w:val="clear" w:color="auto" w:fill="F2F2F2" w:themeFill="background1" w:themeFillShade="F2"/>
            <w:vAlign w:val="bottom"/>
          </w:tcPr>
          <w:p w14:paraId="7A44E6C9" w14:textId="50D4A029"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0.2 (0.16;0.23)</w:t>
            </w:r>
          </w:p>
        </w:tc>
        <w:tc>
          <w:tcPr>
            <w:tcW w:w="833" w:type="pct"/>
            <w:tcBorders>
              <w:top w:val="nil"/>
              <w:left w:val="nil"/>
              <w:bottom w:val="nil"/>
              <w:right w:val="nil"/>
            </w:tcBorders>
            <w:shd w:val="clear" w:color="auto" w:fill="F2F2F2" w:themeFill="background1" w:themeFillShade="F2"/>
            <w:vAlign w:val="bottom"/>
          </w:tcPr>
          <w:p w14:paraId="40569731" w14:textId="08111CCA"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0.22 (0.2;0.24)</w:t>
            </w:r>
          </w:p>
        </w:tc>
      </w:tr>
      <w:tr w:rsidR="00BB0C82" w:rsidRPr="00445A65" w14:paraId="76E691A1" w14:textId="77777777" w:rsidTr="00ED4A5F">
        <w:trPr>
          <w:trHeight w:val="290"/>
        </w:trPr>
        <w:tc>
          <w:tcPr>
            <w:tcW w:w="834" w:type="pct"/>
            <w:tcBorders>
              <w:top w:val="nil"/>
              <w:left w:val="nil"/>
              <w:bottom w:val="nil"/>
              <w:right w:val="single" w:sz="4" w:space="0" w:color="auto"/>
            </w:tcBorders>
            <w:vAlign w:val="center"/>
          </w:tcPr>
          <w:p w14:paraId="0D71E7A6" w14:textId="77777777" w:rsidR="00BB0C82" w:rsidRPr="00445A65"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Imperial</w:t>
            </w:r>
          </w:p>
        </w:tc>
        <w:tc>
          <w:tcPr>
            <w:tcW w:w="834" w:type="pct"/>
            <w:tcBorders>
              <w:top w:val="nil"/>
              <w:left w:val="single" w:sz="4" w:space="0" w:color="auto"/>
              <w:bottom w:val="nil"/>
              <w:right w:val="nil"/>
            </w:tcBorders>
            <w:vAlign w:val="bottom"/>
          </w:tcPr>
          <w:p w14:paraId="65D073FD" w14:textId="138A2756"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-1.33 (-1.9;-0.63)</w:t>
            </w:r>
          </w:p>
        </w:tc>
        <w:tc>
          <w:tcPr>
            <w:tcW w:w="833" w:type="pct"/>
            <w:tcBorders>
              <w:top w:val="nil"/>
              <w:left w:val="nil"/>
              <w:bottom w:val="nil"/>
              <w:right w:val="nil"/>
            </w:tcBorders>
            <w:vAlign w:val="bottom"/>
          </w:tcPr>
          <w:p w14:paraId="08FEA2F4" w14:textId="3613B954"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-0.03 (-0.1;0.02)</w:t>
            </w:r>
          </w:p>
        </w:tc>
        <w:tc>
          <w:tcPr>
            <w:tcW w:w="833" w:type="pct"/>
            <w:tcBorders>
              <w:top w:val="nil"/>
              <w:left w:val="nil"/>
              <w:bottom w:val="nil"/>
              <w:right w:val="nil"/>
            </w:tcBorders>
            <w:vAlign w:val="bottom"/>
          </w:tcPr>
          <w:p w14:paraId="2BBE2FA7" w14:textId="42D62A97"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0.12 (0.08;0.17)</w:t>
            </w:r>
          </w:p>
        </w:tc>
        <w:tc>
          <w:tcPr>
            <w:tcW w:w="833" w:type="pct"/>
            <w:tcBorders>
              <w:top w:val="nil"/>
              <w:left w:val="nil"/>
              <w:bottom w:val="nil"/>
              <w:right w:val="nil"/>
            </w:tcBorders>
            <w:vAlign w:val="bottom"/>
          </w:tcPr>
          <w:p w14:paraId="3A36D84F" w14:textId="2D2CAD7C"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0.23 (0.2;0.26)</w:t>
            </w:r>
          </w:p>
        </w:tc>
        <w:tc>
          <w:tcPr>
            <w:tcW w:w="833" w:type="pct"/>
            <w:tcBorders>
              <w:top w:val="nil"/>
              <w:left w:val="nil"/>
              <w:bottom w:val="nil"/>
              <w:right w:val="nil"/>
            </w:tcBorders>
            <w:vAlign w:val="bottom"/>
          </w:tcPr>
          <w:p w14:paraId="651522D7" w14:textId="26084497"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0.25 (0.21;0.31)</w:t>
            </w:r>
          </w:p>
        </w:tc>
      </w:tr>
      <w:tr w:rsidR="00BB0C82" w:rsidRPr="00445A65" w14:paraId="23A02761" w14:textId="77777777" w:rsidTr="00ED4A5F">
        <w:trPr>
          <w:trHeight w:val="290"/>
        </w:trPr>
        <w:tc>
          <w:tcPr>
            <w:tcW w:w="834" w:type="pct"/>
            <w:tcBorders>
              <w:top w:val="nil"/>
              <w:left w:val="nil"/>
              <w:bottom w:val="nil"/>
              <w:right w:val="single" w:sz="4" w:space="0" w:color="auto"/>
            </w:tcBorders>
            <w:shd w:val="clear" w:color="auto" w:fill="F2F2F2" w:themeFill="background1" w:themeFillShade="F2"/>
            <w:vAlign w:val="center"/>
          </w:tcPr>
          <w:p w14:paraId="066DD38A" w14:textId="77777777" w:rsidR="00BB0C82" w:rsidRPr="00445A65"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Notre Dame</w:t>
            </w:r>
          </w:p>
        </w:tc>
        <w:tc>
          <w:tcPr>
            <w:tcW w:w="834" w:type="pct"/>
            <w:tcBorders>
              <w:top w:val="nil"/>
              <w:left w:val="single" w:sz="4" w:space="0" w:color="auto"/>
              <w:bottom w:val="nil"/>
              <w:right w:val="nil"/>
            </w:tcBorders>
            <w:shd w:val="clear" w:color="auto" w:fill="F2F2F2" w:themeFill="background1" w:themeFillShade="F2"/>
            <w:vAlign w:val="bottom"/>
          </w:tcPr>
          <w:p w14:paraId="3E5906F6" w14:textId="263C26D4"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-0.23 (-0.37;-0.1)</w:t>
            </w:r>
          </w:p>
        </w:tc>
        <w:tc>
          <w:tcPr>
            <w:tcW w:w="833" w:type="pct"/>
            <w:tcBorders>
              <w:top w:val="nil"/>
              <w:left w:val="nil"/>
              <w:bottom w:val="nil"/>
              <w:right w:val="nil"/>
            </w:tcBorders>
            <w:shd w:val="clear" w:color="auto" w:fill="F2F2F2" w:themeFill="background1" w:themeFillShade="F2"/>
            <w:vAlign w:val="bottom"/>
          </w:tcPr>
          <w:p w14:paraId="786CDD30" w14:textId="6CAA61EA"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-0.01 (-0.06;0.07)</w:t>
            </w:r>
          </w:p>
        </w:tc>
        <w:tc>
          <w:tcPr>
            <w:tcW w:w="833" w:type="pct"/>
            <w:tcBorders>
              <w:top w:val="nil"/>
              <w:left w:val="nil"/>
              <w:bottom w:val="nil"/>
              <w:right w:val="nil"/>
            </w:tcBorders>
            <w:shd w:val="clear" w:color="auto" w:fill="F2F2F2" w:themeFill="background1" w:themeFillShade="F2"/>
            <w:vAlign w:val="bottom"/>
          </w:tcPr>
          <w:p w14:paraId="036E61C5" w14:textId="5F7B321C"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0.14 (0.1;0.18)</w:t>
            </w:r>
          </w:p>
        </w:tc>
        <w:tc>
          <w:tcPr>
            <w:tcW w:w="833" w:type="pct"/>
            <w:tcBorders>
              <w:top w:val="nil"/>
              <w:left w:val="nil"/>
              <w:bottom w:val="nil"/>
              <w:right w:val="nil"/>
            </w:tcBorders>
            <w:shd w:val="clear" w:color="auto" w:fill="F2F2F2" w:themeFill="background1" w:themeFillShade="F2"/>
            <w:vAlign w:val="bottom"/>
          </w:tcPr>
          <w:p w14:paraId="3CA96243" w14:textId="143E4FCA"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0.22 (0.2;0.24)</w:t>
            </w:r>
          </w:p>
        </w:tc>
        <w:tc>
          <w:tcPr>
            <w:tcW w:w="833" w:type="pct"/>
            <w:tcBorders>
              <w:top w:val="nil"/>
              <w:left w:val="nil"/>
              <w:bottom w:val="nil"/>
              <w:right w:val="nil"/>
            </w:tcBorders>
            <w:shd w:val="clear" w:color="auto" w:fill="F2F2F2" w:themeFill="background1" w:themeFillShade="F2"/>
            <w:vAlign w:val="bottom"/>
          </w:tcPr>
          <w:p w14:paraId="492B77CF" w14:textId="3587B646"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0.2 (0.15;0.23)</w:t>
            </w:r>
          </w:p>
        </w:tc>
      </w:tr>
      <w:tr w:rsidR="00BB0C82" w:rsidRPr="00445A65" w14:paraId="7E01A29C" w14:textId="77777777" w:rsidTr="00ED4A5F">
        <w:trPr>
          <w:trHeight w:val="290"/>
        </w:trPr>
        <w:tc>
          <w:tcPr>
            <w:tcW w:w="834" w:type="pct"/>
            <w:tcBorders>
              <w:top w:val="nil"/>
              <w:left w:val="nil"/>
              <w:bottom w:val="nil"/>
              <w:right w:val="single" w:sz="4" w:space="0" w:color="auto"/>
            </w:tcBorders>
            <w:vAlign w:val="center"/>
          </w:tcPr>
          <w:p w14:paraId="52136C49" w14:textId="77777777" w:rsidR="00BB0C82" w:rsidRPr="00445A65"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Sanofi Pasteur</w:t>
            </w:r>
          </w:p>
        </w:tc>
        <w:tc>
          <w:tcPr>
            <w:tcW w:w="834" w:type="pct"/>
            <w:tcBorders>
              <w:top w:val="nil"/>
              <w:left w:val="single" w:sz="4" w:space="0" w:color="auto"/>
              <w:bottom w:val="nil"/>
              <w:right w:val="nil"/>
            </w:tcBorders>
            <w:vAlign w:val="bottom"/>
          </w:tcPr>
          <w:p w14:paraId="4E2E0143" w14:textId="3268769E"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-0.41 (-1.07;-0.03)</w:t>
            </w:r>
          </w:p>
        </w:tc>
        <w:tc>
          <w:tcPr>
            <w:tcW w:w="833" w:type="pct"/>
            <w:tcBorders>
              <w:top w:val="nil"/>
              <w:left w:val="nil"/>
              <w:bottom w:val="nil"/>
              <w:right w:val="nil"/>
            </w:tcBorders>
            <w:vAlign w:val="bottom"/>
          </w:tcPr>
          <w:p w14:paraId="55F351E3" w14:textId="6C9B6768" w:rsidR="00BB0C82" w:rsidRPr="00BB0C82" w:rsidRDefault="00BB0C82" w:rsidP="00BB0C82">
            <w:pPr>
              <w:autoSpaceDE w:val="0"/>
              <w:autoSpaceDN w:val="0"/>
              <w:adjustRightInd w:val="0"/>
              <w:spacing w:after="0" w:line="240" w:lineRule="auto"/>
              <w:jc w:val="center"/>
              <w:rPr>
                <w:rFonts w:ascii="Calibri" w:hAnsi="Calibri" w:cs="Calibri"/>
                <w:color w:val="000000" w:themeColor="text1"/>
                <w:sz w:val="16"/>
                <w:szCs w:val="16"/>
              </w:rPr>
            </w:pPr>
            <w:r w:rsidRPr="00ED4A5F">
              <w:rPr>
                <w:rFonts w:ascii="Calibri" w:hAnsi="Calibri" w:cs="Calibri"/>
                <w:color w:val="000000"/>
                <w:sz w:val="16"/>
                <w:szCs w:val="16"/>
              </w:rPr>
              <w:t>0.15 (0.05;0.27)</w:t>
            </w:r>
          </w:p>
        </w:tc>
        <w:tc>
          <w:tcPr>
            <w:tcW w:w="833" w:type="pct"/>
            <w:tcBorders>
              <w:top w:val="nil"/>
              <w:left w:val="nil"/>
              <w:bottom w:val="nil"/>
              <w:right w:val="nil"/>
            </w:tcBorders>
            <w:vAlign w:val="bottom"/>
          </w:tcPr>
          <w:p w14:paraId="7299568A" w14:textId="20DB0315"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0.21 (0.12;0.31)</w:t>
            </w:r>
          </w:p>
        </w:tc>
        <w:tc>
          <w:tcPr>
            <w:tcW w:w="833" w:type="pct"/>
            <w:tcBorders>
              <w:top w:val="nil"/>
              <w:left w:val="nil"/>
              <w:bottom w:val="nil"/>
              <w:right w:val="nil"/>
            </w:tcBorders>
            <w:vAlign w:val="bottom"/>
          </w:tcPr>
          <w:p w14:paraId="7F99ED9B" w14:textId="0D1211AD"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0.25 (0.2;0.34)</w:t>
            </w:r>
          </w:p>
        </w:tc>
        <w:tc>
          <w:tcPr>
            <w:tcW w:w="833" w:type="pct"/>
            <w:tcBorders>
              <w:top w:val="nil"/>
              <w:left w:val="nil"/>
              <w:bottom w:val="nil"/>
              <w:right w:val="nil"/>
            </w:tcBorders>
            <w:vAlign w:val="bottom"/>
          </w:tcPr>
          <w:p w14:paraId="4F3D4EB7" w14:textId="093CD38C"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0.22 (0.17;0.27)</w:t>
            </w:r>
          </w:p>
        </w:tc>
      </w:tr>
      <w:tr w:rsidR="00BB0C82" w:rsidRPr="00445A65" w14:paraId="2C40917D" w14:textId="77777777" w:rsidTr="00ED4A5F">
        <w:trPr>
          <w:trHeight w:val="290"/>
        </w:trPr>
        <w:tc>
          <w:tcPr>
            <w:tcW w:w="834" w:type="pct"/>
            <w:tcBorders>
              <w:top w:val="nil"/>
              <w:left w:val="nil"/>
              <w:bottom w:val="nil"/>
              <w:right w:val="single" w:sz="4" w:space="0" w:color="auto"/>
            </w:tcBorders>
            <w:shd w:val="clear" w:color="auto" w:fill="F2F2F2" w:themeFill="background1" w:themeFillShade="F2"/>
            <w:vAlign w:val="center"/>
          </w:tcPr>
          <w:p w14:paraId="1FC83C9A" w14:textId="77777777" w:rsidR="00BB0C82" w:rsidRPr="00445A65"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UF</w:t>
            </w:r>
          </w:p>
        </w:tc>
        <w:tc>
          <w:tcPr>
            <w:tcW w:w="834" w:type="pct"/>
            <w:tcBorders>
              <w:top w:val="nil"/>
              <w:left w:val="single" w:sz="4" w:space="0" w:color="auto"/>
              <w:bottom w:val="nil"/>
              <w:right w:val="nil"/>
            </w:tcBorders>
            <w:shd w:val="clear" w:color="auto" w:fill="F2F2F2" w:themeFill="background1" w:themeFillShade="F2"/>
            <w:vAlign w:val="bottom"/>
          </w:tcPr>
          <w:p w14:paraId="5FC99238" w14:textId="7D8C5016"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-0.14 (-0.2;-0.08)</w:t>
            </w:r>
          </w:p>
        </w:tc>
        <w:tc>
          <w:tcPr>
            <w:tcW w:w="833" w:type="pct"/>
            <w:tcBorders>
              <w:top w:val="nil"/>
              <w:left w:val="nil"/>
              <w:bottom w:val="nil"/>
              <w:right w:val="nil"/>
            </w:tcBorders>
            <w:shd w:val="clear" w:color="auto" w:fill="F2F2F2" w:themeFill="background1" w:themeFillShade="F2"/>
            <w:vAlign w:val="bottom"/>
          </w:tcPr>
          <w:p w14:paraId="52FB69F9" w14:textId="0AE95EF8"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0.08 (0.05;0.12)</w:t>
            </w:r>
          </w:p>
        </w:tc>
        <w:tc>
          <w:tcPr>
            <w:tcW w:w="833" w:type="pct"/>
            <w:tcBorders>
              <w:top w:val="nil"/>
              <w:left w:val="nil"/>
              <w:bottom w:val="nil"/>
              <w:right w:val="nil"/>
            </w:tcBorders>
            <w:shd w:val="clear" w:color="auto" w:fill="F2F2F2" w:themeFill="background1" w:themeFillShade="F2"/>
            <w:vAlign w:val="bottom"/>
          </w:tcPr>
          <w:p w14:paraId="121D6A6C" w14:textId="35ED170D"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0.17 (0.15;0.19)</w:t>
            </w:r>
          </w:p>
        </w:tc>
        <w:tc>
          <w:tcPr>
            <w:tcW w:w="833" w:type="pct"/>
            <w:tcBorders>
              <w:top w:val="nil"/>
              <w:left w:val="nil"/>
              <w:bottom w:val="nil"/>
              <w:right w:val="nil"/>
            </w:tcBorders>
            <w:shd w:val="clear" w:color="auto" w:fill="F2F2F2" w:themeFill="background1" w:themeFillShade="F2"/>
            <w:vAlign w:val="bottom"/>
          </w:tcPr>
          <w:p w14:paraId="0D887978" w14:textId="639A2816"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0.17 (0.15;0.19)</w:t>
            </w:r>
          </w:p>
        </w:tc>
        <w:tc>
          <w:tcPr>
            <w:tcW w:w="833" w:type="pct"/>
            <w:tcBorders>
              <w:top w:val="nil"/>
              <w:left w:val="nil"/>
              <w:bottom w:val="nil"/>
              <w:right w:val="nil"/>
            </w:tcBorders>
            <w:shd w:val="clear" w:color="auto" w:fill="F2F2F2" w:themeFill="background1" w:themeFillShade="F2"/>
            <w:vAlign w:val="bottom"/>
          </w:tcPr>
          <w:p w14:paraId="47A8A7F7" w14:textId="2C00B015" w:rsidR="00BB0C82" w:rsidRPr="00BB0C82"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0.14 (0.12;0.16)</w:t>
            </w:r>
          </w:p>
        </w:tc>
      </w:tr>
      <w:tr w:rsidR="00BB0C82" w:rsidRPr="00445A65" w14:paraId="74A9D13B" w14:textId="77777777" w:rsidTr="00ED4A5F">
        <w:trPr>
          <w:trHeight w:val="290"/>
        </w:trPr>
        <w:tc>
          <w:tcPr>
            <w:tcW w:w="834" w:type="pct"/>
            <w:tcBorders>
              <w:top w:val="nil"/>
              <w:left w:val="nil"/>
              <w:bottom w:val="nil"/>
              <w:right w:val="single" w:sz="4" w:space="0" w:color="auto"/>
            </w:tcBorders>
            <w:shd w:val="clear" w:color="auto" w:fill="FFFFFF" w:themeFill="background1"/>
            <w:vAlign w:val="center"/>
          </w:tcPr>
          <w:p w14:paraId="441A2B52" w14:textId="77777777" w:rsidR="00BB0C82" w:rsidRPr="00445A65" w:rsidRDefault="00BB0C82" w:rsidP="00BB0C82">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color w:val="000000" w:themeColor="text1"/>
                <w:sz w:val="16"/>
                <w:szCs w:val="16"/>
              </w:rPr>
              <w:t>UWA</w:t>
            </w:r>
          </w:p>
        </w:tc>
        <w:tc>
          <w:tcPr>
            <w:tcW w:w="834" w:type="pct"/>
            <w:tcBorders>
              <w:top w:val="nil"/>
              <w:left w:val="single" w:sz="4" w:space="0" w:color="auto"/>
              <w:bottom w:val="nil"/>
              <w:right w:val="nil"/>
            </w:tcBorders>
            <w:shd w:val="clear" w:color="auto" w:fill="FFFFFF" w:themeFill="background1"/>
            <w:vAlign w:val="bottom"/>
          </w:tcPr>
          <w:p w14:paraId="3AFCCA7F" w14:textId="316FD22C" w:rsidR="00BB0C82" w:rsidRPr="00BB0C82" w:rsidRDefault="00BB0C82" w:rsidP="00BB0C82">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-0.18 (-0.36;0.01)</w:t>
            </w:r>
          </w:p>
        </w:tc>
        <w:tc>
          <w:tcPr>
            <w:tcW w:w="833" w:type="pct"/>
            <w:tcBorders>
              <w:top w:val="nil"/>
              <w:left w:val="nil"/>
              <w:bottom w:val="nil"/>
              <w:right w:val="nil"/>
            </w:tcBorders>
            <w:shd w:val="clear" w:color="auto" w:fill="FFFFFF" w:themeFill="background1"/>
            <w:vAlign w:val="bottom"/>
          </w:tcPr>
          <w:p w14:paraId="0EF13E96" w14:textId="29DEB2D5" w:rsidR="00BB0C82" w:rsidRPr="00BB0C82" w:rsidRDefault="00BB0C82" w:rsidP="00BB0C82">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0.08 (0.01;0.14)</w:t>
            </w:r>
          </w:p>
        </w:tc>
        <w:tc>
          <w:tcPr>
            <w:tcW w:w="833" w:type="pct"/>
            <w:tcBorders>
              <w:top w:val="nil"/>
              <w:left w:val="nil"/>
              <w:bottom w:val="nil"/>
              <w:right w:val="nil"/>
            </w:tcBorders>
            <w:shd w:val="clear" w:color="auto" w:fill="FFFFFF" w:themeFill="background1"/>
            <w:vAlign w:val="bottom"/>
          </w:tcPr>
          <w:p w14:paraId="57FAA8CD" w14:textId="5F7F6ED7" w:rsidR="00BB0C82" w:rsidRPr="00BB0C82" w:rsidRDefault="00BB0C82" w:rsidP="00BB0C82">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0.21 (0.19;0.23)</w:t>
            </w:r>
          </w:p>
        </w:tc>
        <w:tc>
          <w:tcPr>
            <w:tcW w:w="833" w:type="pct"/>
            <w:tcBorders>
              <w:top w:val="nil"/>
              <w:left w:val="nil"/>
              <w:bottom w:val="nil"/>
              <w:right w:val="nil"/>
            </w:tcBorders>
            <w:shd w:val="clear" w:color="auto" w:fill="FFFFFF" w:themeFill="background1"/>
            <w:vAlign w:val="bottom"/>
          </w:tcPr>
          <w:p w14:paraId="462AB609" w14:textId="36CC29AA" w:rsidR="00BB0C82" w:rsidRPr="00BB0C82" w:rsidRDefault="00BB0C82" w:rsidP="00BB0C82">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0.23 (0.22;0.24)</w:t>
            </w:r>
          </w:p>
        </w:tc>
        <w:tc>
          <w:tcPr>
            <w:tcW w:w="833" w:type="pct"/>
            <w:tcBorders>
              <w:top w:val="nil"/>
              <w:left w:val="nil"/>
              <w:bottom w:val="nil"/>
              <w:right w:val="nil"/>
            </w:tcBorders>
            <w:shd w:val="clear" w:color="auto" w:fill="FFFFFF" w:themeFill="background1"/>
            <w:vAlign w:val="bottom"/>
          </w:tcPr>
          <w:p w14:paraId="6F9650E2" w14:textId="51672663" w:rsidR="00BB0C82" w:rsidRPr="00BB0C82" w:rsidRDefault="00BB0C82" w:rsidP="00BB0C82">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0.2 (0.18;0.21)</w:t>
            </w:r>
          </w:p>
        </w:tc>
      </w:tr>
      <w:tr w:rsidR="00445A65" w:rsidRPr="00445A65" w14:paraId="0123B8B5" w14:textId="77777777" w:rsidTr="00F961CB">
        <w:trPr>
          <w:trHeight w:val="290"/>
        </w:trPr>
        <w:tc>
          <w:tcPr>
            <w:tcW w:w="834" w:type="pct"/>
            <w:tcBorders>
              <w:top w:val="nil"/>
              <w:left w:val="nil"/>
              <w:bottom w:val="nil"/>
              <w:right w:val="nil"/>
            </w:tcBorders>
          </w:tcPr>
          <w:p w14:paraId="31CCAA43"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834" w:type="pct"/>
            <w:tcBorders>
              <w:top w:val="nil"/>
              <w:left w:val="nil"/>
              <w:bottom w:val="nil"/>
              <w:right w:val="nil"/>
            </w:tcBorders>
          </w:tcPr>
          <w:p w14:paraId="13ACA07D"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833" w:type="pct"/>
            <w:tcBorders>
              <w:top w:val="nil"/>
              <w:left w:val="nil"/>
              <w:bottom w:val="nil"/>
              <w:right w:val="nil"/>
            </w:tcBorders>
          </w:tcPr>
          <w:p w14:paraId="60958E36"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833" w:type="pct"/>
            <w:tcBorders>
              <w:top w:val="nil"/>
              <w:left w:val="nil"/>
              <w:bottom w:val="nil"/>
              <w:right w:val="nil"/>
            </w:tcBorders>
          </w:tcPr>
          <w:p w14:paraId="647D8D4C"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833" w:type="pct"/>
            <w:tcBorders>
              <w:top w:val="nil"/>
              <w:left w:val="nil"/>
              <w:bottom w:val="nil"/>
              <w:right w:val="nil"/>
            </w:tcBorders>
          </w:tcPr>
          <w:p w14:paraId="3FA29B17"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833" w:type="pct"/>
            <w:tcBorders>
              <w:top w:val="nil"/>
              <w:left w:val="nil"/>
              <w:bottom w:val="nil"/>
              <w:right w:val="nil"/>
            </w:tcBorders>
          </w:tcPr>
          <w:p w14:paraId="5C248C35"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r>
    </w:tbl>
    <w:p w14:paraId="52719700" w14:textId="77777777" w:rsidR="00445A65" w:rsidRPr="00445A65" w:rsidRDefault="00445A65" w:rsidP="00445A65">
      <w:pPr>
        <w:rPr>
          <w:color w:val="000000" w:themeColor="text1"/>
        </w:rPr>
      </w:pPr>
    </w:p>
    <w:p w14:paraId="4E04B49D" w14:textId="77777777" w:rsidR="00ED4A5F" w:rsidRDefault="00ED4A5F">
      <w:pPr>
        <w:rPr>
          <w:b/>
          <w:iCs/>
          <w:color w:val="000000" w:themeColor="text1"/>
          <w:szCs w:val="18"/>
        </w:rPr>
      </w:pPr>
      <w:bookmarkStart w:id="12" w:name="_Ref448918200"/>
      <w:r>
        <w:rPr>
          <w:color w:val="000000" w:themeColor="text1"/>
        </w:rPr>
        <w:br w:type="page"/>
      </w:r>
    </w:p>
    <w:p w14:paraId="6ABAAB06" w14:textId="54D50B76" w:rsidR="00445A65" w:rsidRPr="00445A65" w:rsidRDefault="00445A65" w:rsidP="00445A65">
      <w:pPr>
        <w:pStyle w:val="Caption"/>
        <w:keepNext/>
        <w:rPr>
          <w:color w:val="000000" w:themeColor="text1"/>
        </w:rPr>
      </w:pPr>
      <w:r w:rsidRPr="00445A65">
        <w:rPr>
          <w:color w:val="000000" w:themeColor="text1"/>
        </w:rPr>
        <w:lastRenderedPageBreak/>
        <w:t xml:space="preserve">Table </w:t>
      </w:r>
      <w:bookmarkEnd w:id="12"/>
      <w:r w:rsidR="00E3248D">
        <w:rPr>
          <w:color w:val="000000" w:themeColor="text1"/>
        </w:rPr>
        <w:t xml:space="preserve">E </w:t>
      </w:r>
      <w:r w:rsidRPr="00445A65">
        <w:rPr>
          <w:color w:val="000000" w:themeColor="text1"/>
        </w:rPr>
        <w:t>a-c: The number of symptomatic and hospitalised DENV cases averted per 100,000 population in the first vaccinated cohort within 30 years after vaccination. The effects of vaccination are shown for three groups: (a) the complete first vaccinated cohort, (b) those individuals who were seronegative at time of vaccination and (c) those who were seropositive at time of vaccination. The Hopkins model could not reliably follow cohorts as the age bands considered in the model were too wide.</w:t>
      </w:r>
    </w:p>
    <w:p w14:paraId="163FEA30" w14:textId="77777777" w:rsidR="00445A65" w:rsidRPr="00445A65" w:rsidRDefault="00445A65" w:rsidP="00445A65">
      <w:pPr>
        <w:rPr>
          <w:color w:val="000000" w:themeColor="text1"/>
        </w:rPr>
      </w:pPr>
    </w:p>
    <w:tbl>
      <w:tblPr>
        <w:tblW w:w="0" w:type="auto"/>
        <w:tblLook w:val="0000" w:firstRow="0" w:lastRow="0" w:firstColumn="0" w:lastColumn="0" w:noHBand="0" w:noVBand="0"/>
      </w:tblPr>
      <w:tblGrid>
        <w:gridCol w:w="1276"/>
        <w:gridCol w:w="1559"/>
        <w:gridCol w:w="1418"/>
        <w:gridCol w:w="1495"/>
        <w:gridCol w:w="1366"/>
        <w:gridCol w:w="1366"/>
      </w:tblGrid>
      <w:tr w:rsidR="00006D85" w:rsidRPr="00445A65" w14:paraId="629FA95B" w14:textId="77777777" w:rsidTr="00ED4A5F">
        <w:trPr>
          <w:trHeight w:val="290"/>
        </w:trPr>
        <w:tc>
          <w:tcPr>
            <w:tcW w:w="1276" w:type="dxa"/>
            <w:tcBorders>
              <w:top w:val="nil"/>
              <w:left w:val="nil"/>
              <w:bottom w:val="single" w:sz="4" w:space="0" w:color="auto"/>
              <w:right w:val="single" w:sz="4" w:space="0" w:color="auto"/>
            </w:tcBorders>
            <w:vAlign w:val="center"/>
          </w:tcPr>
          <w:p w14:paraId="2D07E138" w14:textId="77777777" w:rsidR="00445A65" w:rsidRPr="00445A65" w:rsidRDefault="00445A65" w:rsidP="00C51D6D">
            <w:pPr>
              <w:autoSpaceDE w:val="0"/>
              <w:autoSpaceDN w:val="0"/>
              <w:adjustRightInd w:val="0"/>
              <w:spacing w:line="240" w:lineRule="auto"/>
              <w:jc w:val="center"/>
              <w:rPr>
                <w:rFonts w:ascii="Calibri" w:hAnsi="Calibri" w:cs="Calibri"/>
                <w:b/>
                <w:color w:val="000000" w:themeColor="text1"/>
                <w:sz w:val="16"/>
                <w:szCs w:val="16"/>
              </w:rPr>
            </w:pPr>
            <w:r w:rsidRPr="00445A65">
              <w:rPr>
                <w:rFonts w:ascii="Calibri" w:hAnsi="Calibri" w:cs="Calibri"/>
                <w:b/>
                <w:color w:val="000000" w:themeColor="text1"/>
                <w:sz w:val="16"/>
                <w:szCs w:val="16"/>
              </w:rPr>
              <w:t>(a)</w:t>
            </w:r>
          </w:p>
        </w:tc>
        <w:tc>
          <w:tcPr>
            <w:tcW w:w="1559" w:type="dxa"/>
            <w:tcBorders>
              <w:top w:val="nil"/>
              <w:left w:val="single" w:sz="4" w:space="0" w:color="auto"/>
              <w:bottom w:val="single" w:sz="4" w:space="0" w:color="auto"/>
              <w:right w:val="nil"/>
            </w:tcBorders>
            <w:vAlign w:val="center"/>
          </w:tcPr>
          <w:p w14:paraId="2257FA83"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SP9=10%</w:t>
            </w:r>
          </w:p>
        </w:tc>
        <w:tc>
          <w:tcPr>
            <w:tcW w:w="1418" w:type="dxa"/>
            <w:tcBorders>
              <w:top w:val="nil"/>
              <w:left w:val="nil"/>
              <w:bottom w:val="single" w:sz="4" w:space="0" w:color="auto"/>
              <w:right w:val="nil"/>
            </w:tcBorders>
            <w:vAlign w:val="center"/>
          </w:tcPr>
          <w:p w14:paraId="24322CE9"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SP9=30%</w:t>
            </w:r>
          </w:p>
        </w:tc>
        <w:tc>
          <w:tcPr>
            <w:tcW w:w="1495" w:type="dxa"/>
            <w:tcBorders>
              <w:top w:val="nil"/>
              <w:left w:val="nil"/>
              <w:bottom w:val="single" w:sz="4" w:space="0" w:color="auto"/>
              <w:right w:val="nil"/>
            </w:tcBorders>
            <w:vAlign w:val="center"/>
          </w:tcPr>
          <w:p w14:paraId="33F1BEC3"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SP9=50%</w:t>
            </w:r>
          </w:p>
        </w:tc>
        <w:tc>
          <w:tcPr>
            <w:tcW w:w="0" w:type="auto"/>
            <w:tcBorders>
              <w:top w:val="nil"/>
              <w:left w:val="nil"/>
              <w:bottom w:val="single" w:sz="4" w:space="0" w:color="auto"/>
              <w:right w:val="nil"/>
            </w:tcBorders>
            <w:vAlign w:val="center"/>
          </w:tcPr>
          <w:p w14:paraId="5C3009B1"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SP9=70%</w:t>
            </w:r>
          </w:p>
        </w:tc>
        <w:tc>
          <w:tcPr>
            <w:tcW w:w="0" w:type="auto"/>
            <w:tcBorders>
              <w:top w:val="nil"/>
              <w:left w:val="nil"/>
              <w:bottom w:val="single" w:sz="4" w:space="0" w:color="auto"/>
              <w:right w:val="nil"/>
            </w:tcBorders>
            <w:vAlign w:val="center"/>
          </w:tcPr>
          <w:p w14:paraId="39F0B6C0"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SP9=90%</w:t>
            </w:r>
          </w:p>
        </w:tc>
      </w:tr>
      <w:tr w:rsidR="00006D85" w:rsidRPr="00445A65" w14:paraId="7ACA5C71" w14:textId="77777777" w:rsidTr="00ED4A5F">
        <w:trPr>
          <w:trHeight w:val="290"/>
        </w:trPr>
        <w:tc>
          <w:tcPr>
            <w:tcW w:w="1276" w:type="dxa"/>
            <w:tcBorders>
              <w:top w:val="single" w:sz="4" w:space="0" w:color="auto"/>
              <w:left w:val="nil"/>
              <w:bottom w:val="nil"/>
              <w:right w:val="single" w:sz="4" w:space="0" w:color="auto"/>
            </w:tcBorders>
            <w:shd w:val="clear" w:color="auto" w:fill="F2F2F2" w:themeFill="background1" w:themeFillShade="F2"/>
            <w:vAlign w:val="center"/>
          </w:tcPr>
          <w:p w14:paraId="2230FE73"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Duke</w:t>
            </w:r>
          </w:p>
        </w:tc>
        <w:tc>
          <w:tcPr>
            <w:tcW w:w="1559" w:type="dxa"/>
            <w:tcBorders>
              <w:top w:val="single" w:sz="4" w:space="0" w:color="auto"/>
              <w:left w:val="single" w:sz="4" w:space="0" w:color="auto"/>
              <w:right w:val="nil"/>
            </w:tcBorders>
            <w:shd w:val="clear" w:color="auto" w:fill="F2F2F2" w:themeFill="background1" w:themeFillShade="F2"/>
            <w:vAlign w:val="center"/>
          </w:tcPr>
          <w:p w14:paraId="4C9E34F4" w14:textId="7D3896AD"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-551 (-1180;198)</w:t>
            </w:r>
          </w:p>
        </w:tc>
        <w:tc>
          <w:tcPr>
            <w:tcW w:w="1418" w:type="dxa"/>
            <w:tcBorders>
              <w:top w:val="single" w:sz="4" w:space="0" w:color="auto"/>
              <w:left w:val="nil"/>
              <w:right w:val="nil"/>
            </w:tcBorders>
            <w:shd w:val="clear" w:color="auto" w:fill="F2F2F2" w:themeFill="background1" w:themeFillShade="F2"/>
            <w:vAlign w:val="center"/>
          </w:tcPr>
          <w:p w14:paraId="6C6250CD" w14:textId="4213BD77"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-245 (-1130;1000)</w:t>
            </w:r>
          </w:p>
        </w:tc>
        <w:tc>
          <w:tcPr>
            <w:tcW w:w="1495" w:type="dxa"/>
            <w:tcBorders>
              <w:top w:val="single" w:sz="4" w:space="0" w:color="auto"/>
              <w:left w:val="nil"/>
              <w:right w:val="nil"/>
            </w:tcBorders>
            <w:shd w:val="clear" w:color="auto" w:fill="F2F2F2" w:themeFill="background1" w:themeFillShade="F2"/>
            <w:vAlign w:val="center"/>
          </w:tcPr>
          <w:p w14:paraId="12C2B259" w14:textId="0A5863C3"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1320 (-161;2430)</w:t>
            </w:r>
          </w:p>
        </w:tc>
        <w:tc>
          <w:tcPr>
            <w:tcW w:w="0" w:type="auto"/>
            <w:tcBorders>
              <w:top w:val="single" w:sz="4" w:space="0" w:color="auto"/>
              <w:left w:val="nil"/>
              <w:right w:val="nil"/>
            </w:tcBorders>
            <w:shd w:val="clear" w:color="auto" w:fill="F2F2F2" w:themeFill="background1" w:themeFillShade="F2"/>
            <w:vAlign w:val="center"/>
          </w:tcPr>
          <w:p w14:paraId="5240CD22" w14:textId="7BF7E808"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2380 (1480;3250)</w:t>
            </w:r>
          </w:p>
        </w:tc>
        <w:tc>
          <w:tcPr>
            <w:tcW w:w="0" w:type="auto"/>
            <w:tcBorders>
              <w:top w:val="single" w:sz="4" w:space="0" w:color="auto"/>
              <w:left w:val="nil"/>
              <w:right w:val="nil"/>
            </w:tcBorders>
            <w:shd w:val="clear" w:color="auto" w:fill="F2F2F2" w:themeFill="background1" w:themeFillShade="F2"/>
            <w:vAlign w:val="center"/>
          </w:tcPr>
          <w:p w14:paraId="1B0A7229" w14:textId="708D83F3"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1810 (978;2380)</w:t>
            </w:r>
          </w:p>
        </w:tc>
      </w:tr>
      <w:tr w:rsidR="00006D85" w:rsidRPr="00445A65" w14:paraId="579E9E41" w14:textId="77777777" w:rsidTr="00ED4A5F">
        <w:trPr>
          <w:trHeight w:val="290"/>
        </w:trPr>
        <w:tc>
          <w:tcPr>
            <w:tcW w:w="1276" w:type="dxa"/>
            <w:tcBorders>
              <w:top w:val="nil"/>
              <w:left w:val="nil"/>
              <w:bottom w:val="nil"/>
              <w:right w:val="single" w:sz="4" w:space="0" w:color="auto"/>
            </w:tcBorders>
            <w:vAlign w:val="center"/>
          </w:tcPr>
          <w:p w14:paraId="40495B2E"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Exeter/Oxford</w:t>
            </w:r>
          </w:p>
        </w:tc>
        <w:tc>
          <w:tcPr>
            <w:tcW w:w="1559" w:type="dxa"/>
            <w:tcBorders>
              <w:top w:val="nil"/>
              <w:left w:val="single" w:sz="4" w:space="0" w:color="auto"/>
              <w:bottom w:val="nil"/>
              <w:right w:val="nil"/>
            </w:tcBorders>
            <w:vAlign w:val="center"/>
          </w:tcPr>
          <w:p w14:paraId="593BBE90" w14:textId="000BE3AA"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-517 (-574;-461)</w:t>
            </w:r>
          </w:p>
        </w:tc>
        <w:tc>
          <w:tcPr>
            <w:tcW w:w="1418" w:type="dxa"/>
            <w:tcBorders>
              <w:top w:val="nil"/>
              <w:left w:val="nil"/>
              <w:bottom w:val="nil"/>
              <w:right w:val="nil"/>
            </w:tcBorders>
            <w:vAlign w:val="center"/>
          </w:tcPr>
          <w:p w14:paraId="640A85C2" w14:textId="632990E6"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86 (76;96)</w:t>
            </w:r>
          </w:p>
        </w:tc>
        <w:tc>
          <w:tcPr>
            <w:tcW w:w="1495" w:type="dxa"/>
            <w:tcBorders>
              <w:top w:val="nil"/>
              <w:left w:val="nil"/>
              <w:bottom w:val="nil"/>
              <w:right w:val="nil"/>
            </w:tcBorders>
            <w:vAlign w:val="center"/>
          </w:tcPr>
          <w:p w14:paraId="02BA4F74" w14:textId="4CA8C4D6"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1822 (1647;1998)</w:t>
            </w:r>
          </w:p>
        </w:tc>
        <w:tc>
          <w:tcPr>
            <w:tcW w:w="0" w:type="auto"/>
            <w:tcBorders>
              <w:top w:val="nil"/>
              <w:left w:val="nil"/>
              <w:bottom w:val="nil"/>
              <w:right w:val="nil"/>
            </w:tcBorders>
            <w:vAlign w:val="center"/>
          </w:tcPr>
          <w:p w14:paraId="4086BECD" w14:textId="019421D5"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3278 (2972;3583)</w:t>
            </w:r>
          </w:p>
        </w:tc>
        <w:tc>
          <w:tcPr>
            <w:tcW w:w="0" w:type="auto"/>
            <w:tcBorders>
              <w:top w:val="nil"/>
              <w:left w:val="nil"/>
              <w:bottom w:val="nil"/>
              <w:right w:val="nil"/>
            </w:tcBorders>
            <w:vAlign w:val="center"/>
          </w:tcPr>
          <w:p w14:paraId="0C529805" w14:textId="2AE2A4EC"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3460 (3160;3760)</w:t>
            </w:r>
          </w:p>
        </w:tc>
      </w:tr>
      <w:tr w:rsidR="00006D85" w:rsidRPr="00445A65" w14:paraId="07D68218" w14:textId="77777777" w:rsidTr="00ED4A5F">
        <w:trPr>
          <w:trHeight w:val="290"/>
        </w:trPr>
        <w:tc>
          <w:tcPr>
            <w:tcW w:w="1276" w:type="dxa"/>
            <w:tcBorders>
              <w:top w:val="nil"/>
              <w:left w:val="nil"/>
              <w:bottom w:val="nil"/>
              <w:right w:val="single" w:sz="4" w:space="0" w:color="auto"/>
            </w:tcBorders>
            <w:shd w:val="clear" w:color="auto" w:fill="F2F2F2" w:themeFill="background1" w:themeFillShade="F2"/>
            <w:vAlign w:val="center"/>
          </w:tcPr>
          <w:p w14:paraId="7B2A046B" w14:textId="77777777" w:rsidR="00C51D6D" w:rsidRPr="00445A65" w:rsidRDefault="00C51D6D" w:rsidP="00C51D6D">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Hopkins/UF</w:t>
            </w:r>
          </w:p>
        </w:tc>
        <w:tc>
          <w:tcPr>
            <w:tcW w:w="1559" w:type="dxa"/>
            <w:tcBorders>
              <w:top w:val="nil"/>
              <w:left w:val="single" w:sz="4" w:space="0" w:color="auto"/>
              <w:bottom w:val="nil"/>
              <w:right w:val="nil"/>
            </w:tcBorders>
            <w:shd w:val="clear" w:color="auto" w:fill="F2F2F2" w:themeFill="background1" w:themeFillShade="F2"/>
            <w:vAlign w:val="center"/>
          </w:tcPr>
          <w:p w14:paraId="15F870CA" w14:textId="1C4367AA" w:rsidR="00C51D6D" w:rsidRPr="00C51D6D" w:rsidRDefault="00C51D6D">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p>
        </w:tc>
        <w:tc>
          <w:tcPr>
            <w:tcW w:w="1418" w:type="dxa"/>
            <w:tcBorders>
              <w:top w:val="nil"/>
              <w:left w:val="nil"/>
              <w:bottom w:val="nil"/>
              <w:right w:val="nil"/>
            </w:tcBorders>
            <w:shd w:val="clear" w:color="auto" w:fill="F2F2F2" w:themeFill="background1" w:themeFillShade="F2"/>
            <w:vAlign w:val="center"/>
          </w:tcPr>
          <w:p w14:paraId="770BA8DB" w14:textId="2E62B841" w:rsidR="00C51D6D" w:rsidRPr="00C51D6D" w:rsidRDefault="00C51D6D">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p>
        </w:tc>
        <w:tc>
          <w:tcPr>
            <w:tcW w:w="1495" w:type="dxa"/>
            <w:tcBorders>
              <w:top w:val="nil"/>
              <w:left w:val="nil"/>
              <w:bottom w:val="nil"/>
              <w:right w:val="nil"/>
            </w:tcBorders>
            <w:shd w:val="clear" w:color="auto" w:fill="F2F2F2" w:themeFill="background1" w:themeFillShade="F2"/>
            <w:vAlign w:val="center"/>
          </w:tcPr>
          <w:p w14:paraId="1559D199" w14:textId="2B2B121D" w:rsidR="00C51D6D" w:rsidRPr="00C51D6D" w:rsidRDefault="00C51D6D">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p>
        </w:tc>
        <w:tc>
          <w:tcPr>
            <w:tcW w:w="0" w:type="auto"/>
            <w:tcBorders>
              <w:top w:val="nil"/>
              <w:left w:val="nil"/>
              <w:bottom w:val="nil"/>
              <w:right w:val="nil"/>
            </w:tcBorders>
            <w:shd w:val="clear" w:color="auto" w:fill="F2F2F2" w:themeFill="background1" w:themeFillShade="F2"/>
            <w:vAlign w:val="center"/>
          </w:tcPr>
          <w:p w14:paraId="31CA8DC2" w14:textId="15DF1B68" w:rsidR="00C51D6D" w:rsidRPr="00C51D6D" w:rsidRDefault="00C51D6D">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p>
        </w:tc>
        <w:tc>
          <w:tcPr>
            <w:tcW w:w="0" w:type="auto"/>
            <w:tcBorders>
              <w:top w:val="nil"/>
              <w:left w:val="nil"/>
              <w:bottom w:val="nil"/>
              <w:right w:val="nil"/>
            </w:tcBorders>
            <w:shd w:val="clear" w:color="auto" w:fill="F2F2F2" w:themeFill="background1" w:themeFillShade="F2"/>
            <w:vAlign w:val="center"/>
          </w:tcPr>
          <w:p w14:paraId="42AD27A3" w14:textId="6FA48715" w:rsidR="00C51D6D" w:rsidRPr="00C51D6D" w:rsidRDefault="00C51D6D">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p>
        </w:tc>
      </w:tr>
      <w:tr w:rsidR="00006D85" w:rsidRPr="00445A65" w14:paraId="1E1DB1DD" w14:textId="77777777" w:rsidTr="00ED4A5F">
        <w:trPr>
          <w:trHeight w:val="290"/>
        </w:trPr>
        <w:tc>
          <w:tcPr>
            <w:tcW w:w="1276" w:type="dxa"/>
            <w:tcBorders>
              <w:top w:val="nil"/>
              <w:left w:val="nil"/>
              <w:bottom w:val="nil"/>
              <w:right w:val="single" w:sz="4" w:space="0" w:color="auto"/>
            </w:tcBorders>
            <w:vAlign w:val="center"/>
          </w:tcPr>
          <w:p w14:paraId="4B497915"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Imperial</w:t>
            </w:r>
          </w:p>
        </w:tc>
        <w:tc>
          <w:tcPr>
            <w:tcW w:w="1559" w:type="dxa"/>
            <w:tcBorders>
              <w:top w:val="nil"/>
              <w:left w:val="single" w:sz="4" w:space="0" w:color="auto"/>
              <w:bottom w:val="nil"/>
              <w:right w:val="nil"/>
            </w:tcBorders>
            <w:vAlign w:val="center"/>
          </w:tcPr>
          <w:p w14:paraId="5CB6F477" w14:textId="53DDC295"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-1618 (-2230;-919)</w:t>
            </w:r>
          </w:p>
        </w:tc>
        <w:tc>
          <w:tcPr>
            <w:tcW w:w="1418" w:type="dxa"/>
            <w:tcBorders>
              <w:top w:val="nil"/>
              <w:left w:val="nil"/>
              <w:bottom w:val="nil"/>
              <w:right w:val="nil"/>
            </w:tcBorders>
            <w:vAlign w:val="center"/>
          </w:tcPr>
          <w:p w14:paraId="71CD7143" w14:textId="7D7EB317"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-737 (-1110;-365)</w:t>
            </w:r>
          </w:p>
        </w:tc>
        <w:tc>
          <w:tcPr>
            <w:tcW w:w="1495" w:type="dxa"/>
            <w:tcBorders>
              <w:top w:val="nil"/>
              <w:left w:val="nil"/>
              <w:bottom w:val="nil"/>
              <w:right w:val="nil"/>
            </w:tcBorders>
            <w:vAlign w:val="center"/>
          </w:tcPr>
          <w:p w14:paraId="717F1717" w14:textId="00A98387"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920 (563;1262)</w:t>
            </w:r>
          </w:p>
        </w:tc>
        <w:tc>
          <w:tcPr>
            <w:tcW w:w="0" w:type="auto"/>
            <w:tcBorders>
              <w:top w:val="nil"/>
              <w:left w:val="nil"/>
              <w:bottom w:val="nil"/>
              <w:right w:val="nil"/>
            </w:tcBorders>
            <w:vAlign w:val="center"/>
          </w:tcPr>
          <w:p w14:paraId="33A5C205" w14:textId="0227836D"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2495 (2181;2808)</w:t>
            </w:r>
          </w:p>
        </w:tc>
        <w:tc>
          <w:tcPr>
            <w:tcW w:w="0" w:type="auto"/>
            <w:tcBorders>
              <w:top w:val="nil"/>
              <w:left w:val="nil"/>
              <w:bottom w:val="nil"/>
              <w:right w:val="nil"/>
            </w:tcBorders>
            <w:vAlign w:val="center"/>
          </w:tcPr>
          <w:p w14:paraId="79110C9C" w14:textId="40E9949C"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2906 (2395;3420)</w:t>
            </w:r>
          </w:p>
        </w:tc>
      </w:tr>
      <w:tr w:rsidR="00006D85" w:rsidRPr="00445A65" w14:paraId="1F7AE27A" w14:textId="77777777" w:rsidTr="00ED4A5F">
        <w:trPr>
          <w:trHeight w:val="290"/>
        </w:trPr>
        <w:tc>
          <w:tcPr>
            <w:tcW w:w="1276" w:type="dxa"/>
            <w:tcBorders>
              <w:top w:val="nil"/>
              <w:left w:val="nil"/>
              <w:bottom w:val="nil"/>
              <w:right w:val="single" w:sz="4" w:space="0" w:color="auto"/>
            </w:tcBorders>
            <w:shd w:val="clear" w:color="auto" w:fill="F2F2F2" w:themeFill="background1" w:themeFillShade="F2"/>
            <w:vAlign w:val="center"/>
          </w:tcPr>
          <w:p w14:paraId="743D220E"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Notre Dame</w:t>
            </w:r>
          </w:p>
        </w:tc>
        <w:tc>
          <w:tcPr>
            <w:tcW w:w="1559" w:type="dxa"/>
            <w:tcBorders>
              <w:top w:val="nil"/>
              <w:left w:val="single" w:sz="4" w:space="0" w:color="auto"/>
              <w:bottom w:val="nil"/>
              <w:right w:val="nil"/>
            </w:tcBorders>
            <w:shd w:val="clear" w:color="auto" w:fill="F2F2F2" w:themeFill="background1" w:themeFillShade="F2"/>
            <w:vAlign w:val="center"/>
          </w:tcPr>
          <w:p w14:paraId="68506AD2" w14:textId="5BF709DC"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-1141 (-1924;-528)</w:t>
            </w:r>
          </w:p>
        </w:tc>
        <w:tc>
          <w:tcPr>
            <w:tcW w:w="1418" w:type="dxa"/>
            <w:tcBorders>
              <w:top w:val="nil"/>
              <w:left w:val="nil"/>
              <w:bottom w:val="nil"/>
              <w:right w:val="nil"/>
            </w:tcBorders>
            <w:shd w:val="clear" w:color="auto" w:fill="F2F2F2" w:themeFill="background1" w:themeFillShade="F2"/>
            <w:vAlign w:val="center"/>
          </w:tcPr>
          <w:p w14:paraId="701EDE51" w14:textId="2F421EB4"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396 (-805;1792)</w:t>
            </w:r>
          </w:p>
        </w:tc>
        <w:tc>
          <w:tcPr>
            <w:tcW w:w="1495" w:type="dxa"/>
            <w:tcBorders>
              <w:top w:val="nil"/>
              <w:left w:val="nil"/>
              <w:bottom w:val="nil"/>
              <w:right w:val="nil"/>
            </w:tcBorders>
            <w:shd w:val="clear" w:color="auto" w:fill="F2F2F2" w:themeFill="background1" w:themeFillShade="F2"/>
            <w:vAlign w:val="center"/>
          </w:tcPr>
          <w:p w14:paraId="6B43B612" w14:textId="16A0BACE"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3341 (1830;4434)</w:t>
            </w:r>
          </w:p>
        </w:tc>
        <w:tc>
          <w:tcPr>
            <w:tcW w:w="0" w:type="auto"/>
            <w:tcBorders>
              <w:top w:val="nil"/>
              <w:left w:val="nil"/>
              <w:bottom w:val="nil"/>
              <w:right w:val="nil"/>
            </w:tcBorders>
            <w:shd w:val="clear" w:color="auto" w:fill="F2F2F2" w:themeFill="background1" w:themeFillShade="F2"/>
            <w:vAlign w:val="center"/>
          </w:tcPr>
          <w:p w14:paraId="1FACB911" w14:textId="2F2B3B64"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4499 (3221;5750)</w:t>
            </w:r>
          </w:p>
        </w:tc>
        <w:tc>
          <w:tcPr>
            <w:tcW w:w="0" w:type="auto"/>
            <w:tcBorders>
              <w:top w:val="nil"/>
              <w:left w:val="nil"/>
              <w:bottom w:val="nil"/>
              <w:right w:val="nil"/>
            </w:tcBorders>
            <w:shd w:val="clear" w:color="auto" w:fill="F2F2F2" w:themeFill="background1" w:themeFillShade="F2"/>
            <w:vAlign w:val="center"/>
          </w:tcPr>
          <w:p w14:paraId="404483A3" w14:textId="28923AE7"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3687 (1868;5076)</w:t>
            </w:r>
          </w:p>
        </w:tc>
      </w:tr>
      <w:tr w:rsidR="00006D85" w:rsidRPr="00445A65" w14:paraId="6B279104" w14:textId="77777777" w:rsidTr="00ED4A5F">
        <w:trPr>
          <w:trHeight w:val="290"/>
        </w:trPr>
        <w:tc>
          <w:tcPr>
            <w:tcW w:w="1276" w:type="dxa"/>
            <w:tcBorders>
              <w:top w:val="nil"/>
              <w:left w:val="nil"/>
              <w:bottom w:val="nil"/>
              <w:right w:val="single" w:sz="4" w:space="0" w:color="auto"/>
            </w:tcBorders>
            <w:vAlign w:val="center"/>
          </w:tcPr>
          <w:p w14:paraId="484F2921"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Sanofi Pasteur</w:t>
            </w:r>
          </w:p>
        </w:tc>
        <w:tc>
          <w:tcPr>
            <w:tcW w:w="1559" w:type="dxa"/>
            <w:tcBorders>
              <w:top w:val="nil"/>
              <w:left w:val="single" w:sz="4" w:space="0" w:color="auto"/>
              <w:bottom w:val="nil"/>
              <w:right w:val="nil"/>
            </w:tcBorders>
            <w:vAlign w:val="center"/>
          </w:tcPr>
          <w:p w14:paraId="1FE9A36B" w14:textId="0CEA8604"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-1332 (-2065;-420)</w:t>
            </w:r>
          </w:p>
        </w:tc>
        <w:tc>
          <w:tcPr>
            <w:tcW w:w="1418" w:type="dxa"/>
            <w:tcBorders>
              <w:top w:val="nil"/>
              <w:left w:val="nil"/>
              <w:bottom w:val="nil"/>
              <w:right w:val="nil"/>
            </w:tcBorders>
            <w:vAlign w:val="center"/>
          </w:tcPr>
          <w:p w14:paraId="612EFDD6" w14:textId="1C23EF9E" w:rsidR="00006D85" w:rsidRPr="00006D85" w:rsidRDefault="00006D85">
            <w:pPr>
              <w:autoSpaceDE w:val="0"/>
              <w:autoSpaceDN w:val="0"/>
              <w:adjustRightInd w:val="0"/>
              <w:spacing w:after="0" w:line="240" w:lineRule="auto"/>
              <w:jc w:val="center"/>
              <w:rPr>
                <w:rFonts w:ascii="Calibri" w:hAnsi="Calibri" w:cs="Calibri"/>
                <w:color w:val="000000" w:themeColor="text1"/>
                <w:sz w:val="16"/>
                <w:szCs w:val="16"/>
              </w:rPr>
            </w:pPr>
            <w:r w:rsidRPr="00ED4A5F">
              <w:rPr>
                <w:rFonts w:ascii="Calibri" w:hAnsi="Calibri" w:cs="Calibri"/>
                <w:color w:val="000000"/>
                <w:sz w:val="16"/>
                <w:szCs w:val="16"/>
              </w:rPr>
              <w:t>1232 (857;1708)</w:t>
            </w:r>
          </w:p>
        </w:tc>
        <w:tc>
          <w:tcPr>
            <w:tcW w:w="1495" w:type="dxa"/>
            <w:tcBorders>
              <w:top w:val="nil"/>
              <w:left w:val="nil"/>
              <w:bottom w:val="nil"/>
              <w:right w:val="nil"/>
            </w:tcBorders>
            <w:vAlign w:val="center"/>
          </w:tcPr>
          <w:p w14:paraId="62CCDCE5" w14:textId="505FD240"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2656 (2207;3149)</w:t>
            </w:r>
          </w:p>
        </w:tc>
        <w:tc>
          <w:tcPr>
            <w:tcW w:w="0" w:type="auto"/>
            <w:tcBorders>
              <w:top w:val="nil"/>
              <w:left w:val="nil"/>
              <w:bottom w:val="nil"/>
              <w:right w:val="nil"/>
            </w:tcBorders>
            <w:vAlign w:val="center"/>
          </w:tcPr>
          <w:p w14:paraId="68433B72" w14:textId="0711C3A2"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3338 (2620;4229)</w:t>
            </w:r>
          </w:p>
        </w:tc>
        <w:tc>
          <w:tcPr>
            <w:tcW w:w="0" w:type="auto"/>
            <w:tcBorders>
              <w:top w:val="nil"/>
              <w:left w:val="nil"/>
              <w:bottom w:val="nil"/>
              <w:right w:val="nil"/>
            </w:tcBorders>
            <w:vAlign w:val="center"/>
          </w:tcPr>
          <w:p w14:paraId="764C60B9" w14:textId="4F8AE449"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2078 (1531;2617)</w:t>
            </w:r>
          </w:p>
        </w:tc>
      </w:tr>
      <w:tr w:rsidR="00314F05" w:rsidRPr="00445A65" w14:paraId="553F262C" w14:textId="77777777" w:rsidTr="00314F05">
        <w:trPr>
          <w:trHeight w:val="290"/>
        </w:trPr>
        <w:tc>
          <w:tcPr>
            <w:tcW w:w="1276" w:type="dxa"/>
            <w:tcBorders>
              <w:top w:val="nil"/>
              <w:left w:val="nil"/>
              <w:bottom w:val="nil"/>
              <w:right w:val="single" w:sz="4" w:space="0" w:color="auto"/>
            </w:tcBorders>
            <w:shd w:val="clear" w:color="auto" w:fill="F2F2F2" w:themeFill="background1" w:themeFillShade="F2"/>
            <w:vAlign w:val="center"/>
          </w:tcPr>
          <w:p w14:paraId="67F33160" w14:textId="77777777" w:rsidR="00314F05" w:rsidRPr="00445A65" w:rsidRDefault="00314F05" w:rsidP="00314F0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UF</w:t>
            </w:r>
          </w:p>
        </w:tc>
        <w:tc>
          <w:tcPr>
            <w:tcW w:w="1559" w:type="dxa"/>
            <w:tcBorders>
              <w:top w:val="nil"/>
              <w:left w:val="single" w:sz="4" w:space="0" w:color="auto"/>
              <w:bottom w:val="nil"/>
              <w:right w:val="nil"/>
            </w:tcBorders>
            <w:shd w:val="clear" w:color="auto" w:fill="F2F2F2" w:themeFill="background1" w:themeFillShade="F2"/>
            <w:vAlign w:val="center"/>
          </w:tcPr>
          <w:p w14:paraId="77BA1181" w14:textId="35112940" w:rsidR="00314F05" w:rsidRPr="00314F05" w:rsidRDefault="00314F05" w:rsidP="00314F0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314F05">
              <w:rPr>
                <w:sz w:val="16"/>
                <w:szCs w:val="16"/>
              </w:rPr>
              <w:t>-72 (-247;103)</w:t>
            </w:r>
          </w:p>
        </w:tc>
        <w:tc>
          <w:tcPr>
            <w:tcW w:w="1418" w:type="dxa"/>
            <w:tcBorders>
              <w:top w:val="nil"/>
              <w:left w:val="nil"/>
              <w:bottom w:val="nil"/>
              <w:right w:val="nil"/>
            </w:tcBorders>
            <w:shd w:val="clear" w:color="auto" w:fill="F2F2F2" w:themeFill="background1" w:themeFillShade="F2"/>
            <w:vAlign w:val="center"/>
          </w:tcPr>
          <w:p w14:paraId="383E75B4" w14:textId="6E684142" w:rsidR="00314F05" w:rsidRPr="00314F05" w:rsidRDefault="00314F05" w:rsidP="00314F0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314F05">
              <w:rPr>
                <w:sz w:val="16"/>
                <w:szCs w:val="16"/>
              </w:rPr>
              <w:t>1930 (1490;2370)</w:t>
            </w:r>
          </w:p>
        </w:tc>
        <w:tc>
          <w:tcPr>
            <w:tcW w:w="1495" w:type="dxa"/>
            <w:tcBorders>
              <w:top w:val="nil"/>
              <w:left w:val="nil"/>
              <w:bottom w:val="nil"/>
              <w:right w:val="nil"/>
            </w:tcBorders>
            <w:shd w:val="clear" w:color="auto" w:fill="F2F2F2" w:themeFill="background1" w:themeFillShade="F2"/>
            <w:vAlign w:val="center"/>
          </w:tcPr>
          <w:p w14:paraId="4F364D56" w14:textId="309C65FB" w:rsidR="00314F05" w:rsidRPr="00314F05" w:rsidRDefault="00314F05" w:rsidP="00314F0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314F05">
              <w:rPr>
                <w:sz w:val="16"/>
                <w:szCs w:val="16"/>
              </w:rPr>
              <w:t>4531 (4081;4980)</w:t>
            </w:r>
          </w:p>
        </w:tc>
        <w:tc>
          <w:tcPr>
            <w:tcW w:w="0" w:type="auto"/>
            <w:tcBorders>
              <w:top w:val="nil"/>
              <w:left w:val="nil"/>
              <w:bottom w:val="nil"/>
              <w:right w:val="nil"/>
            </w:tcBorders>
            <w:shd w:val="clear" w:color="auto" w:fill="F2F2F2" w:themeFill="background1" w:themeFillShade="F2"/>
            <w:vAlign w:val="center"/>
          </w:tcPr>
          <w:p w14:paraId="7141B900" w14:textId="7B012253" w:rsidR="00314F05" w:rsidRPr="00314F05" w:rsidRDefault="00314F05" w:rsidP="00314F0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314F05">
              <w:rPr>
                <w:sz w:val="16"/>
                <w:szCs w:val="16"/>
              </w:rPr>
              <w:t>5515 (5037;5993)</w:t>
            </w:r>
          </w:p>
        </w:tc>
        <w:tc>
          <w:tcPr>
            <w:tcW w:w="0" w:type="auto"/>
            <w:tcBorders>
              <w:top w:val="nil"/>
              <w:left w:val="nil"/>
              <w:bottom w:val="nil"/>
              <w:right w:val="nil"/>
            </w:tcBorders>
            <w:shd w:val="clear" w:color="auto" w:fill="F2F2F2" w:themeFill="background1" w:themeFillShade="F2"/>
            <w:vAlign w:val="center"/>
          </w:tcPr>
          <w:p w14:paraId="01633043" w14:textId="758EC9AD" w:rsidR="00314F05" w:rsidRPr="00314F05" w:rsidRDefault="00314F05" w:rsidP="00314F0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314F05">
              <w:rPr>
                <w:sz w:val="16"/>
                <w:szCs w:val="16"/>
              </w:rPr>
              <w:t>4355 (3740;4971)</w:t>
            </w:r>
          </w:p>
        </w:tc>
      </w:tr>
      <w:tr w:rsidR="00006D85" w:rsidRPr="00445A65" w14:paraId="15A18515" w14:textId="77777777" w:rsidTr="00ED4A5F">
        <w:trPr>
          <w:trHeight w:val="290"/>
        </w:trPr>
        <w:tc>
          <w:tcPr>
            <w:tcW w:w="1276" w:type="dxa"/>
            <w:tcBorders>
              <w:top w:val="nil"/>
              <w:left w:val="nil"/>
              <w:bottom w:val="nil"/>
              <w:right w:val="single" w:sz="4" w:space="0" w:color="auto"/>
            </w:tcBorders>
            <w:shd w:val="clear" w:color="auto" w:fill="FFFFFF" w:themeFill="background1"/>
            <w:vAlign w:val="center"/>
          </w:tcPr>
          <w:p w14:paraId="72A849CA"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color w:val="000000" w:themeColor="text1"/>
                <w:sz w:val="16"/>
                <w:szCs w:val="16"/>
              </w:rPr>
              <w:t>UWA</w:t>
            </w:r>
          </w:p>
        </w:tc>
        <w:tc>
          <w:tcPr>
            <w:tcW w:w="1559" w:type="dxa"/>
            <w:tcBorders>
              <w:top w:val="nil"/>
              <w:left w:val="single" w:sz="4" w:space="0" w:color="auto"/>
              <w:bottom w:val="nil"/>
              <w:right w:val="nil"/>
            </w:tcBorders>
            <w:shd w:val="clear" w:color="auto" w:fill="FFFFFF" w:themeFill="background1"/>
            <w:vAlign w:val="center"/>
          </w:tcPr>
          <w:p w14:paraId="3D23AD97" w14:textId="0E9BA088" w:rsidR="00006D85" w:rsidRPr="00006D85" w:rsidRDefault="00006D85">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-1737 (-2351;-1123)</w:t>
            </w:r>
          </w:p>
        </w:tc>
        <w:tc>
          <w:tcPr>
            <w:tcW w:w="1418" w:type="dxa"/>
            <w:tcBorders>
              <w:top w:val="nil"/>
              <w:left w:val="nil"/>
              <w:bottom w:val="nil"/>
              <w:right w:val="nil"/>
            </w:tcBorders>
            <w:shd w:val="clear" w:color="auto" w:fill="FFFFFF" w:themeFill="background1"/>
            <w:vAlign w:val="center"/>
          </w:tcPr>
          <w:p w14:paraId="1CC74037" w14:textId="036A2AD8" w:rsidR="00006D85" w:rsidRPr="00006D85" w:rsidRDefault="00006D85">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168 (-552;887)</w:t>
            </w:r>
          </w:p>
        </w:tc>
        <w:tc>
          <w:tcPr>
            <w:tcW w:w="1495" w:type="dxa"/>
            <w:tcBorders>
              <w:top w:val="nil"/>
              <w:left w:val="nil"/>
              <w:bottom w:val="nil"/>
              <w:right w:val="nil"/>
            </w:tcBorders>
            <w:shd w:val="clear" w:color="auto" w:fill="FFFFFF" w:themeFill="background1"/>
            <w:vAlign w:val="center"/>
          </w:tcPr>
          <w:p w14:paraId="22F746F6" w14:textId="1AFA651B" w:rsidR="00006D85" w:rsidRPr="00006D85" w:rsidRDefault="00006D85">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3833 (3037;4628)</w:t>
            </w:r>
          </w:p>
        </w:tc>
        <w:tc>
          <w:tcPr>
            <w:tcW w:w="0" w:type="auto"/>
            <w:tcBorders>
              <w:top w:val="nil"/>
              <w:left w:val="nil"/>
              <w:bottom w:val="nil"/>
              <w:right w:val="nil"/>
            </w:tcBorders>
            <w:shd w:val="clear" w:color="auto" w:fill="FFFFFF" w:themeFill="background1"/>
            <w:vAlign w:val="center"/>
          </w:tcPr>
          <w:p w14:paraId="036A2210" w14:textId="13057EF9" w:rsidR="00006D85" w:rsidRPr="00006D85" w:rsidRDefault="00006D85">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4023 (3589;4457)</w:t>
            </w:r>
          </w:p>
        </w:tc>
        <w:tc>
          <w:tcPr>
            <w:tcW w:w="0" w:type="auto"/>
            <w:tcBorders>
              <w:top w:val="nil"/>
              <w:left w:val="nil"/>
              <w:bottom w:val="nil"/>
              <w:right w:val="nil"/>
            </w:tcBorders>
            <w:shd w:val="clear" w:color="auto" w:fill="FFFFFF" w:themeFill="background1"/>
            <w:vAlign w:val="center"/>
          </w:tcPr>
          <w:p w14:paraId="19A9795C" w14:textId="54E4D8D8" w:rsidR="00006D85" w:rsidRPr="00006D85" w:rsidRDefault="00006D85">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3120 (2697;3543)</w:t>
            </w:r>
          </w:p>
        </w:tc>
      </w:tr>
      <w:tr w:rsidR="00006D85" w:rsidRPr="00445A65" w14:paraId="51A242F5" w14:textId="77777777" w:rsidTr="00ED4A5F">
        <w:trPr>
          <w:trHeight w:val="290"/>
        </w:trPr>
        <w:tc>
          <w:tcPr>
            <w:tcW w:w="1276" w:type="dxa"/>
            <w:tcBorders>
              <w:top w:val="nil"/>
              <w:left w:val="nil"/>
              <w:bottom w:val="nil"/>
              <w:right w:val="nil"/>
            </w:tcBorders>
          </w:tcPr>
          <w:p w14:paraId="707B351E"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1559" w:type="dxa"/>
            <w:tcBorders>
              <w:top w:val="nil"/>
              <w:left w:val="nil"/>
              <w:bottom w:val="nil"/>
              <w:right w:val="nil"/>
            </w:tcBorders>
          </w:tcPr>
          <w:p w14:paraId="41B1AC78"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1418" w:type="dxa"/>
            <w:tcBorders>
              <w:top w:val="nil"/>
              <w:left w:val="nil"/>
              <w:bottom w:val="nil"/>
              <w:right w:val="nil"/>
            </w:tcBorders>
          </w:tcPr>
          <w:p w14:paraId="58325913"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1495" w:type="dxa"/>
            <w:tcBorders>
              <w:top w:val="nil"/>
              <w:left w:val="nil"/>
              <w:bottom w:val="nil"/>
              <w:right w:val="nil"/>
            </w:tcBorders>
          </w:tcPr>
          <w:p w14:paraId="1E9013CF"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0" w:type="auto"/>
            <w:tcBorders>
              <w:top w:val="nil"/>
              <w:left w:val="nil"/>
              <w:bottom w:val="nil"/>
              <w:right w:val="nil"/>
            </w:tcBorders>
          </w:tcPr>
          <w:p w14:paraId="1854A0E0"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0" w:type="auto"/>
            <w:tcBorders>
              <w:top w:val="nil"/>
              <w:left w:val="nil"/>
              <w:bottom w:val="nil"/>
              <w:right w:val="nil"/>
            </w:tcBorders>
          </w:tcPr>
          <w:p w14:paraId="01AC7F74"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r>
    </w:tbl>
    <w:p w14:paraId="58EF8539" w14:textId="77777777" w:rsidR="00445A65" w:rsidRPr="00445A65" w:rsidRDefault="00445A65" w:rsidP="00445A65">
      <w:pPr>
        <w:rPr>
          <w:color w:val="000000" w:themeColor="text1"/>
        </w:rPr>
      </w:pPr>
    </w:p>
    <w:tbl>
      <w:tblPr>
        <w:tblW w:w="0" w:type="auto"/>
        <w:tblLook w:val="0000" w:firstRow="0" w:lastRow="0" w:firstColumn="0" w:lastColumn="0" w:noHBand="0" w:noVBand="0"/>
      </w:tblPr>
      <w:tblGrid>
        <w:gridCol w:w="1276"/>
        <w:gridCol w:w="1559"/>
        <w:gridCol w:w="1560"/>
        <w:gridCol w:w="1559"/>
        <w:gridCol w:w="1559"/>
        <w:gridCol w:w="1513"/>
      </w:tblGrid>
      <w:tr w:rsidR="00006D85" w:rsidRPr="00445A65" w14:paraId="385AD6D4" w14:textId="77777777" w:rsidTr="00006D85">
        <w:trPr>
          <w:trHeight w:val="290"/>
        </w:trPr>
        <w:tc>
          <w:tcPr>
            <w:tcW w:w="1276" w:type="dxa"/>
            <w:tcBorders>
              <w:top w:val="nil"/>
              <w:left w:val="nil"/>
              <w:bottom w:val="single" w:sz="4" w:space="0" w:color="auto"/>
              <w:right w:val="single" w:sz="4" w:space="0" w:color="auto"/>
            </w:tcBorders>
            <w:vAlign w:val="center"/>
          </w:tcPr>
          <w:p w14:paraId="77D6D2D7" w14:textId="77777777" w:rsidR="00445A65" w:rsidRPr="00445A65" w:rsidRDefault="00445A65" w:rsidP="00C51D6D">
            <w:pPr>
              <w:autoSpaceDE w:val="0"/>
              <w:autoSpaceDN w:val="0"/>
              <w:adjustRightInd w:val="0"/>
              <w:spacing w:line="240" w:lineRule="auto"/>
              <w:jc w:val="center"/>
              <w:rPr>
                <w:rFonts w:ascii="Calibri" w:hAnsi="Calibri" w:cs="Calibri"/>
                <w:b/>
                <w:color w:val="000000" w:themeColor="text1"/>
                <w:sz w:val="16"/>
                <w:szCs w:val="16"/>
              </w:rPr>
            </w:pPr>
            <w:r w:rsidRPr="00445A65">
              <w:rPr>
                <w:rFonts w:ascii="Calibri" w:hAnsi="Calibri" w:cs="Calibri"/>
                <w:b/>
                <w:color w:val="000000" w:themeColor="text1"/>
                <w:sz w:val="16"/>
                <w:szCs w:val="16"/>
              </w:rPr>
              <w:t>(b)</w:t>
            </w:r>
          </w:p>
        </w:tc>
        <w:tc>
          <w:tcPr>
            <w:tcW w:w="1559" w:type="dxa"/>
            <w:tcBorders>
              <w:top w:val="nil"/>
              <w:left w:val="single" w:sz="4" w:space="0" w:color="auto"/>
              <w:bottom w:val="single" w:sz="4" w:space="0" w:color="auto"/>
              <w:right w:val="nil"/>
            </w:tcBorders>
            <w:vAlign w:val="center"/>
          </w:tcPr>
          <w:p w14:paraId="07637AF8"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SP9=10%</w:t>
            </w:r>
          </w:p>
        </w:tc>
        <w:tc>
          <w:tcPr>
            <w:tcW w:w="1560" w:type="dxa"/>
            <w:tcBorders>
              <w:top w:val="nil"/>
              <w:left w:val="nil"/>
              <w:bottom w:val="single" w:sz="4" w:space="0" w:color="auto"/>
              <w:right w:val="nil"/>
            </w:tcBorders>
            <w:vAlign w:val="center"/>
          </w:tcPr>
          <w:p w14:paraId="0E712F20"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SP9=30%</w:t>
            </w:r>
          </w:p>
        </w:tc>
        <w:tc>
          <w:tcPr>
            <w:tcW w:w="1559" w:type="dxa"/>
            <w:tcBorders>
              <w:top w:val="nil"/>
              <w:left w:val="nil"/>
              <w:bottom w:val="single" w:sz="4" w:space="0" w:color="auto"/>
              <w:right w:val="nil"/>
            </w:tcBorders>
            <w:vAlign w:val="center"/>
          </w:tcPr>
          <w:p w14:paraId="2729867D"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SP9=50%</w:t>
            </w:r>
          </w:p>
        </w:tc>
        <w:tc>
          <w:tcPr>
            <w:tcW w:w="1559" w:type="dxa"/>
            <w:tcBorders>
              <w:top w:val="nil"/>
              <w:left w:val="nil"/>
              <w:bottom w:val="single" w:sz="4" w:space="0" w:color="auto"/>
              <w:right w:val="nil"/>
            </w:tcBorders>
            <w:vAlign w:val="center"/>
          </w:tcPr>
          <w:p w14:paraId="7F193529"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SP9=70%</w:t>
            </w:r>
          </w:p>
        </w:tc>
        <w:tc>
          <w:tcPr>
            <w:tcW w:w="1513" w:type="dxa"/>
            <w:tcBorders>
              <w:top w:val="nil"/>
              <w:left w:val="nil"/>
              <w:bottom w:val="single" w:sz="4" w:space="0" w:color="auto"/>
              <w:right w:val="nil"/>
            </w:tcBorders>
            <w:vAlign w:val="center"/>
          </w:tcPr>
          <w:p w14:paraId="0519583D"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SP9=90%</w:t>
            </w:r>
          </w:p>
        </w:tc>
      </w:tr>
      <w:tr w:rsidR="00006D85" w:rsidRPr="00445A65" w14:paraId="11D75B66" w14:textId="77777777" w:rsidTr="00ED4A5F">
        <w:trPr>
          <w:trHeight w:val="290"/>
        </w:trPr>
        <w:tc>
          <w:tcPr>
            <w:tcW w:w="1276" w:type="dxa"/>
            <w:tcBorders>
              <w:top w:val="single" w:sz="4" w:space="0" w:color="auto"/>
              <w:left w:val="nil"/>
              <w:bottom w:val="nil"/>
              <w:right w:val="single" w:sz="4" w:space="0" w:color="auto"/>
            </w:tcBorders>
            <w:shd w:val="clear" w:color="auto" w:fill="F2F2F2" w:themeFill="background1" w:themeFillShade="F2"/>
            <w:vAlign w:val="center"/>
          </w:tcPr>
          <w:p w14:paraId="0FF0657A"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Duke</w:t>
            </w:r>
          </w:p>
        </w:tc>
        <w:tc>
          <w:tcPr>
            <w:tcW w:w="1559" w:type="dxa"/>
            <w:tcBorders>
              <w:top w:val="single" w:sz="4" w:space="0" w:color="auto"/>
              <w:left w:val="single" w:sz="4" w:space="0" w:color="auto"/>
              <w:right w:val="nil"/>
            </w:tcBorders>
            <w:shd w:val="clear" w:color="auto" w:fill="F2F2F2" w:themeFill="background1" w:themeFillShade="F2"/>
            <w:vAlign w:val="center"/>
          </w:tcPr>
          <w:p w14:paraId="1471A05C" w14:textId="6A5FADC2"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-1020 (-1940;68)</w:t>
            </w:r>
          </w:p>
        </w:tc>
        <w:tc>
          <w:tcPr>
            <w:tcW w:w="1560" w:type="dxa"/>
            <w:tcBorders>
              <w:top w:val="single" w:sz="4" w:space="0" w:color="auto"/>
              <w:left w:val="nil"/>
              <w:right w:val="nil"/>
            </w:tcBorders>
            <w:shd w:val="clear" w:color="auto" w:fill="F2F2F2" w:themeFill="background1" w:themeFillShade="F2"/>
            <w:vAlign w:val="center"/>
          </w:tcPr>
          <w:p w14:paraId="6621B53F" w14:textId="7399DCC4"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-2010 (-4180;690)</w:t>
            </w:r>
          </w:p>
        </w:tc>
        <w:tc>
          <w:tcPr>
            <w:tcW w:w="1559" w:type="dxa"/>
            <w:tcBorders>
              <w:top w:val="single" w:sz="4" w:space="0" w:color="auto"/>
              <w:left w:val="nil"/>
              <w:right w:val="nil"/>
            </w:tcBorders>
            <w:shd w:val="clear" w:color="auto" w:fill="F2F2F2" w:themeFill="background1" w:themeFillShade="F2"/>
            <w:vAlign w:val="center"/>
          </w:tcPr>
          <w:p w14:paraId="36332B32" w14:textId="70B73D9E"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-1150 (-3120;1830)</w:t>
            </w:r>
          </w:p>
        </w:tc>
        <w:tc>
          <w:tcPr>
            <w:tcW w:w="1559" w:type="dxa"/>
            <w:tcBorders>
              <w:top w:val="single" w:sz="4" w:space="0" w:color="auto"/>
              <w:left w:val="nil"/>
              <w:right w:val="nil"/>
            </w:tcBorders>
            <w:shd w:val="clear" w:color="auto" w:fill="F2F2F2" w:themeFill="background1" w:themeFillShade="F2"/>
            <w:vAlign w:val="center"/>
          </w:tcPr>
          <w:p w14:paraId="640CF9EC" w14:textId="40C3BE53"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103 (-1750;2760)</w:t>
            </w:r>
          </w:p>
        </w:tc>
        <w:tc>
          <w:tcPr>
            <w:tcW w:w="1513" w:type="dxa"/>
            <w:tcBorders>
              <w:top w:val="single" w:sz="4" w:space="0" w:color="auto"/>
              <w:left w:val="nil"/>
              <w:right w:val="nil"/>
            </w:tcBorders>
            <w:shd w:val="clear" w:color="auto" w:fill="F2F2F2" w:themeFill="background1" w:themeFillShade="F2"/>
            <w:vAlign w:val="center"/>
          </w:tcPr>
          <w:p w14:paraId="60DCCDFD" w14:textId="30694D98"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741 (-1930;3630)</w:t>
            </w:r>
          </w:p>
        </w:tc>
      </w:tr>
      <w:tr w:rsidR="00006D85" w:rsidRPr="00445A65" w14:paraId="679C9CDB" w14:textId="77777777" w:rsidTr="00ED4A5F">
        <w:trPr>
          <w:trHeight w:val="290"/>
        </w:trPr>
        <w:tc>
          <w:tcPr>
            <w:tcW w:w="1276" w:type="dxa"/>
            <w:tcBorders>
              <w:top w:val="nil"/>
              <w:left w:val="nil"/>
              <w:bottom w:val="nil"/>
              <w:right w:val="single" w:sz="4" w:space="0" w:color="auto"/>
            </w:tcBorders>
            <w:vAlign w:val="center"/>
          </w:tcPr>
          <w:p w14:paraId="0DDA0E88"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Exeter/Oxford</w:t>
            </w:r>
          </w:p>
        </w:tc>
        <w:tc>
          <w:tcPr>
            <w:tcW w:w="1559" w:type="dxa"/>
            <w:tcBorders>
              <w:top w:val="nil"/>
              <w:left w:val="single" w:sz="4" w:space="0" w:color="auto"/>
              <w:bottom w:val="nil"/>
              <w:right w:val="nil"/>
            </w:tcBorders>
            <w:vAlign w:val="center"/>
          </w:tcPr>
          <w:p w14:paraId="016C2CE9" w14:textId="52D29915"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-940 (-1041;-839)</w:t>
            </w:r>
          </w:p>
        </w:tc>
        <w:tc>
          <w:tcPr>
            <w:tcW w:w="1560" w:type="dxa"/>
            <w:tcBorders>
              <w:top w:val="nil"/>
              <w:left w:val="nil"/>
              <w:bottom w:val="nil"/>
              <w:right w:val="nil"/>
            </w:tcBorders>
            <w:vAlign w:val="center"/>
          </w:tcPr>
          <w:p w14:paraId="2E038E48" w14:textId="7447A4CD"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-2048 (-2263;-1834)</w:t>
            </w:r>
          </w:p>
        </w:tc>
        <w:tc>
          <w:tcPr>
            <w:tcW w:w="1559" w:type="dxa"/>
            <w:tcBorders>
              <w:top w:val="nil"/>
              <w:left w:val="nil"/>
              <w:bottom w:val="nil"/>
              <w:right w:val="nil"/>
            </w:tcBorders>
            <w:vAlign w:val="center"/>
          </w:tcPr>
          <w:p w14:paraId="59763D5E" w14:textId="7B8A3512"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-2133 (-2372;-1893)</w:t>
            </w:r>
          </w:p>
        </w:tc>
        <w:tc>
          <w:tcPr>
            <w:tcW w:w="1559" w:type="dxa"/>
            <w:tcBorders>
              <w:top w:val="nil"/>
              <w:left w:val="nil"/>
              <w:bottom w:val="nil"/>
              <w:right w:val="nil"/>
            </w:tcBorders>
            <w:vAlign w:val="center"/>
          </w:tcPr>
          <w:p w14:paraId="281D22FE" w14:textId="0022E343"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-1556 (-1755;-1358)</w:t>
            </w:r>
          </w:p>
        </w:tc>
        <w:tc>
          <w:tcPr>
            <w:tcW w:w="1513" w:type="dxa"/>
            <w:tcBorders>
              <w:top w:val="nil"/>
              <w:left w:val="nil"/>
              <w:bottom w:val="nil"/>
              <w:right w:val="nil"/>
            </w:tcBorders>
            <w:vAlign w:val="center"/>
          </w:tcPr>
          <w:p w14:paraId="00D4325C" w14:textId="0B7B12FC"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-803 (-984;-622)</w:t>
            </w:r>
          </w:p>
        </w:tc>
      </w:tr>
      <w:tr w:rsidR="00006D85" w:rsidRPr="00445A65" w14:paraId="75345142" w14:textId="77777777" w:rsidTr="00ED4A5F">
        <w:trPr>
          <w:trHeight w:val="290"/>
        </w:trPr>
        <w:tc>
          <w:tcPr>
            <w:tcW w:w="1276" w:type="dxa"/>
            <w:tcBorders>
              <w:top w:val="nil"/>
              <w:left w:val="nil"/>
              <w:bottom w:val="nil"/>
              <w:right w:val="single" w:sz="4" w:space="0" w:color="auto"/>
            </w:tcBorders>
            <w:shd w:val="clear" w:color="auto" w:fill="F2F2F2" w:themeFill="background1" w:themeFillShade="F2"/>
            <w:vAlign w:val="center"/>
          </w:tcPr>
          <w:p w14:paraId="7E3A688E"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Hopkins/UF</w:t>
            </w:r>
          </w:p>
        </w:tc>
        <w:tc>
          <w:tcPr>
            <w:tcW w:w="1559" w:type="dxa"/>
            <w:tcBorders>
              <w:top w:val="nil"/>
              <w:left w:val="single" w:sz="4" w:space="0" w:color="auto"/>
              <w:bottom w:val="nil"/>
              <w:right w:val="nil"/>
            </w:tcBorders>
            <w:shd w:val="clear" w:color="auto" w:fill="F2F2F2" w:themeFill="background1" w:themeFillShade="F2"/>
            <w:vAlign w:val="center"/>
          </w:tcPr>
          <w:p w14:paraId="21CA0394" w14:textId="70A5C404"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p>
        </w:tc>
        <w:tc>
          <w:tcPr>
            <w:tcW w:w="1560" w:type="dxa"/>
            <w:tcBorders>
              <w:top w:val="nil"/>
              <w:left w:val="nil"/>
              <w:bottom w:val="nil"/>
              <w:right w:val="nil"/>
            </w:tcBorders>
            <w:shd w:val="clear" w:color="auto" w:fill="F2F2F2" w:themeFill="background1" w:themeFillShade="F2"/>
            <w:vAlign w:val="center"/>
          </w:tcPr>
          <w:p w14:paraId="5DF7FF22" w14:textId="1212A738"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p>
        </w:tc>
        <w:tc>
          <w:tcPr>
            <w:tcW w:w="1559" w:type="dxa"/>
            <w:tcBorders>
              <w:top w:val="nil"/>
              <w:left w:val="nil"/>
              <w:bottom w:val="nil"/>
              <w:right w:val="nil"/>
            </w:tcBorders>
            <w:shd w:val="clear" w:color="auto" w:fill="F2F2F2" w:themeFill="background1" w:themeFillShade="F2"/>
            <w:vAlign w:val="center"/>
          </w:tcPr>
          <w:p w14:paraId="0E03A84D" w14:textId="71602FB2"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p>
        </w:tc>
        <w:tc>
          <w:tcPr>
            <w:tcW w:w="1559" w:type="dxa"/>
            <w:tcBorders>
              <w:top w:val="nil"/>
              <w:left w:val="nil"/>
              <w:bottom w:val="nil"/>
              <w:right w:val="nil"/>
            </w:tcBorders>
            <w:shd w:val="clear" w:color="auto" w:fill="F2F2F2" w:themeFill="background1" w:themeFillShade="F2"/>
            <w:vAlign w:val="center"/>
          </w:tcPr>
          <w:p w14:paraId="3D5C497F" w14:textId="21310A2D"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p>
        </w:tc>
        <w:tc>
          <w:tcPr>
            <w:tcW w:w="1513" w:type="dxa"/>
            <w:tcBorders>
              <w:top w:val="nil"/>
              <w:left w:val="nil"/>
              <w:bottom w:val="nil"/>
              <w:right w:val="nil"/>
            </w:tcBorders>
            <w:shd w:val="clear" w:color="auto" w:fill="F2F2F2" w:themeFill="background1" w:themeFillShade="F2"/>
            <w:vAlign w:val="center"/>
          </w:tcPr>
          <w:p w14:paraId="187C5778" w14:textId="39DE535E"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p>
        </w:tc>
      </w:tr>
      <w:tr w:rsidR="00006D85" w:rsidRPr="00445A65" w14:paraId="45B054E3" w14:textId="77777777" w:rsidTr="00ED4A5F">
        <w:trPr>
          <w:trHeight w:val="290"/>
        </w:trPr>
        <w:tc>
          <w:tcPr>
            <w:tcW w:w="1276" w:type="dxa"/>
            <w:tcBorders>
              <w:top w:val="nil"/>
              <w:left w:val="nil"/>
              <w:bottom w:val="nil"/>
              <w:right w:val="single" w:sz="4" w:space="0" w:color="auto"/>
            </w:tcBorders>
            <w:vAlign w:val="center"/>
          </w:tcPr>
          <w:p w14:paraId="731E59CB"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Imperial</w:t>
            </w:r>
          </w:p>
        </w:tc>
        <w:tc>
          <w:tcPr>
            <w:tcW w:w="1559" w:type="dxa"/>
            <w:tcBorders>
              <w:top w:val="nil"/>
              <w:left w:val="single" w:sz="4" w:space="0" w:color="auto"/>
              <w:bottom w:val="nil"/>
              <w:right w:val="nil"/>
            </w:tcBorders>
            <w:vAlign w:val="center"/>
          </w:tcPr>
          <w:p w14:paraId="6E67B4A8" w14:textId="0B93F9FC"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-3497 (-4316;-2304)</w:t>
            </w:r>
          </w:p>
        </w:tc>
        <w:tc>
          <w:tcPr>
            <w:tcW w:w="1560" w:type="dxa"/>
            <w:tcBorders>
              <w:top w:val="nil"/>
              <w:left w:val="nil"/>
              <w:bottom w:val="nil"/>
              <w:right w:val="nil"/>
            </w:tcBorders>
            <w:vAlign w:val="center"/>
          </w:tcPr>
          <w:p w14:paraId="1B8A913C" w14:textId="46E9E102"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-4135 (-4505;-3776)</w:t>
            </w:r>
          </w:p>
        </w:tc>
        <w:tc>
          <w:tcPr>
            <w:tcW w:w="1559" w:type="dxa"/>
            <w:tcBorders>
              <w:top w:val="nil"/>
              <w:left w:val="nil"/>
              <w:bottom w:val="nil"/>
              <w:right w:val="nil"/>
            </w:tcBorders>
            <w:vAlign w:val="center"/>
          </w:tcPr>
          <w:p w14:paraId="2DF27C8C" w14:textId="1569E6DE"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-3116 (-3509;-2691)</w:t>
            </w:r>
          </w:p>
        </w:tc>
        <w:tc>
          <w:tcPr>
            <w:tcW w:w="1559" w:type="dxa"/>
            <w:tcBorders>
              <w:top w:val="nil"/>
              <w:left w:val="nil"/>
              <w:bottom w:val="nil"/>
              <w:right w:val="nil"/>
            </w:tcBorders>
            <w:vAlign w:val="center"/>
          </w:tcPr>
          <w:p w14:paraId="4AA0C0DB" w14:textId="1ACA7DA9"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-968 (-1436;-472)</w:t>
            </w:r>
          </w:p>
        </w:tc>
        <w:tc>
          <w:tcPr>
            <w:tcW w:w="1513" w:type="dxa"/>
            <w:tcBorders>
              <w:top w:val="nil"/>
              <w:left w:val="nil"/>
              <w:bottom w:val="nil"/>
              <w:right w:val="nil"/>
            </w:tcBorders>
            <w:vAlign w:val="center"/>
          </w:tcPr>
          <w:p w14:paraId="14135BAA" w14:textId="654379E9"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1353 (746;1837)</w:t>
            </w:r>
          </w:p>
        </w:tc>
      </w:tr>
      <w:tr w:rsidR="00006D85" w:rsidRPr="00445A65" w14:paraId="286D2E3C" w14:textId="77777777" w:rsidTr="00ED4A5F">
        <w:trPr>
          <w:trHeight w:val="290"/>
        </w:trPr>
        <w:tc>
          <w:tcPr>
            <w:tcW w:w="1276" w:type="dxa"/>
            <w:tcBorders>
              <w:top w:val="nil"/>
              <w:left w:val="nil"/>
              <w:bottom w:val="nil"/>
              <w:right w:val="single" w:sz="4" w:space="0" w:color="auto"/>
            </w:tcBorders>
            <w:shd w:val="clear" w:color="auto" w:fill="F2F2F2" w:themeFill="background1" w:themeFillShade="F2"/>
            <w:vAlign w:val="center"/>
          </w:tcPr>
          <w:p w14:paraId="18B550EC"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Notre Dame</w:t>
            </w:r>
          </w:p>
        </w:tc>
        <w:tc>
          <w:tcPr>
            <w:tcW w:w="1559" w:type="dxa"/>
            <w:tcBorders>
              <w:top w:val="nil"/>
              <w:left w:val="single" w:sz="4" w:space="0" w:color="auto"/>
              <w:bottom w:val="nil"/>
              <w:right w:val="nil"/>
            </w:tcBorders>
            <w:shd w:val="clear" w:color="auto" w:fill="F2F2F2" w:themeFill="background1" w:themeFillShade="F2"/>
            <w:vAlign w:val="center"/>
          </w:tcPr>
          <w:p w14:paraId="7EEE3A02" w14:textId="68A8BE5A"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-2378 (-3687;-1331)</w:t>
            </w:r>
          </w:p>
        </w:tc>
        <w:tc>
          <w:tcPr>
            <w:tcW w:w="1560" w:type="dxa"/>
            <w:tcBorders>
              <w:top w:val="nil"/>
              <w:left w:val="nil"/>
              <w:bottom w:val="nil"/>
              <w:right w:val="nil"/>
            </w:tcBorders>
            <w:shd w:val="clear" w:color="auto" w:fill="F2F2F2" w:themeFill="background1" w:themeFillShade="F2"/>
            <w:vAlign w:val="center"/>
          </w:tcPr>
          <w:p w14:paraId="14345B7C" w14:textId="2C9B7350"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-2881 (-4387;-1455)</w:t>
            </w:r>
          </w:p>
        </w:tc>
        <w:tc>
          <w:tcPr>
            <w:tcW w:w="1559" w:type="dxa"/>
            <w:tcBorders>
              <w:top w:val="nil"/>
              <w:left w:val="nil"/>
              <w:bottom w:val="nil"/>
              <w:right w:val="nil"/>
            </w:tcBorders>
            <w:shd w:val="clear" w:color="auto" w:fill="F2F2F2" w:themeFill="background1" w:themeFillShade="F2"/>
            <w:vAlign w:val="center"/>
          </w:tcPr>
          <w:p w14:paraId="37A66828" w14:textId="62A39E20"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-612 (-2809;1641)</w:t>
            </w:r>
          </w:p>
        </w:tc>
        <w:tc>
          <w:tcPr>
            <w:tcW w:w="1559" w:type="dxa"/>
            <w:tcBorders>
              <w:top w:val="nil"/>
              <w:left w:val="nil"/>
              <w:bottom w:val="nil"/>
              <w:right w:val="nil"/>
            </w:tcBorders>
            <w:shd w:val="clear" w:color="auto" w:fill="F2F2F2" w:themeFill="background1" w:themeFillShade="F2"/>
            <w:vAlign w:val="center"/>
          </w:tcPr>
          <w:p w14:paraId="05F6A4A5" w14:textId="39F61834"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2122 (-647;5292)</w:t>
            </w:r>
          </w:p>
        </w:tc>
        <w:tc>
          <w:tcPr>
            <w:tcW w:w="1513" w:type="dxa"/>
            <w:tcBorders>
              <w:top w:val="nil"/>
              <w:left w:val="nil"/>
              <w:bottom w:val="nil"/>
              <w:right w:val="nil"/>
            </w:tcBorders>
            <w:shd w:val="clear" w:color="auto" w:fill="F2F2F2" w:themeFill="background1" w:themeFillShade="F2"/>
            <w:vAlign w:val="center"/>
          </w:tcPr>
          <w:p w14:paraId="621706CF" w14:textId="310B4FEB"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9646 (4005;16714)</w:t>
            </w:r>
          </w:p>
        </w:tc>
      </w:tr>
      <w:tr w:rsidR="00006D85" w:rsidRPr="00445A65" w14:paraId="55089229" w14:textId="77777777" w:rsidTr="00ED4A5F">
        <w:trPr>
          <w:trHeight w:val="290"/>
        </w:trPr>
        <w:tc>
          <w:tcPr>
            <w:tcW w:w="1276" w:type="dxa"/>
            <w:tcBorders>
              <w:top w:val="nil"/>
              <w:left w:val="nil"/>
              <w:bottom w:val="nil"/>
              <w:right w:val="single" w:sz="4" w:space="0" w:color="auto"/>
            </w:tcBorders>
            <w:vAlign w:val="center"/>
          </w:tcPr>
          <w:p w14:paraId="7F937102"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Sanofi Pasteur</w:t>
            </w:r>
          </w:p>
        </w:tc>
        <w:tc>
          <w:tcPr>
            <w:tcW w:w="1559" w:type="dxa"/>
            <w:tcBorders>
              <w:top w:val="nil"/>
              <w:left w:val="single" w:sz="4" w:space="0" w:color="auto"/>
              <w:bottom w:val="nil"/>
              <w:right w:val="nil"/>
            </w:tcBorders>
            <w:vAlign w:val="center"/>
          </w:tcPr>
          <w:p w14:paraId="5663694A" w14:textId="1A05B9B9"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-1626 (-2346;-608)</w:t>
            </w:r>
          </w:p>
        </w:tc>
        <w:tc>
          <w:tcPr>
            <w:tcW w:w="1560" w:type="dxa"/>
            <w:tcBorders>
              <w:top w:val="nil"/>
              <w:left w:val="nil"/>
              <w:bottom w:val="nil"/>
              <w:right w:val="nil"/>
            </w:tcBorders>
            <w:vAlign w:val="center"/>
          </w:tcPr>
          <w:p w14:paraId="3ECB169F" w14:textId="68B2AF64" w:rsidR="00006D85" w:rsidRPr="00006D85" w:rsidRDefault="00006D85">
            <w:pPr>
              <w:autoSpaceDE w:val="0"/>
              <w:autoSpaceDN w:val="0"/>
              <w:adjustRightInd w:val="0"/>
              <w:spacing w:after="0" w:line="240" w:lineRule="auto"/>
              <w:jc w:val="center"/>
              <w:rPr>
                <w:rFonts w:ascii="Calibri" w:hAnsi="Calibri" w:cs="Calibri"/>
                <w:color w:val="000000" w:themeColor="text1"/>
                <w:sz w:val="16"/>
                <w:szCs w:val="16"/>
              </w:rPr>
            </w:pPr>
            <w:r w:rsidRPr="00ED4A5F">
              <w:rPr>
                <w:rFonts w:ascii="Calibri" w:hAnsi="Calibri" w:cs="Calibri"/>
                <w:color w:val="000000"/>
                <w:sz w:val="16"/>
                <w:szCs w:val="16"/>
              </w:rPr>
              <w:t>138 (-476;676)</w:t>
            </w:r>
          </w:p>
        </w:tc>
        <w:tc>
          <w:tcPr>
            <w:tcW w:w="1559" w:type="dxa"/>
            <w:tcBorders>
              <w:top w:val="nil"/>
              <w:left w:val="nil"/>
              <w:bottom w:val="nil"/>
              <w:right w:val="nil"/>
            </w:tcBorders>
            <w:vAlign w:val="center"/>
          </w:tcPr>
          <w:p w14:paraId="102FAA55" w14:textId="29FF9095"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1601 (958;2469)</w:t>
            </w:r>
          </w:p>
        </w:tc>
        <w:tc>
          <w:tcPr>
            <w:tcW w:w="1559" w:type="dxa"/>
            <w:tcBorders>
              <w:top w:val="nil"/>
              <w:left w:val="nil"/>
              <w:bottom w:val="nil"/>
              <w:right w:val="nil"/>
            </w:tcBorders>
            <w:vAlign w:val="center"/>
          </w:tcPr>
          <w:p w14:paraId="0FA626D2" w14:textId="4C5A6444"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3276 (2447;5624)</w:t>
            </w:r>
          </w:p>
        </w:tc>
        <w:tc>
          <w:tcPr>
            <w:tcW w:w="1513" w:type="dxa"/>
            <w:tcBorders>
              <w:top w:val="nil"/>
              <w:left w:val="nil"/>
              <w:bottom w:val="nil"/>
              <w:right w:val="nil"/>
            </w:tcBorders>
            <w:vAlign w:val="center"/>
          </w:tcPr>
          <w:p w14:paraId="742BF2A5" w14:textId="42C57120"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3680 (2364;4916)</w:t>
            </w:r>
          </w:p>
        </w:tc>
      </w:tr>
      <w:tr w:rsidR="00006D85" w:rsidRPr="00445A65" w14:paraId="1A2FB20E" w14:textId="77777777" w:rsidTr="00ED4A5F">
        <w:trPr>
          <w:trHeight w:val="290"/>
        </w:trPr>
        <w:tc>
          <w:tcPr>
            <w:tcW w:w="1276" w:type="dxa"/>
            <w:tcBorders>
              <w:top w:val="nil"/>
              <w:left w:val="nil"/>
              <w:bottom w:val="nil"/>
              <w:right w:val="single" w:sz="4" w:space="0" w:color="auto"/>
            </w:tcBorders>
            <w:shd w:val="clear" w:color="auto" w:fill="F2F2F2" w:themeFill="background1" w:themeFillShade="F2"/>
            <w:vAlign w:val="center"/>
          </w:tcPr>
          <w:p w14:paraId="44DC103A"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UF</w:t>
            </w:r>
          </w:p>
        </w:tc>
        <w:tc>
          <w:tcPr>
            <w:tcW w:w="1559" w:type="dxa"/>
            <w:tcBorders>
              <w:top w:val="nil"/>
              <w:left w:val="single" w:sz="4" w:space="0" w:color="auto"/>
              <w:bottom w:val="nil"/>
              <w:right w:val="nil"/>
            </w:tcBorders>
            <w:shd w:val="clear" w:color="auto" w:fill="F2F2F2" w:themeFill="background1" w:themeFillShade="F2"/>
            <w:vAlign w:val="center"/>
          </w:tcPr>
          <w:p w14:paraId="49675909" w14:textId="2B91AC19"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-695 (-853;-537)</w:t>
            </w:r>
          </w:p>
        </w:tc>
        <w:tc>
          <w:tcPr>
            <w:tcW w:w="1560" w:type="dxa"/>
            <w:tcBorders>
              <w:top w:val="nil"/>
              <w:left w:val="nil"/>
              <w:bottom w:val="nil"/>
              <w:right w:val="nil"/>
            </w:tcBorders>
            <w:shd w:val="clear" w:color="auto" w:fill="F2F2F2" w:themeFill="background1" w:themeFillShade="F2"/>
            <w:vAlign w:val="center"/>
          </w:tcPr>
          <w:p w14:paraId="1CCF918D" w14:textId="0E83FBE6"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159 (-154;471)</w:t>
            </w:r>
          </w:p>
        </w:tc>
        <w:tc>
          <w:tcPr>
            <w:tcW w:w="1559" w:type="dxa"/>
            <w:tcBorders>
              <w:top w:val="nil"/>
              <w:left w:val="nil"/>
              <w:bottom w:val="nil"/>
              <w:right w:val="nil"/>
            </w:tcBorders>
            <w:shd w:val="clear" w:color="auto" w:fill="F2F2F2" w:themeFill="background1" w:themeFillShade="F2"/>
            <w:vAlign w:val="center"/>
          </w:tcPr>
          <w:p w14:paraId="620F9B8C" w14:textId="78635E99"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2237 (1844;2630)</w:t>
            </w:r>
          </w:p>
        </w:tc>
        <w:tc>
          <w:tcPr>
            <w:tcW w:w="1559" w:type="dxa"/>
            <w:tcBorders>
              <w:top w:val="nil"/>
              <w:left w:val="nil"/>
              <w:bottom w:val="nil"/>
              <w:right w:val="nil"/>
            </w:tcBorders>
            <w:shd w:val="clear" w:color="auto" w:fill="F2F2F2" w:themeFill="background1" w:themeFillShade="F2"/>
            <w:vAlign w:val="center"/>
          </w:tcPr>
          <w:p w14:paraId="0BCF3516" w14:textId="17310EB1"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4329 (4004;4654)</w:t>
            </w:r>
          </w:p>
        </w:tc>
        <w:tc>
          <w:tcPr>
            <w:tcW w:w="1513" w:type="dxa"/>
            <w:tcBorders>
              <w:top w:val="nil"/>
              <w:left w:val="nil"/>
              <w:bottom w:val="nil"/>
              <w:right w:val="nil"/>
            </w:tcBorders>
            <w:shd w:val="clear" w:color="auto" w:fill="F2F2F2" w:themeFill="background1" w:themeFillShade="F2"/>
            <w:vAlign w:val="center"/>
          </w:tcPr>
          <w:p w14:paraId="27343DB3" w14:textId="500D608F"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5788 (5345;6230)</w:t>
            </w:r>
          </w:p>
        </w:tc>
      </w:tr>
      <w:tr w:rsidR="00006D85" w:rsidRPr="00445A65" w14:paraId="18975960" w14:textId="77777777" w:rsidTr="00ED4A5F">
        <w:trPr>
          <w:trHeight w:val="290"/>
        </w:trPr>
        <w:tc>
          <w:tcPr>
            <w:tcW w:w="1276" w:type="dxa"/>
            <w:tcBorders>
              <w:top w:val="nil"/>
              <w:left w:val="nil"/>
              <w:bottom w:val="nil"/>
              <w:right w:val="single" w:sz="4" w:space="0" w:color="auto"/>
            </w:tcBorders>
            <w:shd w:val="clear" w:color="auto" w:fill="FFFFFF" w:themeFill="background1"/>
            <w:vAlign w:val="center"/>
          </w:tcPr>
          <w:p w14:paraId="32CE7524"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color w:val="000000" w:themeColor="text1"/>
                <w:sz w:val="16"/>
                <w:szCs w:val="16"/>
              </w:rPr>
              <w:t>UWA</w:t>
            </w:r>
          </w:p>
        </w:tc>
        <w:tc>
          <w:tcPr>
            <w:tcW w:w="1559" w:type="dxa"/>
            <w:tcBorders>
              <w:top w:val="nil"/>
              <w:left w:val="single" w:sz="4" w:space="0" w:color="auto"/>
              <w:bottom w:val="nil"/>
              <w:right w:val="nil"/>
            </w:tcBorders>
            <w:shd w:val="clear" w:color="auto" w:fill="FFFFFF" w:themeFill="background1"/>
            <w:vAlign w:val="center"/>
          </w:tcPr>
          <w:p w14:paraId="3570A671" w14:textId="2C3E39FF" w:rsidR="00006D85" w:rsidRPr="00006D85" w:rsidRDefault="00006D85">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-2930 (-3684;-2176)</w:t>
            </w:r>
          </w:p>
        </w:tc>
        <w:tc>
          <w:tcPr>
            <w:tcW w:w="1560" w:type="dxa"/>
            <w:tcBorders>
              <w:top w:val="nil"/>
              <w:left w:val="nil"/>
              <w:bottom w:val="nil"/>
              <w:right w:val="nil"/>
            </w:tcBorders>
            <w:shd w:val="clear" w:color="auto" w:fill="FFFFFF" w:themeFill="background1"/>
            <w:vAlign w:val="center"/>
          </w:tcPr>
          <w:p w14:paraId="3DAE1804" w14:textId="6A43C2A0" w:rsidR="00006D85" w:rsidRPr="00006D85" w:rsidRDefault="00006D85">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-3325 (-4517;-2133)</w:t>
            </w:r>
          </w:p>
        </w:tc>
        <w:tc>
          <w:tcPr>
            <w:tcW w:w="1559" w:type="dxa"/>
            <w:tcBorders>
              <w:top w:val="nil"/>
              <w:left w:val="nil"/>
              <w:bottom w:val="nil"/>
              <w:right w:val="nil"/>
            </w:tcBorders>
            <w:shd w:val="clear" w:color="auto" w:fill="FFFFFF" w:themeFill="background1"/>
            <w:vAlign w:val="center"/>
          </w:tcPr>
          <w:p w14:paraId="5ADC188F" w14:textId="448E6FE8" w:rsidR="00006D85" w:rsidRPr="00006D85" w:rsidRDefault="00006D85">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-506 (-1704;692)</w:t>
            </w:r>
          </w:p>
        </w:tc>
        <w:tc>
          <w:tcPr>
            <w:tcW w:w="1559" w:type="dxa"/>
            <w:tcBorders>
              <w:top w:val="nil"/>
              <w:left w:val="nil"/>
              <w:bottom w:val="nil"/>
              <w:right w:val="nil"/>
            </w:tcBorders>
            <w:shd w:val="clear" w:color="auto" w:fill="FFFFFF" w:themeFill="background1"/>
            <w:vAlign w:val="center"/>
          </w:tcPr>
          <w:p w14:paraId="48A70E40" w14:textId="2767F3D2" w:rsidR="00006D85" w:rsidRPr="00006D85" w:rsidRDefault="00006D85">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698 (-600;1997)</w:t>
            </w:r>
          </w:p>
        </w:tc>
        <w:tc>
          <w:tcPr>
            <w:tcW w:w="1513" w:type="dxa"/>
            <w:tcBorders>
              <w:top w:val="nil"/>
              <w:left w:val="nil"/>
              <w:bottom w:val="nil"/>
              <w:right w:val="nil"/>
            </w:tcBorders>
            <w:shd w:val="clear" w:color="auto" w:fill="FFFFFF" w:themeFill="background1"/>
            <w:vAlign w:val="center"/>
          </w:tcPr>
          <w:p w14:paraId="4BDA8118" w14:textId="5A017F47" w:rsidR="00006D85" w:rsidRPr="00006D85" w:rsidRDefault="00006D85">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1634 (-190;3457)</w:t>
            </w:r>
          </w:p>
        </w:tc>
      </w:tr>
      <w:tr w:rsidR="00006D85" w:rsidRPr="00445A65" w14:paraId="14E74B63" w14:textId="77777777" w:rsidTr="00006D85">
        <w:trPr>
          <w:trHeight w:val="290"/>
        </w:trPr>
        <w:tc>
          <w:tcPr>
            <w:tcW w:w="1276" w:type="dxa"/>
            <w:tcBorders>
              <w:top w:val="nil"/>
              <w:left w:val="nil"/>
              <w:bottom w:val="nil"/>
              <w:right w:val="nil"/>
            </w:tcBorders>
          </w:tcPr>
          <w:p w14:paraId="014C81AF"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1559" w:type="dxa"/>
            <w:tcBorders>
              <w:top w:val="nil"/>
              <w:left w:val="nil"/>
              <w:bottom w:val="nil"/>
              <w:right w:val="nil"/>
            </w:tcBorders>
          </w:tcPr>
          <w:p w14:paraId="6F17C6D3"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1560" w:type="dxa"/>
            <w:tcBorders>
              <w:top w:val="nil"/>
              <w:left w:val="nil"/>
              <w:bottom w:val="nil"/>
              <w:right w:val="nil"/>
            </w:tcBorders>
          </w:tcPr>
          <w:p w14:paraId="7E338BF4"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1559" w:type="dxa"/>
            <w:tcBorders>
              <w:top w:val="nil"/>
              <w:left w:val="nil"/>
              <w:bottom w:val="nil"/>
              <w:right w:val="nil"/>
            </w:tcBorders>
          </w:tcPr>
          <w:p w14:paraId="1A8D0C66"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1559" w:type="dxa"/>
            <w:tcBorders>
              <w:top w:val="nil"/>
              <w:left w:val="nil"/>
              <w:bottom w:val="nil"/>
              <w:right w:val="nil"/>
            </w:tcBorders>
          </w:tcPr>
          <w:p w14:paraId="3021692A"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1513" w:type="dxa"/>
            <w:tcBorders>
              <w:top w:val="nil"/>
              <w:left w:val="nil"/>
              <w:bottom w:val="nil"/>
              <w:right w:val="nil"/>
            </w:tcBorders>
          </w:tcPr>
          <w:p w14:paraId="0CCC4E5F"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r>
    </w:tbl>
    <w:p w14:paraId="0843C346" w14:textId="77777777" w:rsidR="00445A65" w:rsidRPr="00445A65" w:rsidRDefault="00445A65" w:rsidP="00445A65">
      <w:pPr>
        <w:pStyle w:val="Caption"/>
        <w:rPr>
          <w:color w:val="000000" w:themeColor="text1"/>
        </w:rPr>
      </w:pPr>
    </w:p>
    <w:tbl>
      <w:tblPr>
        <w:tblW w:w="0" w:type="auto"/>
        <w:tblLook w:val="0000" w:firstRow="0" w:lastRow="0" w:firstColumn="0" w:lastColumn="0" w:noHBand="0" w:noVBand="0"/>
      </w:tblPr>
      <w:tblGrid>
        <w:gridCol w:w="1152"/>
        <w:gridCol w:w="1366"/>
        <w:gridCol w:w="1447"/>
        <w:gridCol w:w="1528"/>
        <w:gridCol w:w="1366"/>
        <w:gridCol w:w="1366"/>
      </w:tblGrid>
      <w:tr w:rsidR="00445A65" w:rsidRPr="00445A65" w14:paraId="08A0E1FC" w14:textId="77777777" w:rsidTr="00C51D6D">
        <w:trPr>
          <w:trHeight w:val="290"/>
        </w:trPr>
        <w:tc>
          <w:tcPr>
            <w:tcW w:w="0" w:type="auto"/>
            <w:tcBorders>
              <w:top w:val="nil"/>
              <w:left w:val="nil"/>
              <w:bottom w:val="single" w:sz="4" w:space="0" w:color="auto"/>
              <w:right w:val="single" w:sz="4" w:space="0" w:color="auto"/>
            </w:tcBorders>
            <w:vAlign w:val="center"/>
          </w:tcPr>
          <w:p w14:paraId="2AA711A6" w14:textId="77777777" w:rsidR="00445A65" w:rsidRPr="00445A65" w:rsidRDefault="00445A65" w:rsidP="00C51D6D">
            <w:pPr>
              <w:autoSpaceDE w:val="0"/>
              <w:autoSpaceDN w:val="0"/>
              <w:adjustRightInd w:val="0"/>
              <w:spacing w:line="240" w:lineRule="auto"/>
              <w:jc w:val="center"/>
              <w:rPr>
                <w:rFonts w:ascii="Calibri" w:hAnsi="Calibri" w:cs="Calibri"/>
                <w:b/>
                <w:color w:val="000000" w:themeColor="text1"/>
                <w:sz w:val="16"/>
                <w:szCs w:val="16"/>
              </w:rPr>
            </w:pPr>
            <w:r w:rsidRPr="00445A65">
              <w:rPr>
                <w:rFonts w:ascii="Calibri" w:hAnsi="Calibri" w:cs="Calibri"/>
                <w:b/>
                <w:color w:val="000000" w:themeColor="text1"/>
                <w:sz w:val="16"/>
                <w:szCs w:val="16"/>
              </w:rPr>
              <w:t>(c)</w:t>
            </w:r>
          </w:p>
        </w:tc>
        <w:tc>
          <w:tcPr>
            <w:tcW w:w="0" w:type="auto"/>
            <w:tcBorders>
              <w:top w:val="nil"/>
              <w:left w:val="single" w:sz="4" w:space="0" w:color="auto"/>
              <w:bottom w:val="single" w:sz="4" w:space="0" w:color="auto"/>
              <w:right w:val="nil"/>
            </w:tcBorders>
            <w:vAlign w:val="center"/>
          </w:tcPr>
          <w:p w14:paraId="665CD024"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SP9=10%</w:t>
            </w:r>
          </w:p>
        </w:tc>
        <w:tc>
          <w:tcPr>
            <w:tcW w:w="0" w:type="auto"/>
            <w:tcBorders>
              <w:top w:val="nil"/>
              <w:left w:val="nil"/>
              <w:bottom w:val="single" w:sz="4" w:space="0" w:color="auto"/>
              <w:right w:val="nil"/>
            </w:tcBorders>
            <w:vAlign w:val="center"/>
          </w:tcPr>
          <w:p w14:paraId="11A9CFD2"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SP9=30%</w:t>
            </w:r>
          </w:p>
        </w:tc>
        <w:tc>
          <w:tcPr>
            <w:tcW w:w="0" w:type="auto"/>
            <w:tcBorders>
              <w:top w:val="nil"/>
              <w:left w:val="nil"/>
              <w:bottom w:val="single" w:sz="4" w:space="0" w:color="auto"/>
              <w:right w:val="nil"/>
            </w:tcBorders>
            <w:vAlign w:val="center"/>
          </w:tcPr>
          <w:p w14:paraId="3A965D7E"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SP9=50%</w:t>
            </w:r>
          </w:p>
        </w:tc>
        <w:tc>
          <w:tcPr>
            <w:tcW w:w="0" w:type="auto"/>
            <w:tcBorders>
              <w:top w:val="nil"/>
              <w:left w:val="nil"/>
              <w:bottom w:val="single" w:sz="4" w:space="0" w:color="auto"/>
              <w:right w:val="nil"/>
            </w:tcBorders>
            <w:vAlign w:val="center"/>
          </w:tcPr>
          <w:p w14:paraId="358D7913"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SP9=70%</w:t>
            </w:r>
          </w:p>
        </w:tc>
        <w:tc>
          <w:tcPr>
            <w:tcW w:w="0" w:type="auto"/>
            <w:tcBorders>
              <w:top w:val="nil"/>
              <w:left w:val="nil"/>
              <w:bottom w:val="single" w:sz="4" w:space="0" w:color="auto"/>
              <w:right w:val="nil"/>
            </w:tcBorders>
            <w:vAlign w:val="center"/>
          </w:tcPr>
          <w:p w14:paraId="0F6AA0A0" w14:textId="77777777" w:rsidR="00445A65" w:rsidRPr="00445A65" w:rsidRDefault="00445A65" w:rsidP="00C51D6D">
            <w:pPr>
              <w:keepNext/>
              <w:keepLines/>
              <w:autoSpaceDE w:val="0"/>
              <w:autoSpaceDN w:val="0"/>
              <w:adjustRightInd w:val="0"/>
              <w:spacing w:before="200" w:line="240" w:lineRule="auto"/>
              <w:jc w:val="center"/>
              <w:outlineLvl w:val="5"/>
              <w:rPr>
                <w:rFonts w:ascii="Calibri" w:eastAsiaTheme="majorEastAsia" w:hAnsi="Calibri" w:cs="Calibri"/>
                <w:color w:val="000000" w:themeColor="text1"/>
                <w:sz w:val="16"/>
                <w:szCs w:val="16"/>
              </w:rPr>
            </w:pPr>
            <w:r w:rsidRPr="00445A65">
              <w:rPr>
                <w:rFonts w:ascii="Calibri" w:hAnsi="Calibri" w:cs="Calibri"/>
                <w:color w:val="000000" w:themeColor="text1"/>
                <w:sz w:val="16"/>
                <w:szCs w:val="16"/>
              </w:rPr>
              <w:t>SP9=90%</w:t>
            </w:r>
          </w:p>
        </w:tc>
      </w:tr>
      <w:tr w:rsidR="00006D85" w:rsidRPr="00445A65" w14:paraId="663B4C1F" w14:textId="77777777" w:rsidTr="00ED4A5F">
        <w:trPr>
          <w:trHeight w:val="290"/>
        </w:trPr>
        <w:tc>
          <w:tcPr>
            <w:tcW w:w="0" w:type="auto"/>
            <w:tcBorders>
              <w:top w:val="single" w:sz="4" w:space="0" w:color="auto"/>
              <w:left w:val="nil"/>
              <w:bottom w:val="nil"/>
              <w:right w:val="single" w:sz="4" w:space="0" w:color="auto"/>
            </w:tcBorders>
            <w:shd w:val="clear" w:color="auto" w:fill="F2F2F2" w:themeFill="background1" w:themeFillShade="F2"/>
            <w:vAlign w:val="center"/>
          </w:tcPr>
          <w:p w14:paraId="1F0A3B71"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Duke</w:t>
            </w:r>
          </w:p>
        </w:tc>
        <w:tc>
          <w:tcPr>
            <w:tcW w:w="0" w:type="auto"/>
            <w:tcBorders>
              <w:top w:val="single" w:sz="4" w:space="0" w:color="auto"/>
              <w:left w:val="single" w:sz="4" w:space="0" w:color="auto"/>
              <w:right w:val="nil"/>
            </w:tcBorders>
            <w:shd w:val="clear" w:color="auto" w:fill="F2F2F2" w:themeFill="background1" w:themeFillShade="F2"/>
            <w:vAlign w:val="center"/>
          </w:tcPr>
          <w:p w14:paraId="66972F0C" w14:textId="76DD7081"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1670 (1030;2210)</w:t>
            </w:r>
          </w:p>
        </w:tc>
        <w:tc>
          <w:tcPr>
            <w:tcW w:w="0" w:type="auto"/>
            <w:tcBorders>
              <w:top w:val="single" w:sz="4" w:space="0" w:color="auto"/>
              <w:left w:val="nil"/>
              <w:right w:val="nil"/>
            </w:tcBorders>
            <w:shd w:val="clear" w:color="auto" w:fill="F2F2F2" w:themeFill="background1" w:themeFillShade="F2"/>
            <w:vAlign w:val="center"/>
          </w:tcPr>
          <w:p w14:paraId="50F4C6C2" w14:textId="2831EB4B"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3730 (2100;5390)</w:t>
            </w:r>
          </w:p>
        </w:tc>
        <w:tc>
          <w:tcPr>
            <w:tcW w:w="0" w:type="auto"/>
            <w:tcBorders>
              <w:top w:val="single" w:sz="4" w:space="0" w:color="auto"/>
              <w:left w:val="nil"/>
              <w:right w:val="nil"/>
            </w:tcBorders>
            <w:shd w:val="clear" w:color="auto" w:fill="F2F2F2" w:themeFill="background1" w:themeFillShade="F2"/>
            <w:vAlign w:val="center"/>
          </w:tcPr>
          <w:p w14:paraId="5979F3CA" w14:textId="1E1C5B6A"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4480 (2180;6050)</w:t>
            </w:r>
          </w:p>
        </w:tc>
        <w:tc>
          <w:tcPr>
            <w:tcW w:w="0" w:type="auto"/>
            <w:tcBorders>
              <w:top w:val="single" w:sz="4" w:space="0" w:color="auto"/>
              <w:left w:val="nil"/>
              <w:right w:val="nil"/>
            </w:tcBorders>
            <w:shd w:val="clear" w:color="auto" w:fill="F2F2F2" w:themeFill="background1" w:themeFillShade="F2"/>
            <w:vAlign w:val="center"/>
          </w:tcPr>
          <w:p w14:paraId="368A7B21" w14:textId="40EBA9B4"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4240 (2140;5880)</w:t>
            </w:r>
          </w:p>
        </w:tc>
        <w:tc>
          <w:tcPr>
            <w:tcW w:w="0" w:type="auto"/>
            <w:tcBorders>
              <w:top w:val="single" w:sz="4" w:space="0" w:color="auto"/>
              <w:left w:val="nil"/>
              <w:right w:val="nil"/>
            </w:tcBorders>
            <w:shd w:val="clear" w:color="auto" w:fill="F2F2F2" w:themeFill="background1" w:themeFillShade="F2"/>
            <w:vAlign w:val="center"/>
          </w:tcPr>
          <w:p w14:paraId="79A2664B" w14:textId="2BDA4113"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2440 (1140;3170)</w:t>
            </w:r>
          </w:p>
        </w:tc>
      </w:tr>
      <w:tr w:rsidR="00006D85" w:rsidRPr="00445A65" w14:paraId="5122EF26" w14:textId="77777777" w:rsidTr="00ED4A5F">
        <w:trPr>
          <w:trHeight w:val="290"/>
        </w:trPr>
        <w:tc>
          <w:tcPr>
            <w:tcW w:w="0" w:type="auto"/>
            <w:tcBorders>
              <w:top w:val="nil"/>
              <w:left w:val="nil"/>
              <w:bottom w:val="nil"/>
              <w:right w:val="single" w:sz="4" w:space="0" w:color="auto"/>
            </w:tcBorders>
            <w:vAlign w:val="center"/>
          </w:tcPr>
          <w:p w14:paraId="0BE42B4A"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Exeter/Oxford</w:t>
            </w:r>
          </w:p>
        </w:tc>
        <w:tc>
          <w:tcPr>
            <w:tcW w:w="0" w:type="auto"/>
            <w:tcBorders>
              <w:top w:val="nil"/>
              <w:left w:val="single" w:sz="4" w:space="0" w:color="auto"/>
              <w:bottom w:val="nil"/>
              <w:right w:val="nil"/>
            </w:tcBorders>
            <w:vAlign w:val="center"/>
          </w:tcPr>
          <w:p w14:paraId="4B5D6A2F" w14:textId="6EFF31D8"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1196 (1077;1316)</w:t>
            </w:r>
          </w:p>
        </w:tc>
        <w:tc>
          <w:tcPr>
            <w:tcW w:w="0" w:type="auto"/>
            <w:tcBorders>
              <w:top w:val="nil"/>
              <w:left w:val="nil"/>
              <w:bottom w:val="nil"/>
              <w:right w:val="nil"/>
            </w:tcBorders>
            <w:vAlign w:val="center"/>
          </w:tcPr>
          <w:p w14:paraId="59BF5EAB" w14:textId="4F28114C"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2862 (2590;3135)</w:t>
            </w:r>
          </w:p>
        </w:tc>
        <w:tc>
          <w:tcPr>
            <w:tcW w:w="0" w:type="auto"/>
            <w:tcBorders>
              <w:top w:val="nil"/>
              <w:left w:val="nil"/>
              <w:bottom w:val="nil"/>
              <w:right w:val="nil"/>
            </w:tcBorders>
            <w:vAlign w:val="center"/>
          </w:tcPr>
          <w:p w14:paraId="1D9FBEE8" w14:textId="75221946"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3568 (3240;3896)</w:t>
            </w:r>
          </w:p>
        </w:tc>
        <w:tc>
          <w:tcPr>
            <w:tcW w:w="0" w:type="auto"/>
            <w:tcBorders>
              <w:top w:val="nil"/>
              <w:left w:val="nil"/>
              <w:bottom w:val="nil"/>
              <w:right w:val="nil"/>
            </w:tcBorders>
            <w:vAlign w:val="center"/>
          </w:tcPr>
          <w:p w14:paraId="146B9CA1" w14:textId="3830987A"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3387 (3103;3672)</w:t>
            </w:r>
          </w:p>
        </w:tc>
        <w:tc>
          <w:tcPr>
            <w:tcW w:w="0" w:type="auto"/>
            <w:tcBorders>
              <w:top w:val="nil"/>
              <w:left w:val="nil"/>
              <w:bottom w:val="nil"/>
              <w:right w:val="nil"/>
            </w:tcBorders>
            <w:vAlign w:val="center"/>
          </w:tcPr>
          <w:p w14:paraId="7F6497DD" w14:textId="3B565883"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2349 (2179;2520)</w:t>
            </w:r>
          </w:p>
        </w:tc>
      </w:tr>
      <w:tr w:rsidR="00006D85" w:rsidRPr="00445A65" w14:paraId="183A10B5" w14:textId="77777777" w:rsidTr="00ED4A5F">
        <w:trPr>
          <w:trHeight w:val="290"/>
        </w:trPr>
        <w:tc>
          <w:tcPr>
            <w:tcW w:w="0" w:type="auto"/>
            <w:tcBorders>
              <w:top w:val="nil"/>
              <w:left w:val="nil"/>
              <w:bottom w:val="nil"/>
              <w:right w:val="single" w:sz="4" w:space="0" w:color="auto"/>
            </w:tcBorders>
            <w:shd w:val="clear" w:color="auto" w:fill="F2F2F2" w:themeFill="background1" w:themeFillShade="F2"/>
            <w:vAlign w:val="center"/>
          </w:tcPr>
          <w:p w14:paraId="443D5401"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Hopkins/UF</w:t>
            </w:r>
          </w:p>
        </w:tc>
        <w:tc>
          <w:tcPr>
            <w:tcW w:w="0" w:type="auto"/>
            <w:tcBorders>
              <w:top w:val="nil"/>
              <w:left w:val="single" w:sz="4" w:space="0" w:color="auto"/>
              <w:bottom w:val="nil"/>
              <w:right w:val="nil"/>
            </w:tcBorders>
            <w:shd w:val="clear" w:color="auto" w:fill="F2F2F2" w:themeFill="background1" w:themeFillShade="F2"/>
            <w:vAlign w:val="center"/>
          </w:tcPr>
          <w:p w14:paraId="7FCC83F9" w14:textId="22C8B8AD"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p>
        </w:tc>
        <w:tc>
          <w:tcPr>
            <w:tcW w:w="0" w:type="auto"/>
            <w:tcBorders>
              <w:top w:val="nil"/>
              <w:left w:val="nil"/>
              <w:bottom w:val="nil"/>
              <w:right w:val="nil"/>
            </w:tcBorders>
            <w:shd w:val="clear" w:color="auto" w:fill="F2F2F2" w:themeFill="background1" w:themeFillShade="F2"/>
            <w:vAlign w:val="center"/>
          </w:tcPr>
          <w:p w14:paraId="63EFF0F3" w14:textId="0EE92F50"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p>
        </w:tc>
        <w:tc>
          <w:tcPr>
            <w:tcW w:w="0" w:type="auto"/>
            <w:tcBorders>
              <w:top w:val="nil"/>
              <w:left w:val="nil"/>
              <w:bottom w:val="nil"/>
              <w:right w:val="nil"/>
            </w:tcBorders>
            <w:shd w:val="clear" w:color="auto" w:fill="F2F2F2" w:themeFill="background1" w:themeFillShade="F2"/>
            <w:vAlign w:val="center"/>
          </w:tcPr>
          <w:p w14:paraId="06FB801C" w14:textId="2C38823D"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p>
        </w:tc>
        <w:tc>
          <w:tcPr>
            <w:tcW w:w="0" w:type="auto"/>
            <w:tcBorders>
              <w:top w:val="nil"/>
              <w:left w:val="nil"/>
              <w:bottom w:val="nil"/>
              <w:right w:val="nil"/>
            </w:tcBorders>
            <w:shd w:val="clear" w:color="auto" w:fill="F2F2F2" w:themeFill="background1" w:themeFillShade="F2"/>
            <w:vAlign w:val="center"/>
          </w:tcPr>
          <w:p w14:paraId="796E5FE0" w14:textId="7654BF36"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p>
        </w:tc>
        <w:tc>
          <w:tcPr>
            <w:tcW w:w="0" w:type="auto"/>
            <w:tcBorders>
              <w:top w:val="nil"/>
              <w:left w:val="nil"/>
              <w:bottom w:val="nil"/>
              <w:right w:val="nil"/>
            </w:tcBorders>
            <w:shd w:val="clear" w:color="auto" w:fill="F2F2F2" w:themeFill="background1" w:themeFillShade="F2"/>
            <w:vAlign w:val="center"/>
          </w:tcPr>
          <w:p w14:paraId="1A610CF0" w14:textId="3846270C"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p>
        </w:tc>
      </w:tr>
      <w:tr w:rsidR="00006D85" w:rsidRPr="00445A65" w14:paraId="17F5B320" w14:textId="77777777" w:rsidTr="00ED4A5F">
        <w:trPr>
          <w:trHeight w:val="290"/>
        </w:trPr>
        <w:tc>
          <w:tcPr>
            <w:tcW w:w="0" w:type="auto"/>
            <w:tcBorders>
              <w:top w:val="nil"/>
              <w:left w:val="nil"/>
              <w:bottom w:val="nil"/>
              <w:right w:val="single" w:sz="4" w:space="0" w:color="auto"/>
            </w:tcBorders>
            <w:vAlign w:val="center"/>
          </w:tcPr>
          <w:p w14:paraId="069FA81B"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Imperial</w:t>
            </w:r>
          </w:p>
        </w:tc>
        <w:tc>
          <w:tcPr>
            <w:tcW w:w="0" w:type="auto"/>
            <w:tcBorders>
              <w:top w:val="nil"/>
              <w:left w:val="single" w:sz="4" w:space="0" w:color="auto"/>
              <w:bottom w:val="nil"/>
              <w:right w:val="nil"/>
            </w:tcBorders>
            <w:vAlign w:val="center"/>
          </w:tcPr>
          <w:p w14:paraId="3600B7B3" w14:textId="7A8E6B69"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1841 (1495;2229)</w:t>
            </w:r>
          </w:p>
        </w:tc>
        <w:tc>
          <w:tcPr>
            <w:tcW w:w="0" w:type="auto"/>
            <w:tcBorders>
              <w:top w:val="nil"/>
              <w:left w:val="nil"/>
              <w:bottom w:val="nil"/>
              <w:right w:val="nil"/>
            </w:tcBorders>
            <w:vAlign w:val="center"/>
          </w:tcPr>
          <w:p w14:paraId="54942817" w14:textId="44BB8278"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5574 (5170;6084)</w:t>
            </w:r>
          </w:p>
        </w:tc>
        <w:tc>
          <w:tcPr>
            <w:tcW w:w="0" w:type="auto"/>
            <w:tcBorders>
              <w:top w:val="nil"/>
              <w:left w:val="nil"/>
              <w:bottom w:val="nil"/>
              <w:right w:val="nil"/>
            </w:tcBorders>
            <w:vAlign w:val="center"/>
          </w:tcPr>
          <w:p w14:paraId="52D2E0EE" w14:textId="68892203"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7389 (6869;7993)</w:t>
            </w:r>
          </w:p>
        </w:tc>
        <w:tc>
          <w:tcPr>
            <w:tcW w:w="0" w:type="auto"/>
            <w:tcBorders>
              <w:top w:val="nil"/>
              <w:left w:val="nil"/>
              <w:bottom w:val="nil"/>
              <w:right w:val="nil"/>
            </w:tcBorders>
            <w:vAlign w:val="center"/>
          </w:tcPr>
          <w:p w14:paraId="7F0BFDD9" w14:textId="6FEAC6EC"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7259 (6432;7897)</w:t>
            </w:r>
          </w:p>
        </w:tc>
        <w:tc>
          <w:tcPr>
            <w:tcW w:w="0" w:type="auto"/>
            <w:tcBorders>
              <w:top w:val="nil"/>
              <w:left w:val="nil"/>
              <w:bottom w:val="nil"/>
              <w:right w:val="nil"/>
            </w:tcBorders>
            <w:vAlign w:val="center"/>
          </w:tcPr>
          <w:p w14:paraId="0A16638C" w14:textId="1CDE32EA"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4858 (3843;5872)</w:t>
            </w:r>
          </w:p>
        </w:tc>
      </w:tr>
      <w:tr w:rsidR="00006D85" w:rsidRPr="00445A65" w14:paraId="03609151" w14:textId="77777777" w:rsidTr="00ED4A5F">
        <w:trPr>
          <w:trHeight w:val="290"/>
        </w:trPr>
        <w:tc>
          <w:tcPr>
            <w:tcW w:w="0" w:type="auto"/>
            <w:tcBorders>
              <w:top w:val="nil"/>
              <w:left w:val="nil"/>
              <w:bottom w:val="nil"/>
              <w:right w:val="single" w:sz="4" w:space="0" w:color="auto"/>
            </w:tcBorders>
            <w:shd w:val="clear" w:color="auto" w:fill="F2F2F2" w:themeFill="background1" w:themeFillShade="F2"/>
            <w:vAlign w:val="center"/>
          </w:tcPr>
          <w:p w14:paraId="47E58E1E"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Notre Dame</w:t>
            </w:r>
          </w:p>
        </w:tc>
        <w:tc>
          <w:tcPr>
            <w:tcW w:w="0" w:type="auto"/>
            <w:tcBorders>
              <w:top w:val="nil"/>
              <w:left w:val="single" w:sz="4" w:space="0" w:color="auto"/>
              <w:bottom w:val="nil"/>
              <w:right w:val="nil"/>
            </w:tcBorders>
            <w:shd w:val="clear" w:color="auto" w:fill="F2F2F2" w:themeFill="background1" w:themeFillShade="F2"/>
            <w:vAlign w:val="center"/>
          </w:tcPr>
          <w:p w14:paraId="4C89F747" w14:textId="1353F322"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3354 (576;5965)</w:t>
            </w:r>
          </w:p>
        </w:tc>
        <w:tc>
          <w:tcPr>
            <w:tcW w:w="0" w:type="auto"/>
            <w:tcBorders>
              <w:top w:val="nil"/>
              <w:left w:val="nil"/>
              <w:bottom w:val="nil"/>
              <w:right w:val="nil"/>
            </w:tcBorders>
            <w:shd w:val="clear" w:color="auto" w:fill="F2F2F2" w:themeFill="background1" w:themeFillShade="F2"/>
            <w:vAlign w:val="center"/>
          </w:tcPr>
          <w:p w14:paraId="63E04B96" w14:textId="16A314B4"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7714 (5987;9896)</w:t>
            </w:r>
          </w:p>
        </w:tc>
        <w:tc>
          <w:tcPr>
            <w:tcW w:w="0" w:type="auto"/>
            <w:tcBorders>
              <w:top w:val="nil"/>
              <w:left w:val="nil"/>
              <w:bottom w:val="nil"/>
              <w:right w:val="nil"/>
            </w:tcBorders>
            <w:shd w:val="clear" w:color="auto" w:fill="F2F2F2" w:themeFill="background1" w:themeFillShade="F2"/>
            <w:vAlign w:val="center"/>
          </w:tcPr>
          <w:p w14:paraId="2EC0AFCE" w14:textId="095DFD75"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9289 (7627;10618)</w:t>
            </w:r>
          </w:p>
        </w:tc>
        <w:tc>
          <w:tcPr>
            <w:tcW w:w="0" w:type="auto"/>
            <w:tcBorders>
              <w:top w:val="nil"/>
              <w:left w:val="nil"/>
              <w:bottom w:val="nil"/>
              <w:right w:val="nil"/>
            </w:tcBorders>
            <w:shd w:val="clear" w:color="auto" w:fill="F2F2F2" w:themeFill="background1" w:themeFillShade="F2"/>
            <w:vAlign w:val="center"/>
          </w:tcPr>
          <w:p w14:paraId="31254468" w14:textId="75D13097"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8158 (6962;9875)</w:t>
            </w:r>
          </w:p>
        </w:tc>
        <w:tc>
          <w:tcPr>
            <w:tcW w:w="0" w:type="auto"/>
            <w:tcBorders>
              <w:top w:val="nil"/>
              <w:left w:val="nil"/>
              <w:bottom w:val="nil"/>
              <w:right w:val="nil"/>
            </w:tcBorders>
            <w:shd w:val="clear" w:color="auto" w:fill="F2F2F2" w:themeFill="background1" w:themeFillShade="F2"/>
            <w:vAlign w:val="center"/>
          </w:tcPr>
          <w:p w14:paraId="7DBE2A10" w14:textId="75420ECF"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5153 (3325;6617)</w:t>
            </w:r>
          </w:p>
        </w:tc>
      </w:tr>
      <w:tr w:rsidR="00006D85" w:rsidRPr="00445A65" w14:paraId="4329862F" w14:textId="77777777" w:rsidTr="00ED4A5F">
        <w:trPr>
          <w:trHeight w:val="290"/>
        </w:trPr>
        <w:tc>
          <w:tcPr>
            <w:tcW w:w="0" w:type="auto"/>
            <w:tcBorders>
              <w:top w:val="nil"/>
              <w:left w:val="nil"/>
              <w:bottom w:val="nil"/>
              <w:right w:val="single" w:sz="4" w:space="0" w:color="auto"/>
            </w:tcBorders>
            <w:vAlign w:val="center"/>
          </w:tcPr>
          <w:p w14:paraId="2AB37A50"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Sanofi Pasteur</w:t>
            </w:r>
          </w:p>
        </w:tc>
        <w:tc>
          <w:tcPr>
            <w:tcW w:w="0" w:type="auto"/>
            <w:tcBorders>
              <w:top w:val="nil"/>
              <w:left w:val="single" w:sz="4" w:space="0" w:color="auto"/>
              <w:bottom w:val="nil"/>
              <w:right w:val="nil"/>
            </w:tcBorders>
            <w:vAlign w:val="center"/>
          </w:tcPr>
          <w:p w14:paraId="42681725" w14:textId="023F0214"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1126 (500;1754)</w:t>
            </w:r>
          </w:p>
        </w:tc>
        <w:tc>
          <w:tcPr>
            <w:tcW w:w="0" w:type="auto"/>
            <w:tcBorders>
              <w:top w:val="nil"/>
              <w:left w:val="nil"/>
              <w:bottom w:val="nil"/>
              <w:right w:val="nil"/>
            </w:tcBorders>
            <w:vAlign w:val="center"/>
          </w:tcPr>
          <w:p w14:paraId="2E4CB63E" w14:textId="463F7BE0" w:rsidR="00006D85" w:rsidRPr="00006D85" w:rsidRDefault="00006D85">
            <w:pPr>
              <w:autoSpaceDE w:val="0"/>
              <w:autoSpaceDN w:val="0"/>
              <w:adjustRightInd w:val="0"/>
              <w:spacing w:after="0" w:line="240" w:lineRule="auto"/>
              <w:jc w:val="center"/>
              <w:rPr>
                <w:rFonts w:ascii="Calibri" w:hAnsi="Calibri" w:cs="Calibri"/>
                <w:color w:val="000000" w:themeColor="text1"/>
                <w:sz w:val="16"/>
                <w:szCs w:val="16"/>
              </w:rPr>
            </w:pPr>
            <w:r w:rsidRPr="00ED4A5F">
              <w:rPr>
                <w:rFonts w:ascii="Calibri" w:hAnsi="Calibri" w:cs="Calibri"/>
                <w:color w:val="000000"/>
                <w:sz w:val="16"/>
                <w:szCs w:val="16"/>
              </w:rPr>
              <w:t>3231 (2850;3678)</w:t>
            </w:r>
          </w:p>
        </w:tc>
        <w:tc>
          <w:tcPr>
            <w:tcW w:w="0" w:type="auto"/>
            <w:tcBorders>
              <w:top w:val="nil"/>
              <w:left w:val="nil"/>
              <w:bottom w:val="nil"/>
              <w:right w:val="nil"/>
            </w:tcBorders>
            <w:vAlign w:val="center"/>
          </w:tcPr>
          <w:p w14:paraId="4FF82D28" w14:textId="0C802C94"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3566 (3054;3946)</w:t>
            </w:r>
          </w:p>
        </w:tc>
        <w:tc>
          <w:tcPr>
            <w:tcW w:w="0" w:type="auto"/>
            <w:tcBorders>
              <w:top w:val="nil"/>
              <w:left w:val="nil"/>
              <w:bottom w:val="nil"/>
              <w:right w:val="nil"/>
            </w:tcBorders>
            <w:vAlign w:val="center"/>
          </w:tcPr>
          <w:p w14:paraId="7EE9400D" w14:textId="2C3AD8F9"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3370 (2638;3765)</w:t>
            </w:r>
          </w:p>
        </w:tc>
        <w:tc>
          <w:tcPr>
            <w:tcW w:w="0" w:type="auto"/>
            <w:tcBorders>
              <w:top w:val="nil"/>
              <w:left w:val="nil"/>
              <w:bottom w:val="nil"/>
              <w:right w:val="nil"/>
            </w:tcBorders>
            <w:vAlign w:val="center"/>
          </w:tcPr>
          <w:p w14:paraId="554B41D6" w14:textId="68A28C91"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1905 (1415;2403)</w:t>
            </w:r>
          </w:p>
        </w:tc>
      </w:tr>
      <w:tr w:rsidR="00006D85" w:rsidRPr="00445A65" w14:paraId="7308BF16" w14:textId="77777777" w:rsidTr="00ED4A5F">
        <w:trPr>
          <w:trHeight w:val="290"/>
        </w:trPr>
        <w:tc>
          <w:tcPr>
            <w:tcW w:w="0" w:type="auto"/>
            <w:tcBorders>
              <w:top w:val="nil"/>
              <w:left w:val="nil"/>
              <w:bottom w:val="nil"/>
              <w:right w:val="single" w:sz="4" w:space="0" w:color="auto"/>
            </w:tcBorders>
            <w:shd w:val="clear" w:color="auto" w:fill="F2F2F2" w:themeFill="background1" w:themeFillShade="F2"/>
            <w:vAlign w:val="center"/>
          </w:tcPr>
          <w:p w14:paraId="2B0D91F1"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rFonts w:ascii="Calibri" w:hAnsi="Calibri" w:cs="Calibri"/>
                <w:color w:val="000000" w:themeColor="text1"/>
                <w:sz w:val="16"/>
                <w:szCs w:val="16"/>
              </w:rPr>
              <w:t>UF</w:t>
            </w:r>
          </w:p>
        </w:tc>
        <w:tc>
          <w:tcPr>
            <w:tcW w:w="0" w:type="auto"/>
            <w:tcBorders>
              <w:top w:val="nil"/>
              <w:left w:val="single" w:sz="4" w:space="0" w:color="auto"/>
              <w:bottom w:val="nil"/>
              <w:right w:val="nil"/>
            </w:tcBorders>
            <w:shd w:val="clear" w:color="auto" w:fill="F2F2F2" w:themeFill="background1" w:themeFillShade="F2"/>
            <w:vAlign w:val="center"/>
          </w:tcPr>
          <w:p w14:paraId="42A48E5C" w14:textId="3EF774C9"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2691 (2176;3207)</w:t>
            </w:r>
          </w:p>
        </w:tc>
        <w:tc>
          <w:tcPr>
            <w:tcW w:w="0" w:type="auto"/>
            <w:tcBorders>
              <w:top w:val="nil"/>
              <w:left w:val="nil"/>
              <w:bottom w:val="nil"/>
              <w:right w:val="nil"/>
            </w:tcBorders>
            <w:shd w:val="clear" w:color="auto" w:fill="F2F2F2" w:themeFill="background1" w:themeFillShade="F2"/>
            <w:vAlign w:val="center"/>
          </w:tcPr>
          <w:p w14:paraId="3DF64806" w14:textId="36482241"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6641 (6141;7142)</w:t>
            </w:r>
          </w:p>
        </w:tc>
        <w:tc>
          <w:tcPr>
            <w:tcW w:w="0" w:type="auto"/>
            <w:tcBorders>
              <w:top w:val="nil"/>
              <w:left w:val="nil"/>
              <w:bottom w:val="nil"/>
              <w:right w:val="nil"/>
            </w:tcBorders>
            <w:shd w:val="clear" w:color="auto" w:fill="F2F2F2" w:themeFill="background1" w:themeFillShade="F2"/>
            <w:vAlign w:val="center"/>
          </w:tcPr>
          <w:p w14:paraId="2C35D789" w14:textId="0856EC49"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8435 (8201;8669)</w:t>
            </w:r>
          </w:p>
        </w:tc>
        <w:tc>
          <w:tcPr>
            <w:tcW w:w="0" w:type="auto"/>
            <w:tcBorders>
              <w:top w:val="nil"/>
              <w:left w:val="nil"/>
              <w:bottom w:val="nil"/>
              <w:right w:val="nil"/>
            </w:tcBorders>
            <w:shd w:val="clear" w:color="auto" w:fill="F2F2F2" w:themeFill="background1" w:themeFillShade="F2"/>
            <w:vAlign w:val="center"/>
          </w:tcPr>
          <w:p w14:paraId="289A75F1" w14:textId="42EC3A7F"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8244 (7943;8545)</w:t>
            </w:r>
          </w:p>
        </w:tc>
        <w:tc>
          <w:tcPr>
            <w:tcW w:w="0" w:type="auto"/>
            <w:tcBorders>
              <w:top w:val="nil"/>
              <w:left w:val="nil"/>
              <w:bottom w:val="nil"/>
              <w:right w:val="nil"/>
            </w:tcBorders>
            <w:shd w:val="clear" w:color="auto" w:fill="F2F2F2" w:themeFill="background1" w:themeFillShade="F2"/>
            <w:vAlign w:val="center"/>
          </w:tcPr>
          <w:p w14:paraId="48AB69DA" w14:textId="7B8CF4DF" w:rsidR="00006D85" w:rsidRPr="00006D85" w:rsidRDefault="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ED4A5F">
              <w:rPr>
                <w:rFonts w:ascii="Calibri" w:hAnsi="Calibri" w:cs="Calibri"/>
                <w:color w:val="000000"/>
                <w:sz w:val="16"/>
                <w:szCs w:val="16"/>
              </w:rPr>
              <w:t>5522 (5025;6020)</w:t>
            </w:r>
          </w:p>
        </w:tc>
      </w:tr>
      <w:tr w:rsidR="00006D85" w:rsidRPr="00445A65" w14:paraId="1839F972" w14:textId="77777777" w:rsidTr="00ED4A5F">
        <w:trPr>
          <w:trHeight w:val="290"/>
        </w:trPr>
        <w:tc>
          <w:tcPr>
            <w:tcW w:w="0" w:type="auto"/>
            <w:tcBorders>
              <w:top w:val="nil"/>
              <w:left w:val="nil"/>
              <w:bottom w:val="nil"/>
              <w:right w:val="single" w:sz="4" w:space="0" w:color="auto"/>
            </w:tcBorders>
            <w:shd w:val="clear" w:color="auto" w:fill="FFFFFF" w:themeFill="background1"/>
            <w:vAlign w:val="center"/>
          </w:tcPr>
          <w:p w14:paraId="3197A89A" w14:textId="77777777" w:rsidR="00006D85" w:rsidRPr="00445A65" w:rsidRDefault="00006D85" w:rsidP="00006D85">
            <w:pPr>
              <w:keepNext/>
              <w:keepLines/>
              <w:autoSpaceDE w:val="0"/>
              <w:autoSpaceDN w:val="0"/>
              <w:adjustRightInd w:val="0"/>
              <w:spacing w:after="0" w:line="240" w:lineRule="auto"/>
              <w:jc w:val="center"/>
              <w:outlineLvl w:val="5"/>
              <w:rPr>
                <w:rFonts w:ascii="Calibri" w:hAnsi="Calibri" w:cs="Calibri"/>
                <w:color w:val="000000" w:themeColor="text1"/>
                <w:sz w:val="16"/>
                <w:szCs w:val="16"/>
              </w:rPr>
            </w:pPr>
            <w:r w:rsidRPr="00445A65">
              <w:rPr>
                <w:color w:val="000000" w:themeColor="text1"/>
                <w:sz w:val="16"/>
                <w:szCs w:val="16"/>
              </w:rPr>
              <w:t>UWA</w:t>
            </w:r>
          </w:p>
        </w:tc>
        <w:tc>
          <w:tcPr>
            <w:tcW w:w="0" w:type="auto"/>
            <w:tcBorders>
              <w:top w:val="nil"/>
              <w:left w:val="single" w:sz="4" w:space="0" w:color="auto"/>
              <w:bottom w:val="nil"/>
              <w:right w:val="nil"/>
            </w:tcBorders>
            <w:shd w:val="clear" w:color="auto" w:fill="FFFFFF" w:themeFill="background1"/>
            <w:vAlign w:val="center"/>
          </w:tcPr>
          <w:p w14:paraId="222BEE4B" w14:textId="699B0DF0" w:rsidR="00006D85" w:rsidRPr="00006D85" w:rsidRDefault="00006D85">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5661 (4372;6951)</w:t>
            </w:r>
          </w:p>
        </w:tc>
        <w:tc>
          <w:tcPr>
            <w:tcW w:w="0" w:type="auto"/>
            <w:tcBorders>
              <w:top w:val="nil"/>
              <w:left w:val="nil"/>
              <w:bottom w:val="nil"/>
              <w:right w:val="nil"/>
            </w:tcBorders>
            <w:shd w:val="clear" w:color="auto" w:fill="FFFFFF" w:themeFill="background1"/>
            <w:vAlign w:val="center"/>
          </w:tcPr>
          <w:p w14:paraId="0A617EA1" w14:textId="7C72A4FF" w:rsidR="00006D85" w:rsidRPr="00006D85" w:rsidRDefault="00006D85">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9643 (8233;11054)</w:t>
            </w:r>
          </w:p>
        </w:tc>
        <w:tc>
          <w:tcPr>
            <w:tcW w:w="0" w:type="auto"/>
            <w:tcBorders>
              <w:top w:val="nil"/>
              <w:left w:val="nil"/>
              <w:bottom w:val="nil"/>
              <w:right w:val="nil"/>
            </w:tcBorders>
            <w:shd w:val="clear" w:color="auto" w:fill="FFFFFF" w:themeFill="background1"/>
            <w:vAlign w:val="center"/>
          </w:tcPr>
          <w:p w14:paraId="59438F9F" w14:textId="5530D1A8" w:rsidR="00006D85" w:rsidRPr="00006D85" w:rsidRDefault="00006D85">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10237 (9020;11455)</w:t>
            </w:r>
          </w:p>
        </w:tc>
        <w:tc>
          <w:tcPr>
            <w:tcW w:w="0" w:type="auto"/>
            <w:tcBorders>
              <w:top w:val="nil"/>
              <w:left w:val="nil"/>
              <w:bottom w:val="nil"/>
              <w:right w:val="nil"/>
            </w:tcBorders>
            <w:shd w:val="clear" w:color="auto" w:fill="FFFFFF" w:themeFill="background1"/>
            <w:vAlign w:val="center"/>
          </w:tcPr>
          <w:p w14:paraId="0FE9BC41" w14:textId="4CE80028" w:rsidR="00006D85" w:rsidRPr="00006D85" w:rsidRDefault="00006D85">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8253 (7664;8843)</w:t>
            </w:r>
          </w:p>
        </w:tc>
        <w:tc>
          <w:tcPr>
            <w:tcW w:w="0" w:type="auto"/>
            <w:tcBorders>
              <w:top w:val="nil"/>
              <w:left w:val="nil"/>
              <w:bottom w:val="nil"/>
              <w:right w:val="nil"/>
            </w:tcBorders>
            <w:shd w:val="clear" w:color="auto" w:fill="FFFFFF" w:themeFill="background1"/>
            <w:vAlign w:val="center"/>
          </w:tcPr>
          <w:p w14:paraId="14E7B5E6" w14:textId="7B5AEE79" w:rsidR="00006D85" w:rsidRPr="00006D85" w:rsidRDefault="00006D85">
            <w:pPr>
              <w:keepNext/>
              <w:keepLines/>
              <w:autoSpaceDE w:val="0"/>
              <w:autoSpaceDN w:val="0"/>
              <w:adjustRightInd w:val="0"/>
              <w:spacing w:after="0" w:line="240" w:lineRule="auto"/>
              <w:jc w:val="center"/>
              <w:outlineLvl w:val="5"/>
              <w:rPr>
                <w:color w:val="000000" w:themeColor="text1"/>
                <w:sz w:val="16"/>
                <w:szCs w:val="16"/>
              </w:rPr>
            </w:pPr>
            <w:r w:rsidRPr="00ED4A5F">
              <w:rPr>
                <w:rFonts w:ascii="Calibri" w:hAnsi="Calibri" w:cs="Calibri"/>
                <w:color w:val="000000"/>
                <w:sz w:val="16"/>
                <w:szCs w:val="16"/>
              </w:rPr>
              <w:t>4286 (3994;4577)</w:t>
            </w:r>
          </w:p>
        </w:tc>
      </w:tr>
      <w:tr w:rsidR="00445A65" w:rsidRPr="00445A65" w14:paraId="7301199E" w14:textId="77777777" w:rsidTr="00C51D6D">
        <w:trPr>
          <w:trHeight w:val="290"/>
        </w:trPr>
        <w:tc>
          <w:tcPr>
            <w:tcW w:w="0" w:type="auto"/>
            <w:tcBorders>
              <w:top w:val="nil"/>
              <w:left w:val="nil"/>
              <w:bottom w:val="nil"/>
              <w:right w:val="nil"/>
            </w:tcBorders>
          </w:tcPr>
          <w:p w14:paraId="0323496F"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0" w:type="auto"/>
            <w:tcBorders>
              <w:top w:val="nil"/>
              <w:left w:val="nil"/>
              <w:bottom w:val="nil"/>
              <w:right w:val="nil"/>
            </w:tcBorders>
          </w:tcPr>
          <w:p w14:paraId="7BC4D195"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0" w:type="auto"/>
            <w:tcBorders>
              <w:top w:val="nil"/>
              <w:left w:val="nil"/>
              <w:bottom w:val="nil"/>
              <w:right w:val="nil"/>
            </w:tcBorders>
          </w:tcPr>
          <w:p w14:paraId="48A92C0E"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0" w:type="auto"/>
            <w:tcBorders>
              <w:top w:val="nil"/>
              <w:left w:val="nil"/>
              <w:bottom w:val="nil"/>
              <w:right w:val="nil"/>
            </w:tcBorders>
          </w:tcPr>
          <w:p w14:paraId="1D0BE749"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0" w:type="auto"/>
            <w:tcBorders>
              <w:top w:val="nil"/>
              <w:left w:val="nil"/>
              <w:bottom w:val="nil"/>
              <w:right w:val="nil"/>
            </w:tcBorders>
          </w:tcPr>
          <w:p w14:paraId="6CB498F5"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c>
          <w:tcPr>
            <w:tcW w:w="0" w:type="auto"/>
            <w:tcBorders>
              <w:top w:val="nil"/>
              <w:left w:val="nil"/>
              <w:bottom w:val="nil"/>
              <w:right w:val="nil"/>
            </w:tcBorders>
          </w:tcPr>
          <w:p w14:paraId="675CED1B" w14:textId="77777777" w:rsidR="00445A65" w:rsidRPr="00445A65" w:rsidRDefault="00445A65" w:rsidP="00F961CB">
            <w:pPr>
              <w:keepNext/>
              <w:keepLines/>
              <w:autoSpaceDE w:val="0"/>
              <w:autoSpaceDN w:val="0"/>
              <w:adjustRightInd w:val="0"/>
              <w:spacing w:before="200" w:after="0" w:line="240" w:lineRule="auto"/>
              <w:outlineLvl w:val="5"/>
              <w:rPr>
                <w:rFonts w:ascii="Calibri" w:hAnsi="Calibri" w:cs="Calibri"/>
                <w:color w:val="000000" w:themeColor="text1"/>
                <w:sz w:val="16"/>
                <w:szCs w:val="16"/>
              </w:rPr>
            </w:pPr>
          </w:p>
        </w:tc>
      </w:tr>
    </w:tbl>
    <w:p w14:paraId="0C40C96C" w14:textId="77777777" w:rsidR="00445A65" w:rsidRPr="00445A65" w:rsidRDefault="00445A65" w:rsidP="00445A65">
      <w:pPr>
        <w:pStyle w:val="Caption"/>
        <w:rPr>
          <w:color w:val="000000" w:themeColor="text1"/>
        </w:rPr>
      </w:pPr>
    </w:p>
    <w:p w14:paraId="2C7BF400" w14:textId="72E9AE41" w:rsidR="00445A65" w:rsidRDefault="00445A65" w:rsidP="00445A65">
      <w:pPr>
        <w:pStyle w:val="Caption"/>
        <w:keepNext/>
        <w:rPr>
          <w:color w:val="000000" w:themeColor="text1"/>
        </w:rPr>
      </w:pPr>
      <w:bookmarkStart w:id="13" w:name="_Ref448919175"/>
      <w:bookmarkStart w:id="14" w:name="_Ref450212143"/>
      <w:r w:rsidRPr="00445A65">
        <w:rPr>
          <w:color w:val="000000" w:themeColor="text1"/>
        </w:rPr>
        <w:lastRenderedPageBreak/>
        <w:t xml:space="preserve">Table </w:t>
      </w:r>
      <w:bookmarkEnd w:id="13"/>
      <w:r w:rsidR="00E3248D">
        <w:rPr>
          <w:color w:val="000000" w:themeColor="text1"/>
        </w:rPr>
        <w:t xml:space="preserve">F </w:t>
      </w:r>
      <w:r w:rsidRPr="00445A65">
        <w:rPr>
          <w:color w:val="000000" w:themeColor="text1"/>
        </w:rPr>
        <w:t>a-d: The proportion of symptomatic and hospitalised DENV cases averted in the 30 years after vaccine introduction for low (a) to very high (d) transmission intensity. Each point represents a model realisation at a given age of vaccine introduction (columns).</w:t>
      </w:r>
      <w:bookmarkEnd w:id="14"/>
      <w:r w:rsidRPr="00445A65">
        <w:rPr>
          <w:color w:val="000000" w:themeColor="text1"/>
        </w:rPr>
        <w:t xml:space="preserve"> </w:t>
      </w:r>
    </w:p>
    <w:p w14:paraId="669FE3D9" w14:textId="77777777" w:rsidR="00301B8F" w:rsidRPr="00ED4A5F" w:rsidRDefault="00301B8F" w:rsidP="00ED4A5F"/>
    <w:tbl>
      <w:tblPr>
        <w:tblW w:w="0" w:type="auto"/>
        <w:tblInd w:w="108" w:type="dxa"/>
        <w:tblLook w:val="04A0" w:firstRow="1" w:lastRow="0" w:firstColumn="1" w:lastColumn="0" w:noHBand="0" w:noVBand="1"/>
      </w:tblPr>
      <w:tblGrid>
        <w:gridCol w:w="1152"/>
        <w:gridCol w:w="549"/>
        <w:gridCol w:w="549"/>
        <w:gridCol w:w="549"/>
        <w:gridCol w:w="549"/>
        <w:gridCol w:w="549"/>
        <w:gridCol w:w="500"/>
        <w:gridCol w:w="500"/>
        <w:gridCol w:w="500"/>
        <w:gridCol w:w="500"/>
        <w:gridCol w:w="500"/>
      </w:tblGrid>
      <w:tr w:rsidR="00301B8F" w:rsidRPr="00445A65" w14:paraId="7ECA4154" w14:textId="77777777" w:rsidTr="00ED4A5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2F2F7C1B" w14:textId="005BB6A9" w:rsidR="00301B8F" w:rsidRPr="00445A65" w:rsidRDefault="00301B8F">
            <w:pPr>
              <w:spacing w:after="0" w:line="240" w:lineRule="auto"/>
              <w:jc w:val="center"/>
              <w:rPr>
                <w:rFonts w:eastAsia="Times New Roman" w:cstheme="minorHAnsi"/>
                <w:b/>
                <w:color w:val="000000" w:themeColor="text1"/>
                <w:sz w:val="16"/>
                <w:szCs w:val="16"/>
                <w:lang w:eastAsia="en-GB"/>
              </w:rPr>
            </w:pPr>
            <w:r w:rsidRPr="00445A65">
              <w:rPr>
                <w:rFonts w:eastAsia="Times New Roman" w:cstheme="minorHAnsi"/>
                <w:b/>
                <w:color w:val="000000" w:themeColor="text1"/>
                <w:sz w:val="16"/>
                <w:szCs w:val="16"/>
                <w:lang w:eastAsia="en-GB"/>
              </w:rPr>
              <w:t>(</w:t>
            </w:r>
            <w:r>
              <w:rPr>
                <w:rFonts w:eastAsia="Times New Roman" w:cstheme="minorHAnsi"/>
                <w:b/>
                <w:color w:val="000000" w:themeColor="text1"/>
                <w:sz w:val="16"/>
                <w:szCs w:val="16"/>
                <w:lang w:eastAsia="en-GB"/>
              </w:rPr>
              <w:t>a</w:t>
            </w:r>
            <w:r w:rsidRPr="00445A65">
              <w:rPr>
                <w:rFonts w:eastAsia="Times New Roman" w:cstheme="minorHAnsi"/>
                <w:b/>
                <w:color w:val="000000" w:themeColor="text1"/>
                <w:sz w:val="16"/>
                <w:szCs w:val="16"/>
                <w:lang w:eastAsia="en-GB"/>
              </w:rPr>
              <w:t>)</w:t>
            </w:r>
          </w:p>
        </w:tc>
        <w:tc>
          <w:tcPr>
            <w:tcW w:w="0" w:type="auto"/>
            <w:tcBorders>
              <w:top w:val="nil"/>
              <w:left w:val="single" w:sz="4" w:space="0" w:color="auto"/>
              <w:bottom w:val="single" w:sz="4" w:space="0" w:color="auto"/>
              <w:right w:val="nil"/>
            </w:tcBorders>
            <w:shd w:val="clear" w:color="auto" w:fill="auto"/>
            <w:noWrap/>
            <w:vAlign w:val="center"/>
            <w:hideMark/>
          </w:tcPr>
          <w:p w14:paraId="4BB8D207"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9</w:t>
            </w:r>
          </w:p>
        </w:tc>
        <w:tc>
          <w:tcPr>
            <w:tcW w:w="0" w:type="auto"/>
            <w:tcBorders>
              <w:top w:val="nil"/>
              <w:left w:val="nil"/>
              <w:bottom w:val="single" w:sz="4" w:space="0" w:color="auto"/>
              <w:right w:val="nil"/>
            </w:tcBorders>
            <w:shd w:val="clear" w:color="auto" w:fill="auto"/>
            <w:noWrap/>
            <w:vAlign w:val="center"/>
            <w:hideMark/>
          </w:tcPr>
          <w:p w14:paraId="0C5E358E"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10</w:t>
            </w:r>
          </w:p>
        </w:tc>
        <w:tc>
          <w:tcPr>
            <w:tcW w:w="0" w:type="auto"/>
            <w:tcBorders>
              <w:top w:val="nil"/>
              <w:left w:val="nil"/>
              <w:bottom w:val="single" w:sz="4" w:space="0" w:color="auto"/>
              <w:right w:val="nil"/>
            </w:tcBorders>
            <w:shd w:val="clear" w:color="auto" w:fill="auto"/>
            <w:noWrap/>
            <w:vAlign w:val="center"/>
            <w:hideMark/>
          </w:tcPr>
          <w:p w14:paraId="1539485A"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11</w:t>
            </w:r>
          </w:p>
        </w:tc>
        <w:tc>
          <w:tcPr>
            <w:tcW w:w="0" w:type="auto"/>
            <w:tcBorders>
              <w:top w:val="nil"/>
              <w:left w:val="nil"/>
              <w:bottom w:val="single" w:sz="4" w:space="0" w:color="auto"/>
              <w:right w:val="nil"/>
            </w:tcBorders>
            <w:shd w:val="clear" w:color="auto" w:fill="auto"/>
            <w:noWrap/>
            <w:vAlign w:val="center"/>
            <w:hideMark/>
          </w:tcPr>
          <w:p w14:paraId="51996E46"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12</w:t>
            </w:r>
          </w:p>
        </w:tc>
        <w:tc>
          <w:tcPr>
            <w:tcW w:w="0" w:type="auto"/>
            <w:tcBorders>
              <w:top w:val="nil"/>
              <w:left w:val="nil"/>
              <w:bottom w:val="single" w:sz="4" w:space="0" w:color="auto"/>
              <w:right w:val="nil"/>
            </w:tcBorders>
            <w:shd w:val="clear" w:color="auto" w:fill="auto"/>
            <w:noWrap/>
            <w:vAlign w:val="center"/>
            <w:hideMark/>
          </w:tcPr>
          <w:p w14:paraId="06285B82"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13</w:t>
            </w:r>
          </w:p>
        </w:tc>
        <w:tc>
          <w:tcPr>
            <w:tcW w:w="0" w:type="auto"/>
            <w:tcBorders>
              <w:top w:val="nil"/>
              <w:left w:val="nil"/>
              <w:bottom w:val="single" w:sz="4" w:space="0" w:color="auto"/>
              <w:right w:val="nil"/>
            </w:tcBorders>
            <w:shd w:val="clear" w:color="auto" w:fill="auto"/>
            <w:noWrap/>
            <w:vAlign w:val="center"/>
            <w:hideMark/>
          </w:tcPr>
          <w:p w14:paraId="554B492A"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14</w:t>
            </w:r>
          </w:p>
        </w:tc>
        <w:tc>
          <w:tcPr>
            <w:tcW w:w="0" w:type="auto"/>
            <w:tcBorders>
              <w:top w:val="nil"/>
              <w:left w:val="nil"/>
              <w:bottom w:val="single" w:sz="4" w:space="0" w:color="auto"/>
              <w:right w:val="nil"/>
            </w:tcBorders>
            <w:shd w:val="clear" w:color="auto" w:fill="auto"/>
            <w:noWrap/>
            <w:vAlign w:val="center"/>
            <w:hideMark/>
          </w:tcPr>
          <w:p w14:paraId="4442C047"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15</w:t>
            </w:r>
          </w:p>
        </w:tc>
        <w:tc>
          <w:tcPr>
            <w:tcW w:w="0" w:type="auto"/>
            <w:tcBorders>
              <w:top w:val="nil"/>
              <w:left w:val="nil"/>
              <w:bottom w:val="single" w:sz="4" w:space="0" w:color="auto"/>
              <w:right w:val="nil"/>
            </w:tcBorders>
            <w:shd w:val="clear" w:color="auto" w:fill="auto"/>
            <w:noWrap/>
            <w:vAlign w:val="center"/>
            <w:hideMark/>
          </w:tcPr>
          <w:p w14:paraId="4FD72C79"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16</w:t>
            </w:r>
          </w:p>
        </w:tc>
        <w:tc>
          <w:tcPr>
            <w:tcW w:w="0" w:type="auto"/>
            <w:tcBorders>
              <w:top w:val="nil"/>
              <w:left w:val="nil"/>
              <w:bottom w:val="single" w:sz="4" w:space="0" w:color="auto"/>
              <w:right w:val="nil"/>
            </w:tcBorders>
            <w:shd w:val="clear" w:color="auto" w:fill="auto"/>
            <w:noWrap/>
            <w:vAlign w:val="center"/>
            <w:hideMark/>
          </w:tcPr>
          <w:p w14:paraId="0CD1FF24"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17</w:t>
            </w:r>
          </w:p>
        </w:tc>
        <w:tc>
          <w:tcPr>
            <w:tcW w:w="0" w:type="auto"/>
            <w:tcBorders>
              <w:top w:val="nil"/>
              <w:left w:val="nil"/>
              <w:bottom w:val="single" w:sz="4" w:space="0" w:color="auto"/>
              <w:right w:val="nil"/>
            </w:tcBorders>
            <w:shd w:val="clear" w:color="auto" w:fill="auto"/>
            <w:noWrap/>
            <w:vAlign w:val="center"/>
            <w:hideMark/>
          </w:tcPr>
          <w:p w14:paraId="6F35D21B"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18</w:t>
            </w:r>
          </w:p>
        </w:tc>
      </w:tr>
      <w:tr w:rsidR="00301B8F" w:rsidRPr="00445A65" w14:paraId="3829E61D" w14:textId="77777777" w:rsidTr="00301B8F">
        <w:trPr>
          <w:trHeight w:val="300"/>
        </w:trPr>
        <w:tc>
          <w:tcPr>
            <w:tcW w:w="0" w:type="auto"/>
            <w:tcBorders>
              <w:top w:val="single" w:sz="4" w:space="0" w:color="auto"/>
              <w:left w:val="nil"/>
              <w:bottom w:val="nil"/>
              <w:right w:val="single" w:sz="4" w:space="0" w:color="auto"/>
            </w:tcBorders>
            <w:shd w:val="clear" w:color="auto" w:fill="E7E6E6" w:themeFill="background2"/>
            <w:noWrap/>
            <w:vAlign w:val="center"/>
            <w:hideMark/>
          </w:tcPr>
          <w:p w14:paraId="30392688"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Duke</w:t>
            </w:r>
          </w:p>
        </w:tc>
        <w:tc>
          <w:tcPr>
            <w:tcW w:w="0" w:type="auto"/>
            <w:tcBorders>
              <w:top w:val="single" w:sz="4" w:space="0" w:color="auto"/>
              <w:left w:val="single" w:sz="4" w:space="0" w:color="auto"/>
              <w:bottom w:val="nil"/>
              <w:right w:val="nil"/>
            </w:tcBorders>
            <w:shd w:val="clear" w:color="auto" w:fill="E7E6E6" w:themeFill="background2"/>
            <w:noWrap/>
            <w:vAlign w:val="bottom"/>
            <w:hideMark/>
          </w:tcPr>
          <w:p w14:paraId="1B88025B" w14:textId="56D2D480"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-0.03</w:t>
            </w:r>
          </w:p>
        </w:tc>
        <w:tc>
          <w:tcPr>
            <w:tcW w:w="0" w:type="auto"/>
            <w:tcBorders>
              <w:top w:val="single" w:sz="4" w:space="0" w:color="auto"/>
              <w:left w:val="nil"/>
              <w:bottom w:val="nil"/>
              <w:right w:val="nil"/>
            </w:tcBorders>
            <w:shd w:val="clear" w:color="auto" w:fill="E7E6E6" w:themeFill="background2"/>
            <w:noWrap/>
            <w:vAlign w:val="bottom"/>
            <w:hideMark/>
          </w:tcPr>
          <w:p w14:paraId="4BCF1375" w14:textId="34D998B3"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-0.02</w:t>
            </w:r>
          </w:p>
        </w:tc>
        <w:tc>
          <w:tcPr>
            <w:tcW w:w="0" w:type="auto"/>
            <w:tcBorders>
              <w:top w:val="single" w:sz="4" w:space="0" w:color="auto"/>
              <w:left w:val="nil"/>
              <w:bottom w:val="nil"/>
              <w:right w:val="nil"/>
            </w:tcBorders>
            <w:shd w:val="clear" w:color="auto" w:fill="E7E6E6" w:themeFill="background2"/>
            <w:noWrap/>
            <w:vAlign w:val="bottom"/>
            <w:hideMark/>
          </w:tcPr>
          <w:p w14:paraId="622A4465" w14:textId="692CDEF0"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-0.02</w:t>
            </w:r>
          </w:p>
        </w:tc>
        <w:tc>
          <w:tcPr>
            <w:tcW w:w="0" w:type="auto"/>
            <w:tcBorders>
              <w:top w:val="single" w:sz="4" w:space="0" w:color="auto"/>
              <w:left w:val="nil"/>
              <w:bottom w:val="nil"/>
              <w:right w:val="nil"/>
            </w:tcBorders>
            <w:shd w:val="clear" w:color="auto" w:fill="E7E6E6" w:themeFill="background2"/>
            <w:noWrap/>
            <w:vAlign w:val="bottom"/>
            <w:hideMark/>
          </w:tcPr>
          <w:p w14:paraId="0A8ECF2E" w14:textId="1403B5C8"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0.01</w:t>
            </w:r>
          </w:p>
        </w:tc>
        <w:tc>
          <w:tcPr>
            <w:tcW w:w="0" w:type="auto"/>
            <w:tcBorders>
              <w:top w:val="single" w:sz="4" w:space="0" w:color="auto"/>
              <w:left w:val="nil"/>
              <w:bottom w:val="nil"/>
              <w:right w:val="nil"/>
            </w:tcBorders>
            <w:shd w:val="clear" w:color="auto" w:fill="E7E6E6" w:themeFill="background2"/>
            <w:noWrap/>
            <w:vAlign w:val="bottom"/>
            <w:hideMark/>
          </w:tcPr>
          <w:p w14:paraId="23AECE30" w14:textId="50D4DE4B"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0.01</w:t>
            </w:r>
          </w:p>
        </w:tc>
        <w:tc>
          <w:tcPr>
            <w:tcW w:w="0" w:type="auto"/>
            <w:tcBorders>
              <w:top w:val="single" w:sz="4" w:space="0" w:color="auto"/>
              <w:left w:val="nil"/>
              <w:bottom w:val="nil"/>
              <w:right w:val="nil"/>
            </w:tcBorders>
            <w:shd w:val="clear" w:color="auto" w:fill="E7E6E6" w:themeFill="background2"/>
            <w:noWrap/>
            <w:vAlign w:val="bottom"/>
            <w:hideMark/>
          </w:tcPr>
          <w:p w14:paraId="0428BCF1" w14:textId="4A0BA697"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0.02</w:t>
            </w:r>
          </w:p>
        </w:tc>
        <w:tc>
          <w:tcPr>
            <w:tcW w:w="0" w:type="auto"/>
            <w:tcBorders>
              <w:top w:val="single" w:sz="4" w:space="0" w:color="auto"/>
              <w:left w:val="nil"/>
              <w:bottom w:val="nil"/>
              <w:right w:val="nil"/>
            </w:tcBorders>
            <w:shd w:val="clear" w:color="auto" w:fill="E7E6E6" w:themeFill="background2"/>
            <w:noWrap/>
            <w:vAlign w:val="bottom"/>
            <w:hideMark/>
          </w:tcPr>
          <w:p w14:paraId="29E51131" w14:textId="53D9CF51"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0.03</w:t>
            </w:r>
          </w:p>
        </w:tc>
        <w:tc>
          <w:tcPr>
            <w:tcW w:w="0" w:type="auto"/>
            <w:tcBorders>
              <w:top w:val="single" w:sz="4" w:space="0" w:color="auto"/>
              <w:left w:val="nil"/>
              <w:bottom w:val="nil"/>
              <w:right w:val="nil"/>
            </w:tcBorders>
            <w:shd w:val="clear" w:color="auto" w:fill="E7E6E6" w:themeFill="background2"/>
            <w:noWrap/>
            <w:vAlign w:val="bottom"/>
            <w:hideMark/>
          </w:tcPr>
          <w:p w14:paraId="53D13BA6" w14:textId="3CCBFB2B"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0.04</w:t>
            </w:r>
          </w:p>
        </w:tc>
        <w:tc>
          <w:tcPr>
            <w:tcW w:w="0" w:type="auto"/>
            <w:tcBorders>
              <w:top w:val="single" w:sz="4" w:space="0" w:color="auto"/>
              <w:left w:val="nil"/>
              <w:bottom w:val="nil"/>
              <w:right w:val="nil"/>
            </w:tcBorders>
            <w:shd w:val="clear" w:color="auto" w:fill="E7E6E6" w:themeFill="background2"/>
            <w:noWrap/>
            <w:vAlign w:val="bottom"/>
            <w:hideMark/>
          </w:tcPr>
          <w:p w14:paraId="1CEA27A6" w14:textId="6968FF23"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0.05</w:t>
            </w:r>
          </w:p>
        </w:tc>
        <w:tc>
          <w:tcPr>
            <w:tcW w:w="0" w:type="auto"/>
            <w:tcBorders>
              <w:top w:val="single" w:sz="4" w:space="0" w:color="auto"/>
              <w:left w:val="nil"/>
              <w:bottom w:val="nil"/>
              <w:right w:val="nil"/>
            </w:tcBorders>
            <w:shd w:val="clear" w:color="auto" w:fill="E7E6E6" w:themeFill="background2"/>
            <w:noWrap/>
            <w:vAlign w:val="bottom"/>
            <w:hideMark/>
          </w:tcPr>
          <w:p w14:paraId="5DFFC4B3" w14:textId="2DFFCE52"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0.05</w:t>
            </w:r>
          </w:p>
        </w:tc>
      </w:tr>
      <w:tr w:rsidR="00301B8F" w:rsidRPr="00445A65" w14:paraId="3CA50153" w14:textId="77777777" w:rsidTr="00301B8F">
        <w:trPr>
          <w:trHeight w:val="300"/>
        </w:trPr>
        <w:tc>
          <w:tcPr>
            <w:tcW w:w="0" w:type="auto"/>
            <w:tcBorders>
              <w:top w:val="nil"/>
              <w:left w:val="nil"/>
              <w:bottom w:val="nil"/>
              <w:right w:val="single" w:sz="4" w:space="0" w:color="auto"/>
            </w:tcBorders>
            <w:shd w:val="clear" w:color="auto" w:fill="auto"/>
            <w:noWrap/>
            <w:vAlign w:val="center"/>
            <w:hideMark/>
          </w:tcPr>
          <w:p w14:paraId="3A6DAD45"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Exeter/Oxford</w:t>
            </w:r>
          </w:p>
        </w:tc>
        <w:tc>
          <w:tcPr>
            <w:tcW w:w="0" w:type="auto"/>
            <w:tcBorders>
              <w:top w:val="nil"/>
              <w:left w:val="single" w:sz="4" w:space="0" w:color="auto"/>
              <w:bottom w:val="nil"/>
              <w:right w:val="nil"/>
            </w:tcBorders>
            <w:shd w:val="clear" w:color="auto" w:fill="auto"/>
            <w:noWrap/>
            <w:vAlign w:val="bottom"/>
            <w:hideMark/>
          </w:tcPr>
          <w:p w14:paraId="1C9CF587" w14:textId="58A3EFF4"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-0.04</w:t>
            </w:r>
          </w:p>
        </w:tc>
        <w:tc>
          <w:tcPr>
            <w:tcW w:w="0" w:type="auto"/>
            <w:tcBorders>
              <w:top w:val="nil"/>
              <w:left w:val="nil"/>
              <w:bottom w:val="nil"/>
              <w:right w:val="nil"/>
            </w:tcBorders>
            <w:shd w:val="clear" w:color="auto" w:fill="auto"/>
            <w:noWrap/>
            <w:vAlign w:val="bottom"/>
          </w:tcPr>
          <w:p w14:paraId="4C83FE21"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bottom"/>
          </w:tcPr>
          <w:p w14:paraId="7EB919C4"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bottom"/>
            <w:hideMark/>
          </w:tcPr>
          <w:p w14:paraId="1E1E75FB" w14:textId="44A795F5"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0.02</w:t>
            </w:r>
          </w:p>
        </w:tc>
        <w:tc>
          <w:tcPr>
            <w:tcW w:w="0" w:type="auto"/>
            <w:tcBorders>
              <w:top w:val="nil"/>
              <w:left w:val="nil"/>
              <w:bottom w:val="nil"/>
              <w:right w:val="nil"/>
            </w:tcBorders>
            <w:shd w:val="clear" w:color="auto" w:fill="auto"/>
            <w:noWrap/>
            <w:vAlign w:val="bottom"/>
          </w:tcPr>
          <w:p w14:paraId="11A0E8BE"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bottom"/>
          </w:tcPr>
          <w:p w14:paraId="650D6A3B"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bottom"/>
          </w:tcPr>
          <w:p w14:paraId="4EB155E4"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bottom"/>
            <w:hideMark/>
          </w:tcPr>
          <w:p w14:paraId="0438DA5B" w14:textId="226B856B"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0.06</w:t>
            </w:r>
          </w:p>
        </w:tc>
        <w:tc>
          <w:tcPr>
            <w:tcW w:w="0" w:type="auto"/>
            <w:tcBorders>
              <w:top w:val="nil"/>
              <w:left w:val="nil"/>
              <w:bottom w:val="nil"/>
              <w:right w:val="nil"/>
            </w:tcBorders>
            <w:shd w:val="clear" w:color="auto" w:fill="auto"/>
            <w:noWrap/>
            <w:vAlign w:val="bottom"/>
          </w:tcPr>
          <w:p w14:paraId="141D9653"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bottom"/>
          </w:tcPr>
          <w:p w14:paraId="4E1CA9A5"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r>
      <w:tr w:rsidR="00301B8F" w:rsidRPr="00445A65" w14:paraId="39E9EB0A" w14:textId="77777777" w:rsidTr="00301B8F">
        <w:trPr>
          <w:trHeight w:val="300"/>
        </w:trPr>
        <w:tc>
          <w:tcPr>
            <w:tcW w:w="0" w:type="auto"/>
            <w:tcBorders>
              <w:top w:val="nil"/>
              <w:left w:val="nil"/>
              <w:bottom w:val="nil"/>
              <w:right w:val="single" w:sz="4" w:space="0" w:color="auto"/>
            </w:tcBorders>
            <w:shd w:val="clear" w:color="auto" w:fill="E7E6E6" w:themeFill="background2"/>
            <w:noWrap/>
            <w:vAlign w:val="center"/>
            <w:hideMark/>
          </w:tcPr>
          <w:p w14:paraId="21309396"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Hopkins/UF</w:t>
            </w:r>
          </w:p>
        </w:tc>
        <w:tc>
          <w:tcPr>
            <w:tcW w:w="0" w:type="auto"/>
            <w:tcBorders>
              <w:top w:val="nil"/>
              <w:left w:val="single" w:sz="4" w:space="0" w:color="auto"/>
              <w:bottom w:val="nil"/>
              <w:right w:val="nil"/>
            </w:tcBorders>
            <w:shd w:val="clear" w:color="auto" w:fill="E7E6E6" w:themeFill="background2"/>
            <w:noWrap/>
            <w:vAlign w:val="bottom"/>
            <w:hideMark/>
          </w:tcPr>
          <w:p w14:paraId="5F9AB170" w14:textId="600B2795"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-0.16</w:t>
            </w:r>
          </w:p>
        </w:tc>
        <w:tc>
          <w:tcPr>
            <w:tcW w:w="0" w:type="auto"/>
            <w:tcBorders>
              <w:top w:val="nil"/>
              <w:left w:val="nil"/>
              <w:bottom w:val="nil"/>
              <w:right w:val="nil"/>
            </w:tcBorders>
            <w:shd w:val="clear" w:color="auto" w:fill="E7E6E6" w:themeFill="background2"/>
            <w:noWrap/>
            <w:vAlign w:val="bottom"/>
            <w:hideMark/>
          </w:tcPr>
          <w:p w14:paraId="4C960E9F" w14:textId="6EE3205D"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-0.13</w:t>
            </w:r>
          </w:p>
        </w:tc>
        <w:tc>
          <w:tcPr>
            <w:tcW w:w="0" w:type="auto"/>
            <w:tcBorders>
              <w:top w:val="nil"/>
              <w:left w:val="nil"/>
              <w:bottom w:val="nil"/>
              <w:right w:val="nil"/>
            </w:tcBorders>
            <w:shd w:val="clear" w:color="auto" w:fill="E7E6E6" w:themeFill="background2"/>
            <w:noWrap/>
            <w:vAlign w:val="bottom"/>
            <w:hideMark/>
          </w:tcPr>
          <w:p w14:paraId="33BBCA0C" w14:textId="11B1B6F0"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-0.09</w:t>
            </w:r>
          </w:p>
        </w:tc>
        <w:tc>
          <w:tcPr>
            <w:tcW w:w="0" w:type="auto"/>
            <w:tcBorders>
              <w:top w:val="nil"/>
              <w:left w:val="nil"/>
              <w:bottom w:val="nil"/>
              <w:right w:val="nil"/>
            </w:tcBorders>
            <w:shd w:val="clear" w:color="auto" w:fill="E7E6E6" w:themeFill="background2"/>
            <w:noWrap/>
            <w:vAlign w:val="bottom"/>
            <w:hideMark/>
          </w:tcPr>
          <w:p w14:paraId="4642F17F" w14:textId="17381075"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-0.07</w:t>
            </w:r>
          </w:p>
        </w:tc>
        <w:tc>
          <w:tcPr>
            <w:tcW w:w="0" w:type="auto"/>
            <w:tcBorders>
              <w:top w:val="nil"/>
              <w:left w:val="nil"/>
              <w:bottom w:val="nil"/>
              <w:right w:val="nil"/>
            </w:tcBorders>
            <w:shd w:val="clear" w:color="auto" w:fill="E7E6E6" w:themeFill="background2"/>
            <w:noWrap/>
            <w:vAlign w:val="bottom"/>
            <w:hideMark/>
          </w:tcPr>
          <w:p w14:paraId="11376563" w14:textId="03BE2B97"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-0.04</w:t>
            </w:r>
          </w:p>
        </w:tc>
        <w:tc>
          <w:tcPr>
            <w:tcW w:w="0" w:type="auto"/>
            <w:tcBorders>
              <w:top w:val="nil"/>
              <w:left w:val="nil"/>
              <w:bottom w:val="nil"/>
              <w:right w:val="nil"/>
            </w:tcBorders>
            <w:shd w:val="clear" w:color="auto" w:fill="E7E6E6" w:themeFill="background2"/>
            <w:noWrap/>
            <w:vAlign w:val="bottom"/>
            <w:hideMark/>
          </w:tcPr>
          <w:p w14:paraId="15394F0C" w14:textId="1DB5953D"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w:t>
            </w:r>
          </w:p>
        </w:tc>
        <w:tc>
          <w:tcPr>
            <w:tcW w:w="0" w:type="auto"/>
            <w:tcBorders>
              <w:top w:val="nil"/>
              <w:left w:val="nil"/>
              <w:bottom w:val="nil"/>
              <w:right w:val="nil"/>
            </w:tcBorders>
            <w:shd w:val="clear" w:color="auto" w:fill="E7E6E6" w:themeFill="background2"/>
            <w:noWrap/>
            <w:vAlign w:val="bottom"/>
            <w:hideMark/>
          </w:tcPr>
          <w:p w14:paraId="529A4F28"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vAlign w:val="bottom"/>
            <w:hideMark/>
          </w:tcPr>
          <w:p w14:paraId="04DB9C88" w14:textId="3F54A295"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0.06</w:t>
            </w:r>
          </w:p>
        </w:tc>
        <w:tc>
          <w:tcPr>
            <w:tcW w:w="0" w:type="auto"/>
            <w:tcBorders>
              <w:top w:val="nil"/>
              <w:left w:val="nil"/>
              <w:bottom w:val="nil"/>
              <w:right w:val="nil"/>
            </w:tcBorders>
            <w:shd w:val="clear" w:color="auto" w:fill="E7E6E6" w:themeFill="background2"/>
            <w:noWrap/>
            <w:vAlign w:val="bottom"/>
          </w:tcPr>
          <w:p w14:paraId="7810CF91"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vAlign w:val="bottom"/>
          </w:tcPr>
          <w:p w14:paraId="37F7D66D"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r>
      <w:tr w:rsidR="00301B8F" w:rsidRPr="00445A65" w14:paraId="157286B8" w14:textId="77777777" w:rsidTr="00301B8F">
        <w:trPr>
          <w:trHeight w:val="300"/>
        </w:trPr>
        <w:tc>
          <w:tcPr>
            <w:tcW w:w="0" w:type="auto"/>
            <w:tcBorders>
              <w:top w:val="nil"/>
              <w:left w:val="nil"/>
              <w:bottom w:val="nil"/>
              <w:right w:val="single" w:sz="4" w:space="0" w:color="auto"/>
            </w:tcBorders>
            <w:shd w:val="clear" w:color="auto" w:fill="auto"/>
            <w:noWrap/>
            <w:vAlign w:val="center"/>
            <w:hideMark/>
          </w:tcPr>
          <w:p w14:paraId="5DEAB77F"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Imperial</w:t>
            </w:r>
          </w:p>
        </w:tc>
        <w:tc>
          <w:tcPr>
            <w:tcW w:w="0" w:type="auto"/>
            <w:tcBorders>
              <w:top w:val="nil"/>
              <w:left w:val="single" w:sz="4" w:space="0" w:color="auto"/>
              <w:bottom w:val="nil"/>
              <w:right w:val="nil"/>
            </w:tcBorders>
            <w:shd w:val="clear" w:color="auto" w:fill="auto"/>
            <w:noWrap/>
            <w:vAlign w:val="bottom"/>
            <w:hideMark/>
          </w:tcPr>
          <w:p w14:paraId="108E6D50" w14:textId="43699E9E"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-0.03</w:t>
            </w:r>
          </w:p>
        </w:tc>
        <w:tc>
          <w:tcPr>
            <w:tcW w:w="0" w:type="auto"/>
            <w:tcBorders>
              <w:top w:val="nil"/>
              <w:left w:val="nil"/>
              <w:bottom w:val="nil"/>
              <w:right w:val="nil"/>
            </w:tcBorders>
            <w:shd w:val="clear" w:color="auto" w:fill="auto"/>
            <w:noWrap/>
            <w:vAlign w:val="bottom"/>
            <w:hideMark/>
          </w:tcPr>
          <w:p w14:paraId="4304584D" w14:textId="2E3CE038"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-0.01</w:t>
            </w:r>
          </w:p>
        </w:tc>
        <w:tc>
          <w:tcPr>
            <w:tcW w:w="0" w:type="auto"/>
            <w:tcBorders>
              <w:top w:val="nil"/>
              <w:left w:val="nil"/>
              <w:bottom w:val="nil"/>
              <w:right w:val="nil"/>
            </w:tcBorders>
            <w:shd w:val="clear" w:color="auto" w:fill="auto"/>
            <w:noWrap/>
            <w:vAlign w:val="bottom"/>
            <w:hideMark/>
          </w:tcPr>
          <w:p w14:paraId="18BC4B55" w14:textId="774DECB3"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0.02</w:t>
            </w:r>
          </w:p>
        </w:tc>
        <w:tc>
          <w:tcPr>
            <w:tcW w:w="0" w:type="auto"/>
            <w:tcBorders>
              <w:top w:val="nil"/>
              <w:left w:val="nil"/>
              <w:bottom w:val="nil"/>
              <w:right w:val="nil"/>
            </w:tcBorders>
            <w:shd w:val="clear" w:color="auto" w:fill="auto"/>
            <w:noWrap/>
            <w:vAlign w:val="bottom"/>
            <w:hideMark/>
          </w:tcPr>
          <w:p w14:paraId="0AA2A8B1" w14:textId="2ACACADA"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0.04</w:t>
            </w:r>
          </w:p>
        </w:tc>
        <w:tc>
          <w:tcPr>
            <w:tcW w:w="0" w:type="auto"/>
            <w:tcBorders>
              <w:top w:val="nil"/>
              <w:left w:val="nil"/>
              <w:bottom w:val="nil"/>
              <w:right w:val="nil"/>
            </w:tcBorders>
            <w:shd w:val="clear" w:color="auto" w:fill="auto"/>
            <w:noWrap/>
            <w:vAlign w:val="bottom"/>
            <w:hideMark/>
          </w:tcPr>
          <w:p w14:paraId="1D2E333E" w14:textId="416584D0"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0.06</w:t>
            </w:r>
          </w:p>
        </w:tc>
        <w:tc>
          <w:tcPr>
            <w:tcW w:w="0" w:type="auto"/>
            <w:tcBorders>
              <w:top w:val="nil"/>
              <w:left w:val="nil"/>
              <w:bottom w:val="nil"/>
              <w:right w:val="nil"/>
            </w:tcBorders>
            <w:shd w:val="clear" w:color="auto" w:fill="auto"/>
            <w:noWrap/>
            <w:vAlign w:val="bottom"/>
            <w:hideMark/>
          </w:tcPr>
          <w:p w14:paraId="10709A0F" w14:textId="4BF7BF75"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0.08</w:t>
            </w:r>
          </w:p>
        </w:tc>
        <w:tc>
          <w:tcPr>
            <w:tcW w:w="0" w:type="auto"/>
            <w:tcBorders>
              <w:top w:val="nil"/>
              <w:left w:val="nil"/>
              <w:bottom w:val="nil"/>
              <w:right w:val="nil"/>
            </w:tcBorders>
            <w:shd w:val="clear" w:color="auto" w:fill="auto"/>
            <w:noWrap/>
            <w:vAlign w:val="bottom"/>
            <w:hideMark/>
          </w:tcPr>
          <w:p w14:paraId="4AD2DE55" w14:textId="075145F8"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0.09</w:t>
            </w:r>
          </w:p>
        </w:tc>
        <w:tc>
          <w:tcPr>
            <w:tcW w:w="0" w:type="auto"/>
            <w:tcBorders>
              <w:top w:val="nil"/>
              <w:left w:val="nil"/>
              <w:bottom w:val="nil"/>
              <w:right w:val="nil"/>
            </w:tcBorders>
            <w:shd w:val="clear" w:color="auto" w:fill="auto"/>
            <w:noWrap/>
            <w:vAlign w:val="bottom"/>
            <w:hideMark/>
          </w:tcPr>
          <w:p w14:paraId="16A83527" w14:textId="1F748A31"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0.11</w:t>
            </w:r>
          </w:p>
        </w:tc>
        <w:tc>
          <w:tcPr>
            <w:tcW w:w="0" w:type="auto"/>
            <w:tcBorders>
              <w:top w:val="nil"/>
              <w:left w:val="nil"/>
              <w:bottom w:val="nil"/>
              <w:right w:val="nil"/>
            </w:tcBorders>
            <w:shd w:val="clear" w:color="auto" w:fill="auto"/>
            <w:noWrap/>
            <w:vAlign w:val="bottom"/>
            <w:hideMark/>
          </w:tcPr>
          <w:p w14:paraId="4E0BDD94" w14:textId="210CE44F"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0.12</w:t>
            </w:r>
          </w:p>
        </w:tc>
        <w:tc>
          <w:tcPr>
            <w:tcW w:w="0" w:type="auto"/>
            <w:tcBorders>
              <w:top w:val="nil"/>
              <w:left w:val="nil"/>
              <w:bottom w:val="nil"/>
              <w:right w:val="nil"/>
            </w:tcBorders>
            <w:shd w:val="clear" w:color="auto" w:fill="auto"/>
            <w:noWrap/>
            <w:vAlign w:val="bottom"/>
            <w:hideMark/>
          </w:tcPr>
          <w:p w14:paraId="38404A63" w14:textId="2ABEB817"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0.14</w:t>
            </w:r>
          </w:p>
        </w:tc>
      </w:tr>
      <w:tr w:rsidR="00301B8F" w:rsidRPr="00445A65" w14:paraId="6F665899" w14:textId="77777777" w:rsidTr="00301B8F">
        <w:trPr>
          <w:trHeight w:val="300"/>
        </w:trPr>
        <w:tc>
          <w:tcPr>
            <w:tcW w:w="0" w:type="auto"/>
            <w:tcBorders>
              <w:top w:val="nil"/>
              <w:left w:val="nil"/>
              <w:bottom w:val="nil"/>
              <w:right w:val="single" w:sz="4" w:space="0" w:color="auto"/>
            </w:tcBorders>
            <w:shd w:val="clear" w:color="auto" w:fill="E7E6E6" w:themeFill="background2"/>
            <w:noWrap/>
            <w:vAlign w:val="center"/>
            <w:hideMark/>
          </w:tcPr>
          <w:p w14:paraId="65A6F0A5"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Notre Dame</w:t>
            </w:r>
          </w:p>
        </w:tc>
        <w:tc>
          <w:tcPr>
            <w:tcW w:w="0" w:type="auto"/>
            <w:tcBorders>
              <w:top w:val="nil"/>
              <w:left w:val="single" w:sz="4" w:space="0" w:color="auto"/>
              <w:bottom w:val="nil"/>
              <w:right w:val="nil"/>
            </w:tcBorders>
            <w:shd w:val="clear" w:color="auto" w:fill="E7E6E6" w:themeFill="background2"/>
            <w:noWrap/>
            <w:vAlign w:val="bottom"/>
            <w:hideMark/>
          </w:tcPr>
          <w:p w14:paraId="506AE5CC" w14:textId="7F2F373B"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-0.01</w:t>
            </w:r>
          </w:p>
        </w:tc>
        <w:tc>
          <w:tcPr>
            <w:tcW w:w="0" w:type="auto"/>
            <w:tcBorders>
              <w:top w:val="nil"/>
              <w:left w:val="nil"/>
              <w:bottom w:val="nil"/>
              <w:right w:val="nil"/>
            </w:tcBorders>
            <w:shd w:val="clear" w:color="auto" w:fill="E7E6E6" w:themeFill="background2"/>
            <w:noWrap/>
            <w:vAlign w:val="bottom"/>
          </w:tcPr>
          <w:p w14:paraId="2FFEA69E"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vAlign w:val="bottom"/>
          </w:tcPr>
          <w:p w14:paraId="574AB744"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vAlign w:val="bottom"/>
          </w:tcPr>
          <w:p w14:paraId="68658A8F"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vAlign w:val="bottom"/>
          </w:tcPr>
          <w:p w14:paraId="1A818E81"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vAlign w:val="bottom"/>
          </w:tcPr>
          <w:p w14:paraId="7744BCAF"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vAlign w:val="bottom"/>
          </w:tcPr>
          <w:p w14:paraId="23076CE7"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vAlign w:val="bottom"/>
            <w:hideMark/>
          </w:tcPr>
          <w:p w14:paraId="6EE99FF9" w14:textId="7141023C"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0.08</w:t>
            </w:r>
          </w:p>
        </w:tc>
        <w:tc>
          <w:tcPr>
            <w:tcW w:w="0" w:type="auto"/>
            <w:tcBorders>
              <w:top w:val="nil"/>
              <w:left w:val="nil"/>
              <w:bottom w:val="nil"/>
              <w:right w:val="nil"/>
            </w:tcBorders>
            <w:shd w:val="clear" w:color="auto" w:fill="E7E6E6" w:themeFill="background2"/>
            <w:noWrap/>
            <w:vAlign w:val="bottom"/>
          </w:tcPr>
          <w:p w14:paraId="13AB0D4B"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vAlign w:val="bottom"/>
          </w:tcPr>
          <w:p w14:paraId="2429B736"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r>
      <w:tr w:rsidR="00301B8F" w:rsidRPr="00445A65" w14:paraId="49E9373A" w14:textId="77777777" w:rsidTr="00301B8F">
        <w:trPr>
          <w:trHeight w:val="300"/>
        </w:trPr>
        <w:tc>
          <w:tcPr>
            <w:tcW w:w="0" w:type="auto"/>
            <w:tcBorders>
              <w:top w:val="nil"/>
              <w:left w:val="nil"/>
              <w:bottom w:val="nil"/>
              <w:right w:val="single" w:sz="4" w:space="0" w:color="auto"/>
            </w:tcBorders>
            <w:shd w:val="clear" w:color="auto" w:fill="auto"/>
            <w:noWrap/>
            <w:vAlign w:val="center"/>
            <w:hideMark/>
          </w:tcPr>
          <w:p w14:paraId="4461D872"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Sanofi Pasteur</w:t>
            </w:r>
          </w:p>
        </w:tc>
        <w:tc>
          <w:tcPr>
            <w:tcW w:w="0" w:type="auto"/>
            <w:tcBorders>
              <w:top w:val="nil"/>
              <w:left w:val="single" w:sz="4" w:space="0" w:color="auto"/>
              <w:bottom w:val="nil"/>
              <w:right w:val="nil"/>
            </w:tcBorders>
            <w:shd w:val="clear" w:color="auto" w:fill="auto"/>
            <w:noWrap/>
            <w:vAlign w:val="bottom"/>
            <w:hideMark/>
          </w:tcPr>
          <w:p w14:paraId="78B978C8" w14:textId="1BDE655F"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0.15</w:t>
            </w:r>
          </w:p>
        </w:tc>
        <w:tc>
          <w:tcPr>
            <w:tcW w:w="0" w:type="auto"/>
            <w:tcBorders>
              <w:top w:val="nil"/>
              <w:left w:val="nil"/>
              <w:bottom w:val="nil"/>
              <w:right w:val="nil"/>
            </w:tcBorders>
            <w:shd w:val="clear" w:color="auto" w:fill="auto"/>
            <w:noWrap/>
            <w:vAlign w:val="bottom"/>
            <w:hideMark/>
          </w:tcPr>
          <w:p w14:paraId="7E5B9C05"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bottom"/>
            <w:hideMark/>
          </w:tcPr>
          <w:p w14:paraId="1B7D6654" w14:textId="61F9EC31"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0.18</w:t>
            </w:r>
          </w:p>
        </w:tc>
        <w:tc>
          <w:tcPr>
            <w:tcW w:w="0" w:type="auto"/>
            <w:tcBorders>
              <w:top w:val="nil"/>
              <w:left w:val="nil"/>
              <w:bottom w:val="nil"/>
              <w:right w:val="nil"/>
            </w:tcBorders>
            <w:shd w:val="clear" w:color="auto" w:fill="auto"/>
            <w:noWrap/>
            <w:vAlign w:val="bottom"/>
            <w:hideMark/>
          </w:tcPr>
          <w:p w14:paraId="34CB5765"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bottom"/>
            <w:hideMark/>
          </w:tcPr>
          <w:p w14:paraId="77E47DFA" w14:textId="766550AB"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0.21</w:t>
            </w:r>
          </w:p>
        </w:tc>
        <w:tc>
          <w:tcPr>
            <w:tcW w:w="0" w:type="auto"/>
            <w:tcBorders>
              <w:top w:val="nil"/>
              <w:left w:val="nil"/>
              <w:bottom w:val="nil"/>
              <w:right w:val="nil"/>
            </w:tcBorders>
            <w:shd w:val="clear" w:color="auto" w:fill="auto"/>
            <w:noWrap/>
            <w:vAlign w:val="bottom"/>
          </w:tcPr>
          <w:p w14:paraId="13C1DA2E"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bottom"/>
            <w:hideMark/>
          </w:tcPr>
          <w:p w14:paraId="0EDBE204" w14:textId="23D0E53F"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0.23</w:t>
            </w:r>
          </w:p>
        </w:tc>
        <w:tc>
          <w:tcPr>
            <w:tcW w:w="0" w:type="auto"/>
            <w:tcBorders>
              <w:top w:val="nil"/>
              <w:left w:val="nil"/>
              <w:bottom w:val="nil"/>
              <w:right w:val="nil"/>
            </w:tcBorders>
            <w:shd w:val="clear" w:color="auto" w:fill="auto"/>
            <w:noWrap/>
            <w:vAlign w:val="bottom"/>
            <w:hideMark/>
          </w:tcPr>
          <w:p w14:paraId="247A7BFC" w14:textId="1FF76314"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bottom"/>
            <w:hideMark/>
          </w:tcPr>
          <w:p w14:paraId="09F345CC" w14:textId="5EC4EDE2"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0.25</w:t>
            </w:r>
          </w:p>
        </w:tc>
        <w:tc>
          <w:tcPr>
            <w:tcW w:w="0" w:type="auto"/>
            <w:tcBorders>
              <w:top w:val="nil"/>
              <w:left w:val="nil"/>
              <w:bottom w:val="nil"/>
              <w:right w:val="nil"/>
            </w:tcBorders>
            <w:shd w:val="clear" w:color="auto" w:fill="auto"/>
            <w:noWrap/>
            <w:vAlign w:val="bottom"/>
            <w:hideMark/>
          </w:tcPr>
          <w:p w14:paraId="54C94F04"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r>
      <w:tr w:rsidR="00301B8F" w:rsidRPr="00445A65" w14:paraId="4833789E" w14:textId="77777777" w:rsidTr="00301B8F">
        <w:trPr>
          <w:trHeight w:val="300"/>
        </w:trPr>
        <w:tc>
          <w:tcPr>
            <w:tcW w:w="0" w:type="auto"/>
            <w:tcBorders>
              <w:top w:val="nil"/>
              <w:left w:val="nil"/>
              <w:bottom w:val="nil"/>
              <w:right w:val="single" w:sz="4" w:space="0" w:color="auto"/>
            </w:tcBorders>
            <w:shd w:val="clear" w:color="auto" w:fill="E7E6E6" w:themeFill="background2"/>
            <w:noWrap/>
            <w:vAlign w:val="center"/>
            <w:hideMark/>
          </w:tcPr>
          <w:p w14:paraId="12F87FB2"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UF</w:t>
            </w:r>
          </w:p>
        </w:tc>
        <w:tc>
          <w:tcPr>
            <w:tcW w:w="0" w:type="auto"/>
            <w:tcBorders>
              <w:top w:val="nil"/>
              <w:left w:val="single" w:sz="4" w:space="0" w:color="auto"/>
              <w:bottom w:val="nil"/>
              <w:right w:val="nil"/>
            </w:tcBorders>
            <w:shd w:val="clear" w:color="auto" w:fill="E7E6E6" w:themeFill="background2"/>
            <w:noWrap/>
            <w:vAlign w:val="bottom"/>
            <w:hideMark/>
          </w:tcPr>
          <w:p w14:paraId="6247780C" w14:textId="0BB35F27"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0.08</w:t>
            </w:r>
          </w:p>
        </w:tc>
        <w:tc>
          <w:tcPr>
            <w:tcW w:w="0" w:type="auto"/>
            <w:tcBorders>
              <w:top w:val="nil"/>
              <w:left w:val="nil"/>
              <w:bottom w:val="nil"/>
              <w:right w:val="nil"/>
            </w:tcBorders>
            <w:shd w:val="clear" w:color="auto" w:fill="E7E6E6" w:themeFill="background2"/>
            <w:noWrap/>
            <w:vAlign w:val="bottom"/>
          </w:tcPr>
          <w:p w14:paraId="6AD560E3" w14:textId="317C4A98"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0.1</w:t>
            </w:r>
          </w:p>
        </w:tc>
        <w:tc>
          <w:tcPr>
            <w:tcW w:w="0" w:type="auto"/>
            <w:tcBorders>
              <w:top w:val="nil"/>
              <w:left w:val="nil"/>
              <w:bottom w:val="nil"/>
              <w:right w:val="nil"/>
            </w:tcBorders>
            <w:shd w:val="clear" w:color="auto" w:fill="E7E6E6" w:themeFill="background2"/>
            <w:noWrap/>
            <w:vAlign w:val="bottom"/>
          </w:tcPr>
          <w:p w14:paraId="16F2E053" w14:textId="135B30EB"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0.09</w:t>
            </w:r>
          </w:p>
        </w:tc>
        <w:tc>
          <w:tcPr>
            <w:tcW w:w="0" w:type="auto"/>
            <w:tcBorders>
              <w:top w:val="nil"/>
              <w:left w:val="nil"/>
              <w:bottom w:val="nil"/>
              <w:right w:val="nil"/>
            </w:tcBorders>
            <w:shd w:val="clear" w:color="auto" w:fill="E7E6E6" w:themeFill="background2"/>
            <w:noWrap/>
            <w:vAlign w:val="bottom"/>
          </w:tcPr>
          <w:p w14:paraId="7E948D5E" w14:textId="6F09351A"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0.12</w:t>
            </w:r>
          </w:p>
        </w:tc>
        <w:tc>
          <w:tcPr>
            <w:tcW w:w="0" w:type="auto"/>
            <w:tcBorders>
              <w:top w:val="nil"/>
              <w:left w:val="nil"/>
              <w:bottom w:val="nil"/>
              <w:right w:val="nil"/>
            </w:tcBorders>
            <w:shd w:val="clear" w:color="auto" w:fill="E7E6E6" w:themeFill="background2"/>
            <w:noWrap/>
            <w:vAlign w:val="bottom"/>
          </w:tcPr>
          <w:p w14:paraId="2400385A" w14:textId="76EA8853"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0.13</w:t>
            </w:r>
          </w:p>
        </w:tc>
        <w:tc>
          <w:tcPr>
            <w:tcW w:w="0" w:type="auto"/>
            <w:tcBorders>
              <w:top w:val="nil"/>
              <w:left w:val="nil"/>
              <w:bottom w:val="nil"/>
              <w:right w:val="nil"/>
            </w:tcBorders>
            <w:shd w:val="clear" w:color="auto" w:fill="E7E6E6" w:themeFill="background2"/>
            <w:noWrap/>
            <w:vAlign w:val="bottom"/>
          </w:tcPr>
          <w:p w14:paraId="377E8912" w14:textId="36C709E8"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0.12</w:t>
            </w:r>
          </w:p>
        </w:tc>
        <w:tc>
          <w:tcPr>
            <w:tcW w:w="0" w:type="auto"/>
            <w:tcBorders>
              <w:top w:val="nil"/>
              <w:left w:val="nil"/>
              <w:bottom w:val="nil"/>
              <w:right w:val="nil"/>
            </w:tcBorders>
            <w:shd w:val="clear" w:color="auto" w:fill="E7E6E6" w:themeFill="background2"/>
            <w:noWrap/>
            <w:vAlign w:val="bottom"/>
          </w:tcPr>
          <w:p w14:paraId="0C5D501C" w14:textId="370D95D3"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0.16</w:t>
            </w:r>
          </w:p>
        </w:tc>
        <w:tc>
          <w:tcPr>
            <w:tcW w:w="0" w:type="auto"/>
            <w:tcBorders>
              <w:top w:val="nil"/>
              <w:left w:val="nil"/>
              <w:bottom w:val="nil"/>
              <w:right w:val="nil"/>
            </w:tcBorders>
            <w:shd w:val="clear" w:color="auto" w:fill="E7E6E6" w:themeFill="background2"/>
            <w:noWrap/>
            <w:vAlign w:val="bottom"/>
            <w:hideMark/>
          </w:tcPr>
          <w:p w14:paraId="72D6EA1B" w14:textId="7D1EC6D5"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0.17</w:t>
            </w:r>
          </w:p>
        </w:tc>
        <w:tc>
          <w:tcPr>
            <w:tcW w:w="0" w:type="auto"/>
            <w:tcBorders>
              <w:top w:val="nil"/>
              <w:left w:val="nil"/>
              <w:bottom w:val="nil"/>
              <w:right w:val="nil"/>
            </w:tcBorders>
            <w:shd w:val="clear" w:color="auto" w:fill="E7E6E6" w:themeFill="background2"/>
            <w:noWrap/>
            <w:vAlign w:val="bottom"/>
          </w:tcPr>
          <w:p w14:paraId="39E006E5" w14:textId="56040B8F"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0.19</w:t>
            </w:r>
          </w:p>
        </w:tc>
        <w:tc>
          <w:tcPr>
            <w:tcW w:w="0" w:type="auto"/>
            <w:tcBorders>
              <w:top w:val="nil"/>
              <w:left w:val="nil"/>
              <w:bottom w:val="nil"/>
              <w:right w:val="nil"/>
            </w:tcBorders>
            <w:shd w:val="clear" w:color="auto" w:fill="E7E6E6" w:themeFill="background2"/>
            <w:noWrap/>
            <w:vAlign w:val="bottom"/>
          </w:tcPr>
          <w:p w14:paraId="6275470C" w14:textId="4AB8FF6C"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0.18</w:t>
            </w:r>
          </w:p>
        </w:tc>
      </w:tr>
      <w:tr w:rsidR="00301B8F" w:rsidRPr="00445A65" w14:paraId="48E772E0" w14:textId="77777777" w:rsidTr="00301B8F">
        <w:trPr>
          <w:trHeight w:val="300"/>
        </w:trPr>
        <w:tc>
          <w:tcPr>
            <w:tcW w:w="0" w:type="auto"/>
            <w:tcBorders>
              <w:top w:val="nil"/>
              <w:left w:val="nil"/>
              <w:bottom w:val="nil"/>
              <w:right w:val="single" w:sz="4" w:space="0" w:color="auto"/>
            </w:tcBorders>
            <w:shd w:val="clear" w:color="auto" w:fill="auto"/>
            <w:noWrap/>
            <w:vAlign w:val="center"/>
            <w:hideMark/>
          </w:tcPr>
          <w:p w14:paraId="79A71665"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UWA</w:t>
            </w:r>
          </w:p>
        </w:tc>
        <w:tc>
          <w:tcPr>
            <w:tcW w:w="0" w:type="auto"/>
            <w:tcBorders>
              <w:top w:val="nil"/>
              <w:left w:val="single" w:sz="4" w:space="0" w:color="auto"/>
              <w:bottom w:val="nil"/>
              <w:right w:val="nil"/>
            </w:tcBorders>
            <w:shd w:val="clear" w:color="auto" w:fill="auto"/>
            <w:noWrap/>
            <w:vAlign w:val="bottom"/>
            <w:hideMark/>
          </w:tcPr>
          <w:p w14:paraId="1A130818" w14:textId="42E8786C"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0.08</w:t>
            </w:r>
          </w:p>
        </w:tc>
        <w:tc>
          <w:tcPr>
            <w:tcW w:w="0" w:type="auto"/>
            <w:tcBorders>
              <w:top w:val="nil"/>
              <w:left w:val="nil"/>
              <w:bottom w:val="nil"/>
              <w:right w:val="nil"/>
            </w:tcBorders>
            <w:shd w:val="clear" w:color="auto" w:fill="auto"/>
            <w:noWrap/>
            <w:vAlign w:val="bottom"/>
          </w:tcPr>
          <w:p w14:paraId="672A4DAB"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bottom"/>
          </w:tcPr>
          <w:p w14:paraId="5CF287DD"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bottom"/>
          </w:tcPr>
          <w:p w14:paraId="5F5314F5"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bottom"/>
          </w:tcPr>
          <w:p w14:paraId="1157D585"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bottom"/>
          </w:tcPr>
          <w:p w14:paraId="71A712F9"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bottom"/>
          </w:tcPr>
          <w:p w14:paraId="318FDB7C"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bottom"/>
            <w:hideMark/>
          </w:tcPr>
          <w:p w14:paraId="76E3F5CA" w14:textId="73FC33FD"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rFonts w:ascii="Calibri" w:hAnsi="Calibri" w:cs="Calibri"/>
                <w:color w:val="000000"/>
                <w:sz w:val="16"/>
                <w:szCs w:val="16"/>
              </w:rPr>
              <w:t>0.16</w:t>
            </w:r>
          </w:p>
        </w:tc>
        <w:tc>
          <w:tcPr>
            <w:tcW w:w="0" w:type="auto"/>
            <w:tcBorders>
              <w:top w:val="nil"/>
              <w:left w:val="nil"/>
              <w:bottom w:val="nil"/>
              <w:right w:val="nil"/>
            </w:tcBorders>
            <w:shd w:val="clear" w:color="auto" w:fill="auto"/>
            <w:noWrap/>
            <w:vAlign w:val="bottom"/>
          </w:tcPr>
          <w:p w14:paraId="22594D1B"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bottom"/>
          </w:tcPr>
          <w:p w14:paraId="56EFCF10"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r>
    </w:tbl>
    <w:p w14:paraId="78199FBE" w14:textId="77777777" w:rsidR="00301B8F" w:rsidRPr="00ED4A5F" w:rsidRDefault="00301B8F" w:rsidP="00ED4A5F"/>
    <w:tbl>
      <w:tblPr>
        <w:tblW w:w="0" w:type="auto"/>
        <w:tblInd w:w="108" w:type="dxa"/>
        <w:tblLook w:val="04A0" w:firstRow="1" w:lastRow="0" w:firstColumn="1" w:lastColumn="0" w:noHBand="0" w:noVBand="1"/>
      </w:tblPr>
      <w:tblGrid>
        <w:gridCol w:w="1152"/>
        <w:gridCol w:w="500"/>
        <w:gridCol w:w="500"/>
        <w:gridCol w:w="500"/>
        <w:gridCol w:w="500"/>
        <w:gridCol w:w="500"/>
        <w:gridCol w:w="500"/>
        <w:gridCol w:w="500"/>
        <w:gridCol w:w="500"/>
        <w:gridCol w:w="500"/>
        <w:gridCol w:w="500"/>
      </w:tblGrid>
      <w:tr w:rsidR="00445A65" w:rsidRPr="00445A65" w14:paraId="066420F2" w14:textId="77777777" w:rsidTr="00ED4A5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45ED66FA" w14:textId="77777777" w:rsidR="00445A65" w:rsidRPr="00445A65" w:rsidRDefault="00445A65" w:rsidP="00C51D6D">
            <w:pPr>
              <w:spacing w:after="0" w:line="240" w:lineRule="auto"/>
              <w:jc w:val="center"/>
              <w:rPr>
                <w:rFonts w:eastAsia="Times New Roman" w:cstheme="minorHAnsi"/>
                <w:b/>
                <w:color w:val="000000" w:themeColor="text1"/>
                <w:sz w:val="16"/>
                <w:szCs w:val="16"/>
                <w:lang w:eastAsia="en-GB"/>
              </w:rPr>
            </w:pPr>
            <w:r w:rsidRPr="00445A65">
              <w:rPr>
                <w:rFonts w:eastAsia="Times New Roman" w:cstheme="minorHAnsi"/>
                <w:b/>
                <w:color w:val="000000" w:themeColor="text1"/>
                <w:sz w:val="16"/>
                <w:szCs w:val="16"/>
                <w:lang w:eastAsia="en-GB"/>
              </w:rPr>
              <w:t>(b)</w:t>
            </w:r>
          </w:p>
        </w:tc>
        <w:tc>
          <w:tcPr>
            <w:tcW w:w="0" w:type="auto"/>
            <w:tcBorders>
              <w:top w:val="nil"/>
              <w:left w:val="single" w:sz="4" w:space="0" w:color="auto"/>
              <w:bottom w:val="single" w:sz="4" w:space="0" w:color="auto"/>
              <w:right w:val="nil"/>
            </w:tcBorders>
            <w:shd w:val="clear" w:color="auto" w:fill="auto"/>
            <w:noWrap/>
            <w:vAlign w:val="center"/>
            <w:hideMark/>
          </w:tcPr>
          <w:p w14:paraId="3F946B66"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9</w:t>
            </w:r>
          </w:p>
        </w:tc>
        <w:tc>
          <w:tcPr>
            <w:tcW w:w="0" w:type="auto"/>
            <w:tcBorders>
              <w:top w:val="nil"/>
              <w:left w:val="nil"/>
              <w:bottom w:val="single" w:sz="4" w:space="0" w:color="auto"/>
              <w:right w:val="nil"/>
            </w:tcBorders>
            <w:shd w:val="clear" w:color="auto" w:fill="auto"/>
            <w:noWrap/>
            <w:vAlign w:val="center"/>
            <w:hideMark/>
          </w:tcPr>
          <w:p w14:paraId="3BE8F515"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10</w:t>
            </w:r>
          </w:p>
        </w:tc>
        <w:tc>
          <w:tcPr>
            <w:tcW w:w="0" w:type="auto"/>
            <w:tcBorders>
              <w:top w:val="nil"/>
              <w:left w:val="nil"/>
              <w:bottom w:val="single" w:sz="4" w:space="0" w:color="auto"/>
              <w:right w:val="nil"/>
            </w:tcBorders>
            <w:shd w:val="clear" w:color="auto" w:fill="auto"/>
            <w:noWrap/>
            <w:vAlign w:val="center"/>
            <w:hideMark/>
          </w:tcPr>
          <w:p w14:paraId="730EF5FA"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11</w:t>
            </w:r>
          </w:p>
        </w:tc>
        <w:tc>
          <w:tcPr>
            <w:tcW w:w="0" w:type="auto"/>
            <w:tcBorders>
              <w:top w:val="nil"/>
              <w:left w:val="nil"/>
              <w:bottom w:val="single" w:sz="4" w:space="0" w:color="auto"/>
              <w:right w:val="nil"/>
            </w:tcBorders>
            <w:shd w:val="clear" w:color="auto" w:fill="auto"/>
            <w:noWrap/>
            <w:vAlign w:val="center"/>
            <w:hideMark/>
          </w:tcPr>
          <w:p w14:paraId="1FFF5F60"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12</w:t>
            </w:r>
          </w:p>
        </w:tc>
        <w:tc>
          <w:tcPr>
            <w:tcW w:w="0" w:type="auto"/>
            <w:tcBorders>
              <w:top w:val="nil"/>
              <w:left w:val="nil"/>
              <w:bottom w:val="single" w:sz="4" w:space="0" w:color="auto"/>
              <w:right w:val="nil"/>
            </w:tcBorders>
            <w:shd w:val="clear" w:color="auto" w:fill="auto"/>
            <w:noWrap/>
            <w:vAlign w:val="center"/>
            <w:hideMark/>
          </w:tcPr>
          <w:p w14:paraId="22FA9A8D"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13</w:t>
            </w:r>
          </w:p>
        </w:tc>
        <w:tc>
          <w:tcPr>
            <w:tcW w:w="0" w:type="auto"/>
            <w:tcBorders>
              <w:top w:val="nil"/>
              <w:left w:val="nil"/>
              <w:bottom w:val="single" w:sz="4" w:space="0" w:color="auto"/>
              <w:right w:val="nil"/>
            </w:tcBorders>
            <w:shd w:val="clear" w:color="auto" w:fill="auto"/>
            <w:noWrap/>
            <w:vAlign w:val="center"/>
            <w:hideMark/>
          </w:tcPr>
          <w:p w14:paraId="0307E14D"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14</w:t>
            </w:r>
          </w:p>
        </w:tc>
        <w:tc>
          <w:tcPr>
            <w:tcW w:w="0" w:type="auto"/>
            <w:tcBorders>
              <w:top w:val="nil"/>
              <w:left w:val="nil"/>
              <w:bottom w:val="single" w:sz="4" w:space="0" w:color="auto"/>
              <w:right w:val="nil"/>
            </w:tcBorders>
            <w:shd w:val="clear" w:color="auto" w:fill="auto"/>
            <w:noWrap/>
            <w:vAlign w:val="center"/>
            <w:hideMark/>
          </w:tcPr>
          <w:p w14:paraId="605B04C9"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15</w:t>
            </w:r>
          </w:p>
        </w:tc>
        <w:tc>
          <w:tcPr>
            <w:tcW w:w="0" w:type="auto"/>
            <w:tcBorders>
              <w:top w:val="nil"/>
              <w:left w:val="nil"/>
              <w:bottom w:val="single" w:sz="4" w:space="0" w:color="auto"/>
              <w:right w:val="nil"/>
            </w:tcBorders>
            <w:shd w:val="clear" w:color="auto" w:fill="auto"/>
            <w:noWrap/>
            <w:vAlign w:val="center"/>
            <w:hideMark/>
          </w:tcPr>
          <w:p w14:paraId="1ED38D9B"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16</w:t>
            </w:r>
          </w:p>
        </w:tc>
        <w:tc>
          <w:tcPr>
            <w:tcW w:w="0" w:type="auto"/>
            <w:tcBorders>
              <w:top w:val="nil"/>
              <w:left w:val="nil"/>
              <w:bottom w:val="single" w:sz="4" w:space="0" w:color="auto"/>
              <w:right w:val="nil"/>
            </w:tcBorders>
            <w:shd w:val="clear" w:color="auto" w:fill="auto"/>
            <w:noWrap/>
            <w:vAlign w:val="center"/>
            <w:hideMark/>
          </w:tcPr>
          <w:p w14:paraId="34EC4415"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17</w:t>
            </w:r>
          </w:p>
        </w:tc>
        <w:tc>
          <w:tcPr>
            <w:tcW w:w="0" w:type="auto"/>
            <w:tcBorders>
              <w:top w:val="nil"/>
              <w:left w:val="nil"/>
              <w:bottom w:val="single" w:sz="4" w:space="0" w:color="auto"/>
              <w:right w:val="nil"/>
            </w:tcBorders>
            <w:shd w:val="clear" w:color="auto" w:fill="auto"/>
            <w:noWrap/>
            <w:vAlign w:val="center"/>
            <w:hideMark/>
          </w:tcPr>
          <w:p w14:paraId="66FCAC1F"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18</w:t>
            </w:r>
          </w:p>
        </w:tc>
      </w:tr>
      <w:tr w:rsidR="00301B8F" w:rsidRPr="00445A65" w14:paraId="314C989B" w14:textId="77777777" w:rsidTr="00ED4A5F">
        <w:trPr>
          <w:trHeight w:val="300"/>
        </w:trPr>
        <w:tc>
          <w:tcPr>
            <w:tcW w:w="0" w:type="auto"/>
            <w:tcBorders>
              <w:top w:val="single" w:sz="4" w:space="0" w:color="auto"/>
              <w:left w:val="nil"/>
              <w:bottom w:val="nil"/>
              <w:right w:val="single" w:sz="4" w:space="0" w:color="auto"/>
            </w:tcBorders>
            <w:shd w:val="clear" w:color="auto" w:fill="E7E6E6" w:themeFill="background2"/>
            <w:noWrap/>
            <w:vAlign w:val="center"/>
            <w:hideMark/>
          </w:tcPr>
          <w:p w14:paraId="4A5084CF"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Duke</w:t>
            </w:r>
          </w:p>
        </w:tc>
        <w:tc>
          <w:tcPr>
            <w:tcW w:w="0" w:type="auto"/>
            <w:tcBorders>
              <w:top w:val="single" w:sz="4" w:space="0" w:color="auto"/>
              <w:left w:val="single" w:sz="4" w:space="0" w:color="auto"/>
              <w:bottom w:val="nil"/>
              <w:right w:val="nil"/>
            </w:tcBorders>
            <w:shd w:val="clear" w:color="auto" w:fill="E7E6E6" w:themeFill="background2"/>
            <w:noWrap/>
            <w:vAlign w:val="center"/>
            <w:hideMark/>
          </w:tcPr>
          <w:p w14:paraId="0E03C913" w14:textId="6A7B8008"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0.07</w:t>
            </w:r>
          </w:p>
        </w:tc>
        <w:tc>
          <w:tcPr>
            <w:tcW w:w="0" w:type="auto"/>
            <w:tcBorders>
              <w:top w:val="single" w:sz="4" w:space="0" w:color="auto"/>
              <w:left w:val="nil"/>
              <w:bottom w:val="nil"/>
              <w:right w:val="nil"/>
            </w:tcBorders>
            <w:shd w:val="clear" w:color="auto" w:fill="E7E6E6" w:themeFill="background2"/>
            <w:noWrap/>
            <w:vAlign w:val="center"/>
            <w:hideMark/>
          </w:tcPr>
          <w:p w14:paraId="4245A981" w14:textId="1EEB9849"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0.08</w:t>
            </w:r>
          </w:p>
        </w:tc>
        <w:tc>
          <w:tcPr>
            <w:tcW w:w="0" w:type="auto"/>
            <w:tcBorders>
              <w:top w:val="single" w:sz="4" w:space="0" w:color="auto"/>
              <w:left w:val="nil"/>
              <w:bottom w:val="nil"/>
              <w:right w:val="nil"/>
            </w:tcBorders>
            <w:shd w:val="clear" w:color="auto" w:fill="E7E6E6" w:themeFill="background2"/>
            <w:noWrap/>
            <w:vAlign w:val="center"/>
            <w:hideMark/>
          </w:tcPr>
          <w:p w14:paraId="05849E45" w14:textId="4F3DF924"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0.09</w:t>
            </w:r>
          </w:p>
        </w:tc>
        <w:tc>
          <w:tcPr>
            <w:tcW w:w="0" w:type="auto"/>
            <w:tcBorders>
              <w:top w:val="single" w:sz="4" w:space="0" w:color="auto"/>
              <w:left w:val="nil"/>
              <w:bottom w:val="nil"/>
              <w:right w:val="nil"/>
            </w:tcBorders>
            <w:shd w:val="clear" w:color="auto" w:fill="E7E6E6" w:themeFill="background2"/>
            <w:noWrap/>
            <w:vAlign w:val="center"/>
            <w:hideMark/>
          </w:tcPr>
          <w:p w14:paraId="4BB87FD4" w14:textId="178BC501"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w:t>
            </w:r>
          </w:p>
        </w:tc>
        <w:tc>
          <w:tcPr>
            <w:tcW w:w="0" w:type="auto"/>
            <w:tcBorders>
              <w:top w:val="single" w:sz="4" w:space="0" w:color="auto"/>
              <w:left w:val="nil"/>
              <w:bottom w:val="nil"/>
              <w:right w:val="nil"/>
            </w:tcBorders>
            <w:shd w:val="clear" w:color="auto" w:fill="E7E6E6" w:themeFill="background2"/>
            <w:noWrap/>
            <w:vAlign w:val="center"/>
            <w:hideMark/>
          </w:tcPr>
          <w:p w14:paraId="000CBBCA" w14:textId="6811728E"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w:t>
            </w:r>
          </w:p>
        </w:tc>
        <w:tc>
          <w:tcPr>
            <w:tcW w:w="0" w:type="auto"/>
            <w:tcBorders>
              <w:top w:val="single" w:sz="4" w:space="0" w:color="auto"/>
              <w:left w:val="nil"/>
              <w:bottom w:val="nil"/>
              <w:right w:val="nil"/>
            </w:tcBorders>
            <w:shd w:val="clear" w:color="auto" w:fill="E7E6E6" w:themeFill="background2"/>
            <w:noWrap/>
            <w:vAlign w:val="center"/>
            <w:hideMark/>
          </w:tcPr>
          <w:p w14:paraId="038CEAB6" w14:textId="00649E76"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0.11</w:t>
            </w:r>
          </w:p>
        </w:tc>
        <w:tc>
          <w:tcPr>
            <w:tcW w:w="0" w:type="auto"/>
            <w:tcBorders>
              <w:top w:val="single" w:sz="4" w:space="0" w:color="auto"/>
              <w:left w:val="nil"/>
              <w:bottom w:val="nil"/>
              <w:right w:val="nil"/>
            </w:tcBorders>
            <w:shd w:val="clear" w:color="auto" w:fill="E7E6E6" w:themeFill="background2"/>
            <w:noWrap/>
            <w:vAlign w:val="center"/>
            <w:hideMark/>
          </w:tcPr>
          <w:p w14:paraId="5014EFAE" w14:textId="2F1FC56C"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0.11</w:t>
            </w:r>
          </w:p>
        </w:tc>
        <w:tc>
          <w:tcPr>
            <w:tcW w:w="0" w:type="auto"/>
            <w:tcBorders>
              <w:top w:val="single" w:sz="4" w:space="0" w:color="auto"/>
              <w:left w:val="nil"/>
              <w:bottom w:val="nil"/>
              <w:right w:val="nil"/>
            </w:tcBorders>
            <w:shd w:val="clear" w:color="auto" w:fill="E7E6E6" w:themeFill="background2"/>
            <w:noWrap/>
            <w:vAlign w:val="center"/>
            <w:hideMark/>
          </w:tcPr>
          <w:p w14:paraId="4E3BCA1C" w14:textId="70E58EAF"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0.12</w:t>
            </w:r>
          </w:p>
        </w:tc>
        <w:tc>
          <w:tcPr>
            <w:tcW w:w="0" w:type="auto"/>
            <w:tcBorders>
              <w:top w:val="single" w:sz="4" w:space="0" w:color="auto"/>
              <w:left w:val="nil"/>
              <w:bottom w:val="nil"/>
              <w:right w:val="nil"/>
            </w:tcBorders>
            <w:shd w:val="clear" w:color="auto" w:fill="E7E6E6" w:themeFill="background2"/>
            <w:noWrap/>
            <w:vAlign w:val="center"/>
            <w:hideMark/>
          </w:tcPr>
          <w:p w14:paraId="66C56B03" w14:textId="319FBE9F"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0.12</w:t>
            </w:r>
          </w:p>
        </w:tc>
        <w:tc>
          <w:tcPr>
            <w:tcW w:w="0" w:type="auto"/>
            <w:tcBorders>
              <w:top w:val="single" w:sz="4" w:space="0" w:color="auto"/>
              <w:left w:val="nil"/>
              <w:bottom w:val="nil"/>
              <w:right w:val="nil"/>
            </w:tcBorders>
            <w:shd w:val="clear" w:color="auto" w:fill="E7E6E6" w:themeFill="background2"/>
            <w:noWrap/>
            <w:vAlign w:val="center"/>
            <w:hideMark/>
          </w:tcPr>
          <w:p w14:paraId="3EA73FEF" w14:textId="586094BB"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0.13</w:t>
            </w:r>
          </w:p>
        </w:tc>
      </w:tr>
      <w:tr w:rsidR="00301B8F" w:rsidRPr="00445A65" w14:paraId="11625207" w14:textId="77777777" w:rsidTr="00ED4A5F">
        <w:trPr>
          <w:trHeight w:val="300"/>
        </w:trPr>
        <w:tc>
          <w:tcPr>
            <w:tcW w:w="0" w:type="auto"/>
            <w:tcBorders>
              <w:top w:val="nil"/>
              <w:left w:val="nil"/>
              <w:bottom w:val="nil"/>
              <w:right w:val="single" w:sz="4" w:space="0" w:color="auto"/>
            </w:tcBorders>
            <w:shd w:val="clear" w:color="auto" w:fill="auto"/>
            <w:noWrap/>
            <w:vAlign w:val="center"/>
            <w:hideMark/>
          </w:tcPr>
          <w:p w14:paraId="6287318C"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Exeter/Oxford</w:t>
            </w:r>
          </w:p>
        </w:tc>
        <w:tc>
          <w:tcPr>
            <w:tcW w:w="0" w:type="auto"/>
            <w:tcBorders>
              <w:top w:val="nil"/>
              <w:left w:val="single" w:sz="4" w:space="0" w:color="auto"/>
              <w:bottom w:val="nil"/>
              <w:right w:val="nil"/>
            </w:tcBorders>
            <w:shd w:val="clear" w:color="auto" w:fill="auto"/>
            <w:noWrap/>
            <w:vAlign w:val="center"/>
            <w:hideMark/>
          </w:tcPr>
          <w:p w14:paraId="7784AD62" w14:textId="0C36A1E7"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0.06</w:t>
            </w:r>
          </w:p>
        </w:tc>
        <w:tc>
          <w:tcPr>
            <w:tcW w:w="0" w:type="auto"/>
            <w:tcBorders>
              <w:top w:val="nil"/>
              <w:left w:val="nil"/>
              <w:bottom w:val="nil"/>
              <w:right w:val="nil"/>
            </w:tcBorders>
            <w:shd w:val="clear" w:color="auto" w:fill="auto"/>
            <w:noWrap/>
            <w:vAlign w:val="center"/>
          </w:tcPr>
          <w:p w14:paraId="37FC8D86"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center"/>
          </w:tcPr>
          <w:p w14:paraId="6ECE3082"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center"/>
            <w:hideMark/>
          </w:tcPr>
          <w:p w14:paraId="7727DB77" w14:textId="26EDD7D6"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w:t>
            </w:r>
          </w:p>
        </w:tc>
        <w:tc>
          <w:tcPr>
            <w:tcW w:w="0" w:type="auto"/>
            <w:tcBorders>
              <w:top w:val="nil"/>
              <w:left w:val="nil"/>
              <w:bottom w:val="nil"/>
              <w:right w:val="nil"/>
            </w:tcBorders>
            <w:shd w:val="clear" w:color="auto" w:fill="auto"/>
            <w:noWrap/>
            <w:vAlign w:val="center"/>
          </w:tcPr>
          <w:p w14:paraId="4F1B6854"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center"/>
          </w:tcPr>
          <w:p w14:paraId="697E4158"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center"/>
          </w:tcPr>
          <w:p w14:paraId="2B9DBD37"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center"/>
            <w:hideMark/>
          </w:tcPr>
          <w:p w14:paraId="5D709E33" w14:textId="0D7DFA12"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w:t>
            </w:r>
          </w:p>
        </w:tc>
        <w:tc>
          <w:tcPr>
            <w:tcW w:w="0" w:type="auto"/>
            <w:tcBorders>
              <w:top w:val="nil"/>
              <w:left w:val="nil"/>
              <w:bottom w:val="nil"/>
              <w:right w:val="nil"/>
            </w:tcBorders>
            <w:shd w:val="clear" w:color="auto" w:fill="auto"/>
            <w:noWrap/>
            <w:vAlign w:val="center"/>
          </w:tcPr>
          <w:p w14:paraId="447205B6"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center"/>
          </w:tcPr>
          <w:p w14:paraId="6551E245"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r>
      <w:tr w:rsidR="00301B8F" w:rsidRPr="00445A65" w14:paraId="44CCBBF2" w14:textId="77777777" w:rsidTr="00ED4A5F">
        <w:trPr>
          <w:trHeight w:val="300"/>
        </w:trPr>
        <w:tc>
          <w:tcPr>
            <w:tcW w:w="0" w:type="auto"/>
            <w:tcBorders>
              <w:top w:val="nil"/>
              <w:left w:val="nil"/>
              <w:bottom w:val="nil"/>
              <w:right w:val="single" w:sz="4" w:space="0" w:color="auto"/>
            </w:tcBorders>
            <w:shd w:val="clear" w:color="auto" w:fill="E7E6E6" w:themeFill="background2"/>
            <w:noWrap/>
            <w:vAlign w:val="center"/>
            <w:hideMark/>
          </w:tcPr>
          <w:p w14:paraId="03F18BAC"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Hopkins/UF</w:t>
            </w:r>
          </w:p>
        </w:tc>
        <w:tc>
          <w:tcPr>
            <w:tcW w:w="0" w:type="auto"/>
            <w:tcBorders>
              <w:top w:val="nil"/>
              <w:left w:val="single" w:sz="4" w:space="0" w:color="auto"/>
              <w:bottom w:val="nil"/>
              <w:right w:val="nil"/>
            </w:tcBorders>
            <w:shd w:val="clear" w:color="auto" w:fill="E7E6E6" w:themeFill="background2"/>
            <w:noWrap/>
            <w:vAlign w:val="center"/>
            <w:hideMark/>
          </w:tcPr>
          <w:p w14:paraId="6487F0A4" w14:textId="34EF4966"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w:t>
            </w:r>
          </w:p>
        </w:tc>
        <w:tc>
          <w:tcPr>
            <w:tcW w:w="0" w:type="auto"/>
            <w:tcBorders>
              <w:top w:val="nil"/>
              <w:left w:val="nil"/>
              <w:bottom w:val="nil"/>
              <w:right w:val="nil"/>
            </w:tcBorders>
            <w:shd w:val="clear" w:color="auto" w:fill="E7E6E6" w:themeFill="background2"/>
            <w:noWrap/>
            <w:vAlign w:val="center"/>
            <w:hideMark/>
          </w:tcPr>
          <w:p w14:paraId="4E27B565" w14:textId="5ADFA51F"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0.12</w:t>
            </w:r>
          </w:p>
        </w:tc>
        <w:tc>
          <w:tcPr>
            <w:tcW w:w="0" w:type="auto"/>
            <w:tcBorders>
              <w:top w:val="nil"/>
              <w:left w:val="nil"/>
              <w:bottom w:val="nil"/>
              <w:right w:val="nil"/>
            </w:tcBorders>
            <w:shd w:val="clear" w:color="auto" w:fill="E7E6E6" w:themeFill="background2"/>
            <w:noWrap/>
            <w:vAlign w:val="center"/>
            <w:hideMark/>
          </w:tcPr>
          <w:p w14:paraId="6466BA28" w14:textId="50CE72A6"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0.14</w:t>
            </w:r>
          </w:p>
        </w:tc>
        <w:tc>
          <w:tcPr>
            <w:tcW w:w="0" w:type="auto"/>
            <w:tcBorders>
              <w:top w:val="nil"/>
              <w:left w:val="nil"/>
              <w:bottom w:val="nil"/>
              <w:right w:val="nil"/>
            </w:tcBorders>
            <w:shd w:val="clear" w:color="auto" w:fill="E7E6E6" w:themeFill="background2"/>
            <w:noWrap/>
            <w:vAlign w:val="center"/>
            <w:hideMark/>
          </w:tcPr>
          <w:p w14:paraId="540081E6" w14:textId="1B1122B9"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0.16</w:t>
            </w:r>
          </w:p>
        </w:tc>
        <w:tc>
          <w:tcPr>
            <w:tcW w:w="0" w:type="auto"/>
            <w:tcBorders>
              <w:top w:val="nil"/>
              <w:left w:val="nil"/>
              <w:bottom w:val="nil"/>
              <w:right w:val="nil"/>
            </w:tcBorders>
            <w:shd w:val="clear" w:color="auto" w:fill="E7E6E6" w:themeFill="background2"/>
            <w:noWrap/>
            <w:vAlign w:val="center"/>
            <w:hideMark/>
          </w:tcPr>
          <w:p w14:paraId="32842794" w14:textId="7B6DD391"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0.18</w:t>
            </w:r>
          </w:p>
        </w:tc>
        <w:tc>
          <w:tcPr>
            <w:tcW w:w="0" w:type="auto"/>
            <w:tcBorders>
              <w:top w:val="nil"/>
              <w:left w:val="nil"/>
              <w:bottom w:val="nil"/>
              <w:right w:val="nil"/>
            </w:tcBorders>
            <w:shd w:val="clear" w:color="auto" w:fill="E7E6E6" w:themeFill="background2"/>
            <w:noWrap/>
            <w:vAlign w:val="center"/>
            <w:hideMark/>
          </w:tcPr>
          <w:p w14:paraId="12EF1623" w14:textId="3F5A6301"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0.21</w:t>
            </w:r>
          </w:p>
        </w:tc>
        <w:tc>
          <w:tcPr>
            <w:tcW w:w="0" w:type="auto"/>
            <w:tcBorders>
              <w:top w:val="nil"/>
              <w:left w:val="nil"/>
              <w:bottom w:val="nil"/>
              <w:right w:val="nil"/>
            </w:tcBorders>
            <w:shd w:val="clear" w:color="auto" w:fill="E7E6E6" w:themeFill="background2"/>
            <w:noWrap/>
            <w:vAlign w:val="center"/>
            <w:hideMark/>
          </w:tcPr>
          <w:p w14:paraId="7930E71F"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vAlign w:val="center"/>
            <w:hideMark/>
          </w:tcPr>
          <w:p w14:paraId="641F891F" w14:textId="0994E4A0"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0.22</w:t>
            </w:r>
          </w:p>
        </w:tc>
        <w:tc>
          <w:tcPr>
            <w:tcW w:w="0" w:type="auto"/>
            <w:tcBorders>
              <w:top w:val="nil"/>
              <w:left w:val="nil"/>
              <w:bottom w:val="nil"/>
              <w:right w:val="nil"/>
            </w:tcBorders>
            <w:shd w:val="clear" w:color="auto" w:fill="E7E6E6" w:themeFill="background2"/>
            <w:noWrap/>
            <w:vAlign w:val="center"/>
          </w:tcPr>
          <w:p w14:paraId="28DC43A7"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vAlign w:val="center"/>
          </w:tcPr>
          <w:p w14:paraId="251C2BE5"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r>
      <w:tr w:rsidR="00301B8F" w:rsidRPr="00445A65" w14:paraId="79EE9CD2" w14:textId="77777777" w:rsidTr="00ED4A5F">
        <w:trPr>
          <w:trHeight w:val="300"/>
        </w:trPr>
        <w:tc>
          <w:tcPr>
            <w:tcW w:w="0" w:type="auto"/>
            <w:tcBorders>
              <w:top w:val="nil"/>
              <w:left w:val="nil"/>
              <w:bottom w:val="nil"/>
              <w:right w:val="single" w:sz="4" w:space="0" w:color="auto"/>
            </w:tcBorders>
            <w:shd w:val="clear" w:color="auto" w:fill="auto"/>
            <w:noWrap/>
            <w:vAlign w:val="center"/>
            <w:hideMark/>
          </w:tcPr>
          <w:p w14:paraId="7D52FEE3"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Imperial</w:t>
            </w:r>
          </w:p>
        </w:tc>
        <w:tc>
          <w:tcPr>
            <w:tcW w:w="0" w:type="auto"/>
            <w:tcBorders>
              <w:top w:val="nil"/>
              <w:left w:val="single" w:sz="4" w:space="0" w:color="auto"/>
              <w:bottom w:val="nil"/>
              <w:right w:val="nil"/>
            </w:tcBorders>
            <w:shd w:val="clear" w:color="auto" w:fill="auto"/>
            <w:noWrap/>
            <w:vAlign w:val="center"/>
            <w:hideMark/>
          </w:tcPr>
          <w:p w14:paraId="740951B5" w14:textId="301377A3"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0.12</w:t>
            </w:r>
          </w:p>
        </w:tc>
        <w:tc>
          <w:tcPr>
            <w:tcW w:w="0" w:type="auto"/>
            <w:tcBorders>
              <w:top w:val="nil"/>
              <w:left w:val="nil"/>
              <w:bottom w:val="nil"/>
              <w:right w:val="nil"/>
            </w:tcBorders>
            <w:shd w:val="clear" w:color="auto" w:fill="auto"/>
            <w:noWrap/>
            <w:vAlign w:val="center"/>
            <w:hideMark/>
          </w:tcPr>
          <w:p w14:paraId="249087B7" w14:textId="75E173D1"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0.14</w:t>
            </w:r>
          </w:p>
        </w:tc>
        <w:tc>
          <w:tcPr>
            <w:tcW w:w="0" w:type="auto"/>
            <w:tcBorders>
              <w:top w:val="nil"/>
              <w:left w:val="nil"/>
              <w:bottom w:val="nil"/>
              <w:right w:val="nil"/>
            </w:tcBorders>
            <w:shd w:val="clear" w:color="auto" w:fill="auto"/>
            <w:noWrap/>
            <w:vAlign w:val="center"/>
            <w:hideMark/>
          </w:tcPr>
          <w:p w14:paraId="57B32DCD" w14:textId="6524FD54"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0.16</w:t>
            </w:r>
          </w:p>
        </w:tc>
        <w:tc>
          <w:tcPr>
            <w:tcW w:w="0" w:type="auto"/>
            <w:tcBorders>
              <w:top w:val="nil"/>
              <w:left w:val="nil"/>
              <w:bottom w:val="nil"/>
              <w:right w:val="nil"/>
            </w:tcBorders>
            <w:shd w:val="clear" w:color="auto" w:fill="auto"/>
            <w:noWrap/>
            <w:vAlign w:val="center"/>
            <w:hideMark/>
          </w:tcPr>
          <w:p w14:paraId="0FF105C4" w14:textId="571768A4"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0.17</w:t>
            </w:r>
          </w:p>
        </w:tc>
        <w:tc>
          <w:tcPr>
            <w:tcW w:w="0" w:type="auto"/>
            <w:tcBorders>
              <w:top w:val="nil"/>
              <w:left w:val="nil"/>
              <w:bottom w:val="nil"/>
              <w:right w:val="nil"/>
            </w:tcBorders>
            <w:shd w:val="clear" w:color="auto" w:fill="auto"/>
            <w:noWrap/>
            <w:vAlign w:val="center"/>
            <w:hideMark/>
          </w:tcPr>
          <w:p w14:paraId="2C76E015" w14:textId="38162F59"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0.18</w:t>
            </w:r>
          </w:p>
        </w:tc>
        <w:tc>
          <w:tcPr>
            <w:tcW w:w="0" w:type="auto"/>
            <w:tcBorders>
              <w:top w:val="nil"/>
              <w:left w:val="nil"/>
              <w:bottom w:val="nil"/>
              <w:right w:val="nil"/>
            </w:tcBorders>
            <w:shd w:val="clear" w:color="auto" w:fill="auto"/>
            <w:noWrap/>
            <w:vAlign w:val="center"/>
            <w:hideMark/>
          </w:tcPr>
          <w:p w14:paraId="677F6217" w14:textId="46234605"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0.19</w:t>
            </w:r>
          </w:p>
        </w:tc>
        <w:tc>
          <w:tcPr>
            <w:tcW w:w="0" w:type="auto"/>
            <w:tcBorders>
              <w:top w:val="nil"/>
              <w:left w:val="nil"/>
              <w:bottom w:val="nil"/>
              <w:right w:val="nil"/>
            </w:tcBorders>
            <w:shd w:val="clear" w:color="auto" w:fill="auto"/>
            <w:noWrap/>
            <w:vAlign w:val="center"/>
            <w:hideMark/>
          </w:tcPr>
          <w:p w14:paraId="1CE2EBBE" w14:textId="5241FBBE"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0.2</w:t>
            </w:r>
          </w:p>
        </w:tc>
        <w:tc>
          <w:tcPr>
            <w:tcW w:w="0" w:type="auto"/>
            <w:tcBorders>
              <w:top w:val="nil"/>
              <w:left w:val="nil"/>
              <w:bottom w:val="nil"/>
              <w:right w:val="nil"/>
            </w:tcBorders>
            <w:shd w:val="clear" w:color="auto" w:fill="auto"/>
            <w:noWrap/>
            <w:vAlign w:val="center"/>
            <w:hideMark/>
          </w:tcPr>
          <w:p w14:paraId="487A9444" w14:textId="48637E44"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0.21</w:t>
            </w:r>
          </w:p>
        </w:tc>
        <w:tc>
          <w:tcPr>
            <w:tcW w:w="0" w:type="auto"/>
            <w:tcBorders>
              <w:top w:val="nil"/>
              <w:left w:val="nil"/>
              <w:bottom w:val="nil"/>
              <w:right w:val="nil"/>
            </w:tcBorders>
            <w:shd w:val="clear" w:color="auto" w:fill="auto"/>
            <w:noWrap/>
            <w:vAlign w:val="center"/>
            <w:hideMark/>
          </w:tcPr>
          <w:p w14:paraId="2196D00B" w14:textId="2BEFD32B"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0.21</w:t>
            </w:r>
          </w:p>
        </w:tc>
        <w:tc>
          <w:tcPr>
            <w:tcW w:w="0" w:type="auto"/>
            <w:tcBorders>
              <w:top w:val="nil"/>
              <w:left w:val="nil"/>
              <w:bottom w:val="nil"/>
              <w:right w:val="nil"/>
            </w:tcBorders>
            <w:shd w:val="clear" w:color="auto" w:fill="auto"/>
            <w:noWrap/>
            <w:vAlign w:val="center"/>
            <w:hideMark/>
          </w:tcPr>
          <w:p w14:paraId="31B7F995" w14:textId="2A84D1A5"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0.22</w:t>
            </w:r>
          </w:p>
        </w:tc>
      </w:tr>
      <w:tr w:rsidR="00301B8F" w:rsidRPr="00445A65" w14:paraId="035E5B1E" w14:textId="77777777" w:rsidTr="00ED4A5F">
        <w:trPr>
          <w:trHeight w:val="300"/>
        </w:trPr>
        <w:tc>
          <w:tcPr>
            <w:tcW w:w="0" w:type="auto"/>
            <w:tcBorders>
              <w:top w:val="nil"/>
              <w:left w:val="nil"/>
              <w:bottom w:val="nil"/>
              <w:right w:val="single" w:sz="4" w:space="0" w:color="auto"/>
            </w:tcBorders>
            <w:shd w:val="clear" w:color="auto" w:fill="E7E6E6" w:themeFill="background2"/>
            <w:noWrap/>
            <w:vAlign w:val="center"/>
            <w:hideMark/>
          </w:tcPr>
          <w:p w14:paraId="5203205F"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Notre Dame</w:t>
            </w:r>
          </w:p>
        </w:tc>
        <w:tc>
          <w:tcPr>
            <w:tcW w:w="0" w:type="auto"/>
            <w:tcBorders>
              <w:top w:val="nil"/>
              <w:left w:val="single" w:sz="4" w:space="0" w:color="auto"/>
              <w:bottom w:val="nil"/>
              <w:right w:val="nil"/>
            </w:tcBorders>
            <w:shd w:val="clear" w:color="auto" w:fill="E7E6E6" w:themeFill="background2"/>
            <w:noWrap/>
            <w:vAlign w:val="center"/>
            <w:hideMark/>
          </w:tcPr>
          <w:p w14:paraId="5CFDAE8F" w14:textId="446B632F"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0.14</w:t>
            </w:r>
          </w:p>
        </w:tc>
        <w:tc>
          <w:tcPr>
            <w:tcW w:w="0" w:type="auto"/>
            <w:tcBorders>
              <w:top w:val="nil"/>
              <w:left w:val="nil"/>
              <w:bottom w:val="nil"/>
              <w:right w:val="nil"/>
            </w:tcBorders>
            <w:shd w:val="clear" w:color="auto" w:fill="E7E6E6" w:themeFill="background2"/>
            <w:noWrap/>
            <w:vAlign w:val="center"/>
          </w:tcPr>
          <w:p w14:paraId="0B1E79D2"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vAlign w:val="center"/>
          </w:tcPr>
          <w:p w14:paraId="2B3426E9"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vAlign w:val="center"/>
          </w:tcPr>
          <w:p w14:paraId="0AC58646"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vAlign w:val="center"/>
          </w:tcPr>
          <w:p w14:paraId="56BCE5CC"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vAlign w:val="center"/>
          </w:tcPr>
          <w:p w14:paraId="27C8B00F"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vAlign w:val="center"/>
          </w:tcPr>
          <w:p w14:paraId="5916E6F8"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vAlign w:val="center"/>
            <w:hideMark/>
          </w:tcPr>
          <w:p w14:paraId="5EA7A8C9" w14:textId="66C8DD69"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0.18</w:t>
            </w:r>
          </w:p>
        </w:tc>
        <w:tc>
          <w:tcPr>
            <w:tcW w:w="0" w:type="auto"/>
            <w:tcBorders>
              <w:top w:val="nil"/>
              <w:left w:val="nil"/>
              <w:bottom w:val="nil"/>
              <w:right w:val="nil"/>
            </w:tcBorders>
            <w:shd w:val="clear" w:color="auto" w:fill="E7E6E6" w:themeFill="background2"/>
            <w:noWrap/>
            <w:vAlign w:val="center"/>
          </w:tcPr>
          <w:p w14:paraId="6103080D"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vAlign w:val="center"/>
          </w:tcPr>
          <w:p w14:paraId="4C58BD2E"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r>
      <w:tr w:rsidR="00301B8F" w:rsidRPr="00445A65" w14:paraId="786280C1" w14:textId="77777777" w:rsidTr="00ED4A5F">
        <w:trPr>
          <w:trHeight w:val="300"/>
        </w:trPr>
        <w:tc>
          <w:tcPr>
            <w:tcW w:w="0" w:type="auto"/>
            <w:tcBorders>
              <w:top w:val="nil"/>
              <w:left w:val="nil"/>
              <w:bottom w:val="nil"/>
              <w:right w:val="single" w:sz="4" w:space="0" w:color="auto"/>
            </w:tcBorders>
            <w:shd w:val="clear" w:color="auto" w:fill="auto"/>
            <w:noWrap/>
            <w:vAlign w:val="center"/>
            <w:hideMark/>
          </w:tcPr>
          <w:p w14:paraId="55DA335D"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Sanofi Pasteur</w:t>
            </w:r>
          </w:p>
        </w:tc>
        <w:tc>
          <w:tcPr>
            <w:tcW w:w="0" w:type="auto"/>
            <w:tcBorders>
              <w:top w:val="nil"/>
              <w:left w:val="single" w:sz="4" w:space="0" w:color="auto"/>
              <w:bottom w:val="nil"/>
              <w:right w:val="nil"/>
            </w:tcBorders>
            <w:shd w:val="clear" w:color="auto" w:fill="auto"/>
            <w:noWrap/>
            <w:vAlign w:val="center"/>
            <w:hideMark/>
          </w:tcPr>
          <w:p w14:paraId="2EF149BB" w14:textId="42E2EF18"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0.21</w:t>
            </w:r>
          </w:p>
        </w:tc>
        <w:tc>
          <w:tcPr>
            <w:tcW w:w="0" w:type="auto"/>
            <w:tcBorders>
              <w:top w:val="nil"/>
              <w:left w:val="nil"/>
              <w:bottom w:val="nil"/>
              <w:right w:val="nil"/>
            </w:tcBorders>
            <w:shd w:val="clear" w:color="auto" w:fill="auto"/>
            <w:noWrap/>
            <w:vAlign w:val="center"/>
            <w:hideMark/>
          </w:tcPr>
          <w:p w14:paraId="79A667B1"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center"/>
            <w:hideMark/>
          </w:tcPr>
          <w:p w14:paraId="7FE4EC8E" w14:textId="16FB3F6B"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0.23</w:t>
            </w:r>
          </w:p>
        </w:tc>
        <w:tc>
          <w:tcPr>
            <w:tcW w:w="0" w:type="auto"/>
            <w:tcBorders>
              <w:top w:val="nil"/>
              <w:left w:val="nil"/>
              <w:bottom w:val="nil"/>
              <w:right w:val="nil"/>
            </w:tcBorders>
            <w:shd w:val="clear" w:color="auto" w:fill="auto"/>
            <w:noWrap/>
            <w:vAlign w:val="center"/>
            <w:hideMark/>
          </w:tcPr>
          <w:p w14:paraId="0C53FC26"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center"/>
            <w:hideMark/>
          </w:tcPr>
          <w:p w14:paraId="0CFCFB53" w14:textId="3FBC9B3A"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0.25</w:t>
            </w:r>
          </w:p>
        </w:tc>
        <w:tc>
          <w:tcPr>
            <w:tcW w:w="0" w:type="auto"/>
            <w:tcBorders>
              <w:top w:val="nil"/>
              <w:left w:val="nil"/>
              <w:bottom w:val="nil"/>
              <w:right w:val="nil"/>
            </w:tcBorders>
            <w:shd w:val="clear" w:color="auto" w:fill="auto"/>
            <w:noWrap/>
            <w:vAlign w:val="center"/>
          </w:tcPr>
          <w:p w14:paraId="6042577F"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center"/>
            <w:hideMark/>
          </w:tcPr>
          <w:p w14:paraId="6C2393C0" w14:textId="419BD21E"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0.26</w:t>
            </w:r>
          </w:p>
        </w:tc>
        <w:tc>
          <w:tcPr>
            <w:tcW w:w="0" w:type="auto"/>
            <w:tcBorders>
              <w:top w:val="nil"/>
              <w:left w:val="nil"/>
              <w:bottom w:val="nil"/>
              <w:right w:val="nil"/>
            </w:tcBorders>
            <w:shd w:val="clear" w:color="auto" w:fill="auto"/>
            <w:noWrap/>
            <w:vAlign w:val="center"/>
            <w:hideMark/>
          </w:tcPr>
          <w:p w14:paraId="2BE82D2E" w14:textId="11D89EC5"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0.26</w:t>
            </w:r>
          </w:p>
        </w:tc>
        <w:tc>
          <w:tcPr>
            <w:tcW w:w="0" w:type="auto"/>
            <w:tcBorders>
              <w:top w:val="nil"/>
              <w:left w:val="nil"/>
              <w:bottom w:val="nil"/>
              <w:right w:val="nil"/>
            </w:tcBorders>
            <w:shd w:val="clear" w:color="auto" w:fill="auto"/>
            <w:noWrap/>
            <w:vAlign w:val="center"/>
            <w:hideMark/>
          </w:tcPr>
          <w:p w14:paraId="0519FE14" w14:textId="3E4FA530"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0.26</w:t>
            </w:r>
          </w:p>
        </w:tc>
        <w:tc>
          <w:tcPr>
            <w:tcW w:w="0" w:type="auto"/>
            <w:tcBorders>
              <w:top w:val="nil"/>
              <w:left w:val="nil"/>
              <w:bottom w:val="nil"/>
              <w:right w:val="nil"/>
            </w:tcBorders>
            <w:shd w:val="clear" w:color="auto" w:fill="auto"/>
            <w:noWrap/>
            <w:vAlign w:val="center"/>
            <w:hideMark/>
          </w:tcPr>
          <w:p w14:paraId="5134F9DD"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r>
      <w:tr w:rsidR="00301B8F" w:rsidRPr="00445A65" w14:paraId="760F5665" w14:textId="77777777" w:rsidTr="00ED4A5F">
        <w:trPr>
          <w:trHeight w:val="300"/>
        </w:trPr>
        <w:tc>
          <w:tcPr>
            <w:tcW w:w="0" w:type="auto"/>
            <w:tcBorders>
              <w:top w:val="nil"/>
              <w:left w:val="nil"/>
              <w:bottom w:val="nil"/>
              <w:right w:val="single" w:sz="4" w:space="0" w:color="auto"/>
            </w:tcBorders>
            <w:shd w:val="clear" w:color="auto" w:fill="E7E6E6" w:themeFill="background2"/>
            <w:noWrap/>
            <w:vAlign w:val="center"/>
            <w:hideMark/>
          </w:tcPr>
          <w:p w14:paraId="75F25469"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UF</w:t>
            </w:r>
          </w:p>
        </w:tc>
        <w:tc>
          <w:tcPr>
            <w:tcW w:w="0" w:type="auto"/>
            <w:tcBorders>
              <w:top w:val="nil"/>
              <w:left w:val="single" w:sz="4" w:space="0" w:color="auto"/>
              <w:bottom w:val="nil"/>
              <w:right w:val="nil"/>
            </w:tcBorders>
            <w:shd w:val="clear" w:color="auto" w:fill="E7E6E6" w:themeFill="background2"/>
            <w:noWrap/>
            <w:vAlign w:val="center"/>
            <w:hideMark/>
          </w:tcPr>
          <w:p w14:paraId="6C9D3A5A" w14:textId="1080F011"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0.17</w:t>
            </w:r>
          </w:p>
        </w:tc>
        <w:tc>
          <w:tcPr>
            <w:tcW w:w="0" w:type="auto"/>
            <w:tcBorders>
              <w:top w:val="nil"/>
              <w:left w:val="nil"/>
              <w:bottom w:val="nil"/>
              <w:right w:val="nil"/>
            </w:tcBorders>
            <w:shd w:val="clear" w:color="auto" w:fill="E7E6E6" w:themeFill="background2"/>
            <w:noWrap/>
            <w:vAlign w:val="center"/>
          </w:tcPr>
          <w:p w14:paraId="66D4726C" w14:textId="6F5F929D"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0.16</w:t>
            </w:r>
          </w:p>
        </w:tc>
        <w:tc>
          <w:tcPr>
            <w:tcW w:w="0" w:type="auto"/>
            <w:tcBorders>
              <w:top w:val="nil"/>
              <w:left w:val="nil"/>
              <w:bottom w:val="nil"/>
              <w:right w:val="nil"/>
            </w:tcBorders>
            <w:shd w:val="clear" w:color="auto" w:fill="E7E6E6" w:themeFill="background2"/>
            <w:noWrap/>
            <w:vAlign w:val="center"/>
          </w:tcPr>
          <w:p w14:paraId="7F369071" w14:textId="40887EBB"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0.17</w:t>
            </w:r>
          </w:p>
        </w:tc>
        <w:tc>
          <w:tcPr>
            <w:tcW w:w="0" w:type="auto"/>
            <w:tcBorders>
              <w:top w:val="nil"/>
              <w:left w:val="nil"/>
              <w:bottom w:val="nil"/>
              <w:right w:val="nil"/>
            </w:tcBorders>
            <w:shd w:val="clear" w:color="auto" w:fill="E7E6E6" w:themeFill="background2"/>
            <w:noWrap/>
            <w:vAlign w:val="center"/>
          </w:tcPr>
          <w:p w14:paraId="6B503EE0" w14:textId="4F72A2C6"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0.17</w:t>
            </w:r>
          </w:p>
        </w:tc>
        <w:tc>
          <w:tcPr>
            <w:tcW w:w="0" w:type="auto"/>
            <w:tcBorders>
              <w:top w:val="nil"/>
              <w:left w:val="nil"/>
              <w:bottom w:val="nil"/>
              <w:right w:val="nil"/>
            </w:tcBorders>
            <w:shd w:val="clear" w:color="auto" w:fill="E7E6E6" w:themeFill="background2"/>
            <w:noWrap/>
            <w:vAlign w:val="center"/>
          </w:tcPr>
          <w:p w14:paraId="00891316" w14:textId="7BDB73C5"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0.18</w:t>
            </w:r>
          </w:p>
        </w:tc>
        <w:tc>
          <w:tcPr>
            <w:tcW w:w="0" w:type="auto"/>
            <w:tcBorders>
              <w:top w:val="nil"/>
              <w:left w:val="nil"/>
              <w:bottom w:val="nil"/>
              <w:right w:val="nil"/>
            </w:tcBorders>
            <w:shd w:val="clear" w:color="auto" w:fill="E7E6E6" w:themeFill="background2"/>
            <w:noWrap/>
            <w:vAlign w:val="center"/>
          </w:tcPr>
          <w:p w14:paraId="25ADE246" w14:textId="2CF557B6"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0.18</w:t>
            </w:r>
          </w:p>
        </w:tc>
        <w:tc>
          <w:tcPr>
            <w:tcW w:w="0" w:type="auto"/>
            <w:tcBorders>
              <w:top w:val="nil"/>
              <w:left w:val="nil"/>
              <w:bottom w:val="nil"/>
              <w:right w:val="nil"/>
            </w:tcBorders>
            <w:shd w:val="clear" w:color="auto" w:fill="E7E6E6" w:themeFill="background2"/>
            <w:noWrap/>
            <w:vAlign w:val="center"/>
          </w:tcPr>
          <w:p w14:paraId="1ACE6283" w14:textId="5B32A06E"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0.17</w:t>
            </w:r>
          </w:p>
        </w:tc>
        <w:tc>
          <w:tcPr>
            <w:tcW w:w="0" w:type="auto"/>
            <w:tcBorders>
              <w:top w:val="nil"/>
              <w:left w:val="nil"/>
              <w:bottom w:val="nil"/>
              <w:right w:val="nil"/>
            </w:tcBorders>
            <w:shd w:val="clear" w:color="auto" w:fill="E7E6E6" w:themeFill="background2"/>
            <w:noWrap/>
            <w:vAlign w:val="center"/>
            <w:hideMark/>
          </w:tcPr>
          <w:p w14:paraId="7AA5FAB7" w14:textId="3D86768C"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0.18</w:t>
            </w:r>
          </w:p>
        </w:tc>
        <w:tc>
          <w:tcPr>
            <w:tcW w:w="0" w:type="auto"/>
            <w:tcBorders>
              <w:top w:val="nil"/>
              <w:left w:val="nil"/>
              <w:bottom w:val="nil"/>
              <w:right w:val="nil"/>
            </w:tcBorders>
            <w:shd w:val="clear" w:color="auto" w:fill="E7E6E6" w:themeFill="background2"/>
            <w:noWrap/>
            <w:vAlign w:val="center"/>
          </w:tcPr>
          <w:p w14:paraId="4C902CBD" w14:textId="44A2629B"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0.19</w:t>
            </w:r>
          </w:p>
        </w:tc>
        <w:tc>
          <w:tcPr>
            <w:tcW w:w="0" w:type="auto"/>
            <w:tcBorders>
              <w:top w:val="nil"/>
              <w:left w:val="nil"/>
              <w:bottom w:val="nil"/>
              <w:right w:val="nil"/>
            </w:tcBorders>
            <w:shd w:val="clear" w:color="auto" w:fill="E7E6E6" w:themeFill="background2"/>
            <w:noWrap/>
            <w:vAlign w:val="center"/>
          </w:tcPr>
          <w:p w14:paraId="52112042" w14:textId="24ADB318"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0.2</w:t>
            </w:r>
          </w:p>
        </w:tc>
      </w:tr>
      <w:tr w:rsidR="00301B8F" w:rsidRPr="00445A65" w14:paraId="2915C5A7" w14:textId="77777777" w:rsidTr="00ED4A5F">
        <w:trPr>
          <w:trHeight w:val="300"/>
        </w:trPr>
        <w:tc>
          <w:tcPr>
            <w:tcW w:w="0" w:type="auto"/>
            <w:tcBorders>
              <w:top w:val="nil"/>
              <w:left w:val="nil"/>
              <w:bottom w:val="nil"/>
              <w:right w:val="single" w:sz="4" w:space="0" w:color="auto"/>
            </w:tcBorders>
            <w:shd w:val="clear" w:color="auto" w:fill="auto"/>
            <w:noWrap/>
            <w:vAlign w:val="center"/>
            <w:hideMark/>
          </w:tcPr>
          <w:p w14:paraId="45725967"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UWA</w:t>
            </w:r>
          </w:p>
        </w:tc>
        <w:tc>
          <w:tcPr>
            <w:tcW w:w="0" w:type="auto"/>
            <w:tcBorders>
              <w:top w:val="nil"/>
              <w:left w:val="single" w:sz="4" w:space="0" w:color="auto"/>
              <w:bottom w:val="nil"/>
              <w:right w:val="nil"/>
            </w:tcBorders>
            <w:shd w:val="clear" w:color="auto" w:fill="auto"/>
            <w:noWrap/>
            <w:vAlign w:val="center"/>
            <w:hideMark/>
          </w:tcPr>
          <w:p w14:paraId="4EDC8FDF" w14:textId="6A7E9F71"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0.21</w:t>
            </w:r>
          </w:p>
        </w:tc>
        <w:tc>
          <w:tcPr>
            <w:tcW w:w="0" w:type="auto"/>
            <w:tcBorders>
              <w:top w:val="nil"/>
              <w:left w:val="nil"/>
              <w:bottom w:val="nil"/>
              <w:right w:val="nil"/>
            </w:tcBorders>
            <w:shd w:val="clear" w:color="auto" w:fill="auto"/>
            <w:noWrap/>
            <w:vAlign w:val="center"/>
          </w:tcPr>
          <w:p w14:paraId="7E88347A"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center"/>
          </w:tcPr>
          <w:p w14:paraId="4A521DB0"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center"/>
          </w:tcPr>
          <w:p w14:paraId="4B49BC08"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center"/>
          </w:tcPr>
          <w:p w14:paraId="66BF699A"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center"/>
          </w:tcPr>
          <w:p w14:paraId="58432BF6"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center"/>
          </w:tcPr>
          <w:p w14:paraId="23FA4F3D"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center"/>
            <w:hideMark/>
          </w:tcPr>
          <w:p w14:paraId="54BEACF4" w14:textId="16B78FF0" w:rsidR="00301B8F" w:rsidRPr="00301B8F" w:rsidRDefault="00301B8F">
            <w:pPr>
              <w:spacing w:after="0" w:line="240" w:lineRule="auto"/>
              <w:jc w:val="center"/>
              <w:rPr>
                <w:rFonts w:eastAsia="Times New Roman" w:cstheme="minorHAnsi"/>
                <w:color w:val="000000" w:themeColor="text1"/>
                <w:sz w:val="16"/>
                <w:szCs w:val="16"/>
                <w:lang w:eastAsia="en-GB"/>
              </w:rPr>
            </w:pPr>
            <w:r w:rsidRPr="00ED4A5F">
              <w:rPr>
                <w:sz w:val="16"/>
                <w:szCs w:val="16"/>
              </w:rPr>
              <w:t>0.25</w:t>
            </w:r>
          </w:p>
        </w:tc>
        <w:tc>
          <w:tcPr>
            <w:tcW w:w="0" w:type="auto"/>
            <w:tcBorders>
              <w:top w:val="nil"/>
              <w:left w:val="nil"/>
              <w:bottom w:val="nil"/>
              <w:right w:val="nil"/>
            </w:tcBorders>
            <w:shd w:val="clear" w:color="auto" w:fill="auto"/>
            <w:noWrap/>
            <w:vAlign w:val="center"/>
          </w:tcPr>
          <w:p w14:paraId="31FDE5A8"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vAlign w:val="center"/>
          </w:tcPr>
          <w:p w14:paraId="74602FC6" w14:textId="77777777" w:rsidR="00301B8F" w:rsidRPr="00301B8F" w:rsidRDefault="00301B8F">
            <w:pPr>
              <w:spacing w:after="0" w:line="240" w:lineRule="auto"/>
              <w:jc w:val="center"/>
              <w:rPr>
                <w:rFonts w:eastAsia="Times New Roman" w:cstheme="minorHAnsi"/>
                <w:color w:val="000000" w:themeColor="text1"/>
                <w:sz w:val="16"/>
                <w:szCs w:val="16"/>
                <w:lang w:eastAsia="en-GB"/>
              </w:rPr>
            </w:pPr>
          </w:p>
        </w:tc>
      </w:tr>
    </w:tbl>
    <w:p w14:paraId="434C61EC" w14:textId="77777777" w:rsidR="00445A65" w:rsidRPr="00445A65" w:rsidRDefault="00445A65" w:rsidP="00445A65">
      <w:pPr>
        <w:pStyle w:val="Caption"/>
        <w:rPr>
          <w:color w:val="000000" w:themeColor="text1"/>
        </w:rPr>
      </w:pPr>
    </w:p>
    <w:tbl>
      <w:tblPr>
        <w:tblW w:w="0" w:type="auto"/>
        <w:tblInd w:w="108" w:type="dxa"/>
        <w:tblLook w:val="04A0" w:firstRow="1" w:lastRow="0" w:firstColumn="1" w:lastColumn="0" w:noHBand="0" w:noVBand="1"/>
      </w:tblPr>
      <w:tblGrid>
        <w:gridCol w:w="1152"/>
        <w:gridCol w:w="500"/>
        <w:gridCol w:w="500"/>
        <w:gridCol w:w="500"/>
        <w:gridCol w:w="500"/>
        <w:gridCol w:w="500"/>
        <w:gridCol w:w="500"/>
        <w:gridCol w:w="500"/>
        <w:gridCol w:w="500"/>
        <w:gridCol w:w="500"/>
        <w:gridCol w:w="500"/>
      </w:tblGrid>
      <w:tr w:rsidR="00445A65" w:rsidRPr="00445A65" w14:paraId="3701198D" w14:textId="77777777" w:rsidTr="00ED4A5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645574CC" w14:textId="77777777" w:rsidR="00445A65" w:rsidRPr="00445A65" w:rsidRDefault="00445A65" w:rsidP="00C51D6D">
            <w:pPr>
              <w:spacing w:after="0" w:line="240" w:lineRule="auto"/>
              <w:jc w:val="center"/>
              <w:rPr>
                <w:rFonts w:eastAsia="Times New Roman" w:cstheme="minorHAnsi"/>
                <w:b/>
                <w:color w:val="000000" w:themeColor="text1"/>
                <w:sz w:val="16"/>
                <w:szCs w:val="16"/>
                <w:lang w:eastAsia="en-GB"/>
              </w:rPr>
            </w:pPr>
            <w:r w:rsidRPr="00445A65">
              <w:rPr>
                <w:rFonts w:eastAsia="Times New Roman" w:cstheme="minorHAnsi"/>
                <w:b/>
                <w:color w:val="000000" w:themeColor="text1"/>
                <w:sz w:val="16"/>
                <w:szCs w:val="16"/>
                <w:lang w:eastAsia="en-GB"/>
              </w:rPr>
              <w:t>(c)</w:t>
            </w:r>
          </w:p>
        </w:tc>
        <w:tc>
          <w:tcPr>
            <w:tcW w:w="0" w:type="auto"/>
            <w:tcBorders>
              <w:top w:val="nil"/>
              <w:left w:val="single" w:sz="4" w:space="0" w:color="auto"/>
              <w:bottom w:val="single" w:sz="4" w:space="0" w:color="auto"/>
              <w:right w:val="nil"/>
            </w:tcBorders>
            <w:shd w:val="clear" w:color="auto" w:fill="auto"/>
            <w:noWrap/>
            <w:vAlign w:val="center"/>
            <w:hideMark/>
          </w:tcPr>
          <w:p w14:paraId="3D6E9CB0"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9</w:t>
            </w:r>
          </w:p>
        </w:tc>
        <w:tc>
          <w:tcPr>
            <w:tcW w:w="0" w:type="auto"/>
            <w:tcBorders>
              <w:top w:val="nil"/>
              <w:left w:val="nil"/>
              <w:bottom w:val="single" w:sz="4" w:space="0" w:color="auto"/>
              <w:right w:val="nil"/>
            </w:tcBorders>
            <w:shd w:val="clear" w:color="auto" w:fill="auto"/>
            <w:noWrap/>
            <w:vAlign w:val="center"/>
            <w:hideMark/>
          </w:tcPr>
          <w:p w14:paraId="577DD8F6"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10</w:t>
            </w:r>
          </w:p>
        </w:tc>
        <w:tc>
          <w:tcPr>
            <w:tcW w:w="0" w:type="auto"/>
            <w:tcBorders>
              <w:top w:val="nil"/>
              <w:left w:val="nil"/>
              <w:bottom w:val="single" w:sz="4" w:space="0" w:color="auto"/>
              <w:right w:val="nil"/>
            </w:tcBorders>
            <w:shd w:val="clear" w:color="auto" w:fill="auto"/>
            <w:noWrap/>
            <w:vAlign w:val="center"/>
            <w:hideMark/>
          </w:tcPr>
          <w:p w14:paraId="11F94B15"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11</w:t>
            </w:r>
          </w:p>
        </w:tc>
        <w:tc>
          <w:tcPr>
            <w:tcW w:w="0" w:type="auto"/>
            <w:tcBorders>
              <w:top w:val="nil"/>
              <w:left w:val="nil"/>
              <w:bottom w:val="single" w:sz="4" w:space="0" w:color="auto"/>
              <w:right w:val="nil"/>
            </w:tcBorders>
            <w:shd w:val="clear" w:color="auto" w:fill="auto"/>
            <w:noWrap/>
            <w:vAlign w:val="center"/>
            <w:hideMark/>
          </w:tcPr>
          <w:p w14:paraId="23C225D2"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12</w:t>
            </w:r>
          </w:p>
        </w:tc>
        <w:tc>
          <w:tcPr>
            <w:tcW w:w="0" w:type="auto"/>
            <w:tcBorders>
              <w:top w:val="nil"/>
              <w:left w:val="nil"/>
              <w:bottom w:val="single" w:sz="4" w:space="0" w:color="auto"/>
              <w:right w:val="nil"/>
            </w:tcBorders>
            <w:shd w:val="clear" w:color="auto" w:fill="auto"/>
            <w:noWrap/>
            <w:vAlign w:val="center"/>
            <w:hideMark/>
          </w:tcPr>
          <w:p w14:paraId="6A319DD0"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13</w:t>
            </w:r>
          </w:p>
        </w:tc>
        <w:tc>
          <w:tcPr>
            <w:tcW w:w="0" w:type="auto"/>
            <w:tcBorders>
              <w:top w:val="nil"/>
              <w:left w:val="nil"/>
              <w:bottom w:val="single" w:sz="4" w:space="0" w:color="auto"/>
              <w:right w:val="nil"/>
            </w:tcBorders>
            <w:shd w:val="clear" w:color="auto" w:fill="auto"/>
            <w:noWrap/>
            <w:vAlign w:val="center"/>
            <w:hideMark/>
          </w:tcPr>
          <w:p w14:paraId="0C801B11"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14</w:t>
            </w:r>
          </w:p>
        </w:tc>
        <w:tc>
          <w:tcPr>
            <w:tcW w:w="0" w:type="auto"/>
            <w:tcBorders>
              <w:top w:val="nil"/>
              <w:left w:val="nil"/>
              <w:bottom w:val="single" w:sz="4" w:space="0" w:color="auto"/>
              <w:right w:val="nil"/>
            </w:tcBorders>
            <w:shd w:val="clear" w:color="auto" w:fill="auto"/>
            <w:noWrap/>
            <w:vAlign w:val="center"/>
            <w:hideMark/>
          </w:tcPr>
          <w:p w14:paraId="299B213C"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15</w:t>
            </w:r>
          </w:p>
        </w:tc>
        <w:tc>
          <w:tcPr>
            <w:tcW w:w="0" w:type="auto"/>
            <w:tcBorders>
              <w:top w:val="nil"/>
              <w:left w:val="nil"/>
              <w:bottom w:val="single" w:sz="4" w:space="0" w:color="auto"/>
              <w:right w:val="nil"/>
            </w:tcBorders>
            <w:shd w:val="clear" w:color="auto" w:fill="auto"/>
            <w:noWrap/>
            <w:vAlign w:val="center"/>
            <w:hideMark/>
          </w:tcPr>
          <w:p w14:paraId="3F56CE44"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16</w:t>
            </w:r>
          </w:p>
        </w:tc>
        <w:tc>
          <w:tcPr>
            <w:tcW w:w="0" w:type="auto"/>
            <w:tcBorders>
              <w:top w:val="nil"/>
              <w:left w:val="nil"/>
              <w:bottom w:val="single" w:sz="4" w:space="0" w:color="auto"/>
              <w:right w:val="nil"/>
            </w:tcBorders>
            <w:shd w:val="clear" w:color="auto" w:fill="auto"/>
            <w:noWrap/>
            <w:vAlign w:val="center"/>
            <w:hideMark/>
          </w:tcPr>
          <w:p w14:paraId="0033EDE2"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17</w:t>
            </w:r>
          </w:p>
        </w:tc>
        <w:tc>
          <w:tcPr>
            <w:tcW w:w="0" w:type="auto"/>
            <w:tcBorders>
              <w:top w:val="nil"/>
              <w:left w:val="nil"/>
              <w:bottom w:val="single" w:sz="4" w:space="0" w:color="auto"/>
              <w:right w:val="nil"/>
            </w:tcBorders>
            <w:shd w:val="clear" w:color="auto" w:fill="auto"/>
            <w:noWrap/>
            <w:vAlign w:val="center"/>
            <w:hideMark/>
          </w:tcPr>
          <w:p w14:paraId="6339AF25"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18</w:t>
            </w:r>
          </w:p>
        </w:tc>
      </w:tr>
      <w:tr w:rsidR="00301B8F" w:rsidRPr="00445A65" w14:paraId="3A5EF98A" w14:textId="77777777" w:rsidTr="00ED4A5F">
        <w:trPr>
          <w:trHeight w:val="300"/>
        </w:trPr>
        <w:tc>
          <w:tcPr>
            <w:tcW w:w="0" w:type="auto"/>
            <w:tcBorders>
              <w:top w:val="single" w:sz="4" w:space="0" w:color="auto"/>
              <w:left w:val="nil"/>
              <w:bottom w:val="nil"/>
              <w:right w:val="single" w:sz="4" w:space="0" w:color="auto"/>
            </w:tcBorders>
            <w:shd w:val="clear" w:color="auto" w:fill="E7E6E6" w:themeFill="background2"/>
            <w:noWrap/>
            <w:vAlign w:val="center"/>
            <w:hideMark/>
          </w:tcPr>
          <w:p w14:paraId="403E08CB"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Duke</w:t>
            </w:r>
          </w:p>
        </w:tc>
        <w:tc>
          <w:tcPr>
            <w:tcW w:w="0" w:type="auto"/>
            <w:tcBorders>
              <w:top w:val="single" w:sz="4" w:space="0" w:color="auto"/>
              <w:left w:val="single" w:sz="4" w:space="0" w:color="auto"/>
              <w:bottom w:val="nil"/>
              <w:right w:val="nil"/>
            </w:tcBorders>
            <w:shd w:val="clear" w:color="auto" w:fill="E7E6E6" w:themeFill="background2"/>
            <w:noWrap/>
            <w:hideMark/>
          </w:tcPr>
          <w:p w14:paraId="26E43408" w14:textId="1B19B485"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0.17</w:t>
            </w:r>
          </w:p>
        </w:tc>
        <w:tc>
          <w:tcPr>
            <w:tcW w:w="0" w:type="auto"/>
            <w:tcBorders>
              <w:top w:val="single" w:sz="4" w:space="0" w:color="auto"/>
              <w:left w:val="nil"/>
              <w:bottom w:val="nil"/>
              <w:right w:val="nil"/>
            </w:tcBorders>
            <w:shd w:val="clear" w:color="auto" w:fill="E7E6E6" w:themeFill="background2"/>
            <w:noWrap/>
            <w:hideMark/>
          </w:tcPr>
          <w:p w14:paraId="1BACDA0B" w14:textId="442F0CFC"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0.16</w:t>
            </w:r>
          </w:p>
        </w:tc>
        <w:tc>
          <w:tcPr>
            <w:tcW w:w="0" w:type="auto"/>
            <w:tcBorders>
              <w:top w:val="single" w:sz="4" w:space="0" w:color="auto"/>
              <w:left w:val="nil"/>
              <w:bottom w:val="nil"/>
              <w:right w:val="nil"/>
            </w:tcBorders>
            <w:shd w:val="clear" w:color="auto" w:fill="E7E6E6" w:themeFill="background2"/>
            <w:noWrap/>
            <w:hideMark/>
          </w:tcPr>
          <w:p w14:paraId="5135A83E" w14:textId="5C120200"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0.17</w:t>
            </w:r>
          </w:p>
        </w:tc>
        <w:tc>
          <w:tcPr>
            <w:tcW w:w="0" w:type="auto"/>
            <w:tcBorders>
              <w:top w:val="single" w:sz="4" w:space="0" w:color="auto"/>
              <w:left w:val="nil"/>
              <w:bottom w:val="nil"/>
              <w:right w:val="nil"/>
            </w:tcBorders>
            <w:shd w:val="clear" w:color="auto" w:fill="E7E6E6" w:themeFill="background2"/>
            <w:noWrap/>
            <w:hideMark/>
          </w:tcPr>
          <w:p w14:paraId="128440F9" w14:textId="39E3ADC4"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0.16</w:t>
            </w:r>
          </w:p>
        </w:tc>
        <w:tc>
          <w:tcPr>
            <w:tcW w:w="0" w:type="auto"/>
            <w:tcBorders>
              <w:top w:val="single" w:sz="4" w:space="0" w:color="auto"/>
              <w:left w:val="nil"/>
              <w:bottom w:val="nil"/>
              <w:right w:val="nil"/>
            </w:tcBorders>
            <w:shd w:val="clear" w:color="auto" w:fill="E7E6E6" w:themeFill="background2"/>
            <w:noWrap/>
            <w:hideMark/>
          </w:tcPr>
          <w:p w14:paraId="76BD39E4" w14:textId="6E8E0407"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0.16</w:t>
            </w:r>
          </w:p>
        </w:tc>
        <w:tc>
          <w:tcPr>
            <w:tcW w:w="0" w:type="auto"/>
            <w:tcBorders>
              <w:top w:val="single" w:sz="4" w:space="0" w:color="auto"/>
              <w:left w:val="nil"/>
              <w:bottom w:val="nil"/>
              <w:right w:val="nil"/>
            </w:tcBorders>
            <w:shd w:val="clear" w:color="auto" w:fill="E7E6E6" w:themeFill="background2"/>
            <w:noWrap/>
            <w:hideMark/>
          </w:tcPr>
          <w:p w14:paraId="5462CAD3" w14:textId="593D79DA"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0.16</w:t>
            </w:r>
          </w:p>
        </w:tc>
        <w:tc>
          <w:tcPr>
            <w:tcW w:w="0" w:type="auto"/>
            <w:tcBorders>
              <w:top w:val="single" w:sz="4" w:space="0" w:color="auto"/>
              <w:left w:val="nil"/>
              <w:bottom w:val="nil"/>
              <w:right w:val="nil"/>
            </w:tcBorders>
            <w:shd w:val="clear" w:color="auto" w:fill="E7E6E6" w:themeFill="background2"/>
            <w:noWrap/>
            <w:hideMark/>
          </w:tcPr>
          <w:p w14:paraId="6D0BE92D" w14:textId="26787D09"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0.16</w:t>
            </w:r>
          </w:p>
        </w:tc>
        <w:tc>
          <w:tcPr>
            <w:tcW w:w="0" w:type="auto"/>
            <w:tcBorders>
              <w:top w:val="single" w:sz="4" w:space="0" w:color="auto"/>
              <w:left w:val="nil"/>
              <w:bottom w:val="nil"/>
              <w:right w:val="nil"/>
            </w:tcBorders>
            <w:shd w:val="clear" w:color="auto" w:fill="E7E6E6" w:themeFill="background2"/>
            <w:noWrap/>
            <w:hideMark/>
          </w:tcPr>
          <w:p w14:paraId="7CFD4C18" w14:textId="776177C4"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0.15</w:t>
            </w:r>
          </w:p>
        </w:tc>
        <w:tc>
          <w:tcPr>
            <w:tcW w:w="0" w:type="auto"/>
            <w:tcBorders>
              <w:top w:val="single" w:sz="4" w:space="0" w:color="auto"/>
              <w:left w:val="nil"/>
              <w:bottom w:val="nil"/>
              <w:right w:val="nil"/>
            </w:tcBorders>
            <w:shd w:val="clear" w:color="auto" w:fill="E7E6E6" w:themeFill="background2"/>
            <w:noWrap/>
            <w:hideMark/>
          </w:tcPr>
          <w:p w14:paraId="1C5D3287" w14:textId="713C8E90"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0.14</w:t>
            </w:r>
          </w:p>
        </w:tc>
        <w:tc>
          <w:tcPr>
            <w:tcW w:w="0" w:type="auto"/>
            <w:tcBorders>
              <w:top w:val="single" w:sz="4" w:space="0" w:color="auto"/>
              <w:left w:val="nil"/>
              <w:bottom w:val="nil"/>
              <w:right w:val="nil"/>
            </w:tcBorders>
            <w:shd w:val="clear" w:color="auto" w:fill="E7E6E6" w:themeFill="background2"/>
            <w:noWrap/>
            <w:hideMark/>
          </w:tcPr>
          <w:p w14:paraId="3E68179F" w14:textId="3B362DF6"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0.14</w:t>
            </w:r>
          </w:p>
        </w:tc>
      </w:tr>
      <w:tr w:rsidR="00301B8F" w:rsidRPr="00445A65" w14:paraId="19914351" w14:textId="77777777" w:rsidTr="00ED4A5F">
        <w:trPr>
          <w:trHeight w:val="300"/>
        </w:trPr>
        <w:tc>
          <w:tcPr>
            <w:tcW w:w="0" w:type="auto"/>
            <w:tcBorders>
              <w:top w:val="nil"/>
              <w:left w:val="nil"/>
              <w:bottom w:val="nil"/>
              <w:right w:val="single" w:sz="4" w:space="0" w:color="auto"/>
            </w:tcBorders>
            <w:shd w:val="clear" w:color="auto" w:fill="auto"/>
            <w:noWrap/>
            <w:vAlign w:val="center"/>
            <w:hideMark/>
          </w:tcPr>
          <w:p w14:paraId="6898079C"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Exeter/Oxford</w:t>
            </w:r>
          </w:p>
        </w:tc>
        <w:tc>
          <w:tcPr>
            <w:tcW w:w="0" w:type="auto"/>
            <w:tcBorders>
              <w:top w:val="nil"/>
              <w:left w:val="single" w:sz="4" w:space="0" w:color="auto"/>
              <w:bottom w:val="nil"/>
              <w:right w:val="nil"/>
            </w:tcBorders>
            <w:shd w:val="clear" w:color="auto" w:fill="auto"/>
            <w:noWrap/>
            <w:hideMark/>
          </w:tcPr>
          <w:p w14:paraId="2B68DBC4" w14:textId="288E15C1"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0.13</w:t>
            </w:r>
          </w:p>
        </w:tc>
        <w:tc>
          <w:tcPr>
            <w:tcW w:w="0" w:type="auto"/>
            <w:tcBorders>
              <w:top w:val="nil"/>
              <w:left w:val="nil"/>
              <w:bottom w:val="nil"/>
              <w:right w:val="nil"/>
            </w:tcBorders>
            <w:shd w:val="clear" w:color="auto" w:fill="auto"/>
            <w:noWrap/>
          </w:tcPr>
          <w:p w14:paraId="70C3BDD9"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20573142"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hideMark/>
          </w:tcPr>
          <w:p w14:paraId="4C097B88" w14:textId="6DE5495A"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0.13</w:t>
            </w:r>
          </w:p>
        </w:tc>
        <w:tc>
          <w:tcPr>
            <w:tcW w:w="0" w:type="auto"/>
            <w:tcBorders>
              <w:top w:val="nil"/>
              <w:left w:val="nil"/>
              <w:bottom w:val="nil"/>
              <w:right w:val="nil"/>
            </w:tcBorders>
            <w:shd w:val="clear" w:color="auto" w:fill="auto"/>
            <w:noWrap/>
          </w:tcPr>
          <w:p w14:paraId="22D4DFFB"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5BA17646"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5C435051"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hideMark/>
          </w:tcPr>
          <w:p w14:paraId="1D6D1B0E" w14:textId="103C0366"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w:t>
            </w:r>
          </w:p>
        </w:tc>
        <w:tc>
          <w:tcPr>
            <w:tcW w:w="0" w:type="auto"/>
            <w:tcBorders>
              <w:top w:val="nil"/>
              <w:left w:val="nil"/>
              <w:bottom w:val="nil"/>
              <w:right w:val="nil"/>
            </w:tcBorders>
            <w:shd w:val="clear" w:color="auto" w:fill="auto"/>
            <w:noWrap/>
          </w:tcPr>
          <w:p w14:paraId="7DB3A393"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6F974725"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r>
      <w:tr w:rsidR="00301B8F" w:rsidRPr="00445A65" w14:paraId="199DAD87" w14:textId="77777777" w:rsidTr="00ED4A5F">
        <w:trPr>
          <w:trHeight w:val="300"/>
        </w:trPr>
        <w:tc>
          <w:tcPr>
            <w:tcW w:w="0" w:type="auto"/>
            <w:tcBorders>
              <w:top w:val="nil"/>
              <w:left w:val="nil"/>
              <w:bottom w:val="nil"/>
              <w:right w:val="single" w:sz="4" w:space="0" w:color="auto"/>
            </w:tcBorders>
            <w:shd w:val="clear" w:color="auto" w:fill="E7E6E6" w:themeFill="background2"/>
            <w:noWrap/>
            <w:vAlign w:val="center"/>
            <w:hideMark/>
          </w:tcPr>
          <w:p w14:paraId="74D02B0D"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Hopkins/UF</w:t>
            </w:r>
          </w:p>
        </w:tc>
        <w:tc>
          <w:tcPr>
            <w:tcW w:w="0" w:type="auto"/>
            <w:tcBorders>
              <w:top w:val="nil"/>
              <w:left w:val="single" w:sz="4" w:space="0" w:color="auto"/>
              <w:bottom w:val="nil"/>
              <w:right w:val="nil"/>
            </w:tcBorders>
            <w:shd w:val="clear" w:color="auto" w:fill="E7E6E6" w:themeFill="background2"/>
            <w:noWrap/>
            <w:hideMark/>
          </w:tcPr>
          <w:p w14:paraId="71108D80" w14:textId="695B23B6"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w:t>
            </w:r>
          </w:p>
        </w:tc>
        <w:tc>
          <w:tcPr>
            <w:tcW w:w="0" w:type="auto"/>
            <w:tcBorders>
              <w:top w:val="nil"/>
              <w:left w:val="nil"/>
              <w:bottom w:val="nil"/>
              <w:right w:val="nil"/>
            </w:tcBorders>
            <w:shd w:val="clear" w:color="auto" w:fill="E7E6E6" w:themeFill="background2"/>
            <w:noWrap/>
            <w:hideMark/>
          </w:tcPr>
          <w:p w14:paraId="23116A67" w14:textId="6875FE24"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0.22</w:t>
            </w:r>
          </w:p>
        </w:tc>
        <w:tc>
          <w:tcPr>
            <w:tcW w:w="0" w:type="auto"/>
            <w:tcBorders>
              <w:top w:val="nil"/>
              <w:left w:val="nil"/>
              <w:bottom w:val="nil"/>
              <w:right w:val="nil"/>
            </w:tcBorders>
            <w:shd w:val="clear" w:color="auto" w:fill="E7E6E6" w:themeFill="background2"/>
            <w:noWrap/>
            <w:hideMark/>
          </w:tcPr>
          <w:p w14:paraId="6E2BB17B" w14:textId="11A3A30B"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0.23</w:t>
            </w:r>
          </w:p>
        </w:tc>
        <w:tc>
          <w:tcPr>
            <w:tcW w:w="0" w:type="auto"/>
            <w:tcBorders>
              <w:top w:val="nil"/>
              <w:left w:val="nil"/>
              <w:bottom w:val="nil"/>
              <w:right w:val="nil"/>
            </w:tcBorders>
            <w:shd w:val="clear" w:color="auto" w:fill="E7E6E6" w:themeFill="background2"/>
            <w:noWrap/>
            <w:hideMark/>
          </w:tcPr>
          <w:p w14:paraId="1D44A124" w14:textId="4DB2890E"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0.23</w:t>
            </w:r>
          </w:p>
        </w:tc>
        <w:tc>
          <w:tcPr>
            <w:tcW w:w="0" w:type="auto"/>
            <w:tcBorders>
              <w:top w:val="nil"/>
              <w:left w:val="nil"/>
              <w:bottom w:val="nil"/>
              <w:right w:val="nil"/>
            </w:tcBorders>
            <w:shd w:val="clear" w:color="auto" w:fill="E7E6E6" w:themeFill="background2"/>
            <w:noWrap/>
            <w:hideMark/>
          </w:tcPr>
          <w:p w14:paraId="6CE69374" w14:textId="5540B06E"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0.23</w:t>
            </w:r>
          </w:p>
        </w:tc>
        <w:tc>
          <w:tcPr>
            <w:tcW w:w="0" w:type="auto"/>
            <w:tcBorders>
              <w:top w:val="nil"/>
              <w:left w:val="nil"/>
              <w:bottom w:val="nil"/>
              <w:right w:val="nil"/>
            </w:tcBorders>
            <w:shd w:val="clear" w:color="auto" w:fill="E7E6E6" w:themeFill="background2"/>
            <w:noWrap/>
            <w:hideMark/>
          </w:tcPr>
          <w:p w14:paraId="64B3BDE1" w14:textId="2DBD5DB4"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0.24</w:t>
            </w:r>
          </w:p>
        </w:tc>
        <w:tc>
          <w:tcPr>
            <w:tcW w:w="0" w:type="auto"/>
            <w:tcBorders>
              <w:top w:val="nil"/>
              <w:left w:val="nil"/>
              <w:bottom w:val="nil"/>
              <w:right w:val="nil"/>
            </w:tcBorders>
            <w:shd w:val="clear" w:color="auto" w:fill="E7E6E6" w:themeFill="background2"/>
            <w:noWrap/>
            <w:hideMark/>
          </w:tcPr>
          <w:p w14:paraId="5E883A93"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hideMark/>
          </w:tcPr>
          <w:p w14:paraId="2B3C1170" w14:textId="54C091E3"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0.21</w:t>
            </w:r>
          </w:p>
        </w:tc>
        <w:tc>
          <w:tcPr>
            <w:tcW w:w="0" w:type="auto"/>
            <w:tcBorders>
              <w:top w:val="nil"/>
              <w:left w:val="nil"/>
              <w:bottom w:val="nil"/>
              <w:right w:val="nil"/>
            </w:tcBorders>
            <w:shd w:val="clear" w:color="auto" w:fill="E7E6E6" w:themeFill="background2"/>
            <w:noWrap/>
          </w:tcPr>
          <w:p w14:paraId="3A75CF14"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tcPr>
          <w:p w14:paraId="5496007D"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r>
      <w:tr w:rsidR="00301B8F" w:rsidRPr="00445A65" w14:paraId="452D9190" w14:textId="77777777" w:rsidTr="00ED4A5F">
        <w:trPr>
          <w:trHeight w:val="300"/>
        </w:trPr>
        <w:tc>
          <w:tcPr>
            <w:tcW w:w="0" w:type="auto"/>
            <w:tcBorders>
              <w:top w:val="nil"/>
              <w:left w:val="nil"/>
              <w:bottom w:val="nil"/>
              <w:right w:val="single" w:sz="4" w:space="0" w:color="auto"/>
            </w:tcBorders>
            <w:shd w:val="clear" w:color="auto" w:fill="auto"/>
            <w:noWrap/>
            <w:vAlign w:val="center"/>
            <w:hideMark/>
          </w:tcPr>
          <w:p w14:paraId="5116E005"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Imperial</w:t>
            </w:r>
          </w:p>
        </w:tc>
        <w:tc>
          <w:tcPr>
            <w:tcW w:w="0" w:type="auto"/>
            <w:tcBorders>
              <w:top w:val="nil"/>
              <w:left w:val="single" w:sz="4" w:space="0" w:color="auto"/>
              <w:bottom w:val="nil"/>
              <w:right w:val="nil"/>
            </w:tcBorders>
            <w:shd w:val="clear" w:color="auto" w:fill="auto"/>
            <w:noWrap/>
            <w:hideMark/>
          </w:tcPr>
          <w:p w14:paraId="759D00B2" w14:textId="7AA9A6F3"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0.23</w:t>
            </w:r>
          </w:p>
        </w:tc>
        <w:tc>
          <w:tcPr>
            <w:tcW w:w="0" w:type="auto"/>
            <w:tcBorders>
              <w:top w:val="nil"/>
              <w:left w:val="nil"/>
              <w:bottom w:val="nil"/>
              <w:right w:val="nil"/>
            </w:tcBorders>
            <w:shd w:val="clear" w:color="auto" w:fill="auto"/>
            <w:noWrap/>
            <w:hideMark/>
          </w:tcPr>
          <w:p w14:paraId="2330A78C" w14:textId="5976B149"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0.23</w:t>
            </w:r>
          </w:p>
        </w:tc>
        <w:tc>
          <w:tcPr>
            <w:tcW w:w="0" w:type="auto"/>
            <w:tcBorders>
              <w:top w:val="nil"/>
              <w:left w:val="nil"/>
              <w:bottom w:val="nil"/>
              <w:right w:val="nil"/>
            </w:tcBorders>
            <w:shd w:val="clear" w:color="auto" w:fill="auto"/>
            <w:noWrap/>
            <w:hideMark/>
          </w:tcPr>
          <w:p w14:paraId="1C987B81" w14:textId="397C24D9"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0.23</w:t>
            </w:r>
          </w:p>
        </w:tc>
        <w:tc>
          <w:tcPr>
            <w:tcW w:w="0" w:type="auto"/>
            <w:tcBorders>
              <w:top w:val="nil"/>
              <w:left w:val="nil"/>
              <w:bottom w:val="nil"/>
              <w:right w:val="nil"/>
            </w:tcBorders>
            <w:shd w:val="clear" w:color="auto" w:fill="auto"/>
            <w:noWrap/>
            <w:hideMark/>
          </w:tcPr>
          <w:p w14:paraId="20C6CEF2" w14:textId="6A9E5ED0"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0.23</w:t>
            </w:r>
          </w:p>
        </w:tc>
        <w:tc>
          <w:tcPr>
            <w:tcW w:w="0" w:type="auto"/>
            <w:tcBorders>
              <w:top w:val="nil"/>
              <w:left w:val="nil"/>
              <w:bottom w:val="nil"/>
              <w:right w:val="nil"/>
            </w:tcBorders>
            <w:shd w:val="clear" w:color="auto" w:fill="auto"/>
            <w:noWrap/>
            <w:hideMark/>
          </w:tcPr>
          <w:p w14:paraId="05FDCD8B" w14:textId="58A8446D"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0.23</w:t>
            </w:r>
          </w:p>
        </w:tc>
        <w:tc>
          <w:tcPr>
            <w:tcW w:w="0" w:type="auto"/>
            <w:tcBorders>
              <w:top w:val="nil"/>
              <w:left w:val="nil"/>
              <w:bottom w:val="nil"/>
              <w:right w:val="nil"/>
            </w:tcBorders>
            <w:shd w:val="clear" w:color="auto" w:fill="auto"/>
            <w:noWrap/>
            <w:hideMark/>
          </w:tcPr>
          <w:p w14:paraId="74C306BD" w14:textId="4A55F4E5"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0.23</w:t>
            </w:r>
          </w:p>
        </w:tc>
        <w:tc>
          <w:tcPr>
            <w:tcW w:w="0" w:type="auto"/>
            <w:tcBorders>
              <w:top w:val="nil"/>
              <w:left w:val="nil"/>
              <w:bottom w:val="nil"/>
              <w:right w:val="nil"/>
            </w:tcBorders>
            <w:shd w:val="clear" w:color="auto" w:fill="auto"/>
            <w:noWrap/>
            <w:hideMark/>
          </w:tcPr>
          <w:p w14:paraId="78E6782B" w14:textId="5EA0D33A"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0.22</w:t>
            </w:r>
          </w:p>
        </w:tc>
        <w:tc>
          <w:tcPr>
            <w:tcW w:w="0" w:type="auto"/>
            <w:tcBorders>
              <w:top w:val="nil"/>
              <w:left w:val="nil"/>
              <w:bottom w:val="nil"/>
              <w:right w:val="nil"/>
            </w:tcBorders>
            <w:shd w:val="clear" w:color="auto" w:fill="auto"/>
            <w:noWrap/>
            <w:hideMark/>
          </w:tcPr>
          <w:p w14:paraId="3C9CFF09" w14:textId="5AD43056"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0.22</w:t>
            </w:r>
          </w:p>
        </w:tc>
        <w:tc>
          <w:tcPr>
            <w:tcW w:w="0" w:type="auto"/>
            <w:tcBorders>
              <w:top w:val="nil"/>
              <w:left w:val="nil"/>
              <w:bottom w:val="nil"/>
              <w:right w:val="nil"/>
            </w:tcBorders>
            <w:shd w:val="clear" w:color="auto" w:fill="auto"/>
            <w:noWrap/>
            <w:hideMark/>
          </w:tcPr>
          <w:p w14:paraId="6DF0C805" w14:textId="194F2C09"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0.21</w:t>
            </w:r>
          </w:p>
        </w:tc>
        <w:tc>
          <w:tcPr>
            <w:tcW w:w="0" w:type="auto"/>
            <w:tcBorders>
              <w:top w:val="nil"/>
              <w:left w:val="nil"/>
              <w:bottom w:val="nil"/>
              <w:right w:val="nil"/>
            </w:tcBorders>
            <w:shd w:val="clear" w:color="auto" w:fill="auto"/>
            <w:noWrap/>
            <w:hideMark/>
          </w:tcPr>
          <w:p w14:paraId="49365A28" w14:textId="0D59121D"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w:t>
            </w:r>
          </w:p>
        </w:tc>
      </w:tr>
      <w:tr w:rsidR="00301B8F" w:rsidRPr="00445A65" w14:paraId="0F9E172F" w14:textId="77777777" w:rsidTr="00ED4A5F">
        <w:trPr>
          <w:trHeight w:val="300"/>
        </w:trPr>
        <w:tc>
          <w:tcPr>
            <w:tcW w:w="0" w:type="auto"/>
            <w:tcBorders>
              <w:top w:val="nil"/>
              <w:left w:val="nil"/>
              <w:bottom w:val="nil"/>
              <w:right w:val="single" w:sz="4" w:space="0" w:color="auto"/>
            </w:tcBorders>
            <w:shd w:val="clear" w:color="auto" w:fill="E7E6E6" w:themeFill="background2"/>
            <w:noWrap/>
            <w:vAlign w:val="center"/>
            <w:hideMark/>
          </w:tcPr>
          <w:p w14:paraId="003623C6"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Notre Dame</w:t>
            </w:r>
          </w:p>
        </w:tc>
        <w:tc>
          <w:tcPr>
            <w:tcW w:w="0" w:type="auto"/>
            <w:tcBorders>
              <w:top w:val="nil"/>
              <w:left w:val="single" w:sz="4" w:space="0" w:color="auto"/>
              <w:bottom w:val="nil"/>
              <w:right w:val="nil"/>
            </w:tcBorders>
            <w:shd w:val="clear" w:color="auto" w:fill="E7E6E6" w:themeFill="background2"/>
            <w:noWrap/>
            <w:hideMark/>
          </w:tcPr>
          <w:p w14:paraId="380709F8" w14:textId="2D18A8E5"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0.22</w:t>
            </w:r>
          </w:p>
        </w:tc>
        <w:tc>
          <w:tcPr>
            <w:tcW w:w="0" w:type="auto"/>
            <w:tcBorders>
              <w:top w:val="nil"/>
              <w:left w:val="nil"/>
              <w:bottom w:val="nil"/>
              <w:right w:val="nil"/>
            </w:tcBorders>
            <w:shd w:val="clear" w:color="auto" w:fill="E7E6E6" w:themeFill="background2"/>
            <w:noWrap/>
          </w:tcPr>
          <w:p w14:paraId="01163AED"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tcPr>
          <w:p w14:paraId="4CDF5111"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tcPr>
          <w:p w14:paraId="2E35D125"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tcPr>
          <w:p w14:paraId="61A540D2"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tcPr>
          <w:p w14:paraId="1BB4A3F7"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tcPr>
          <w:p w14:paraId="7C02EEE1"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hideMark/>
          </w:tcPr>
          <w:p w14:paraId="179317C4" w14:textId="2614222C"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0.15</w:t>
            </w:r>
          </w:p>
        </w:tc>
        <w:tc>
          <w:tcPr>
            <w:tcW w:w="0" w:type="auto"/>
            <w:tcBorders>
              <w:top w:val="nil"/>
              <w:left w:val="nil"/>
              <w:bottom w:val="nil"/>
              <w:right w:val="nil"/>
            </w:tcBorders>
            <w:shd w:val="clear" w:color="auto" w:fill="E7E6E6" w:themeFill="background2"/>
            <w:noWrap/>
          </w:tcPr>
          <w:p w14:paraId="01036E95"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tcPr>
          <w:p w14:paraId="7BB5FC54"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r>
      <w:tr w:rsidR="00301B8F" w:rsidRPr="00445A65" w14:paraId="0BD51A79" w14:textId="77777777" w:rsidTr="00ED4A5F">
        <w:trPr>
          <w:trHeight w:val="300"/>
        </w:trPr>
        <w:tc>
          <w:tcPr>
            <w:tcW w:w="0" w:type="auto"/>
            <w:tcBorders>
              <w:top w:val="nil"/>
              <w:left w:val="nil"/>
              <w:bottom w:val="nil"/>
              <w:right w:val="single" w:sz="4" w:space="0" w:color="auto"/>
            </w:tcBorders>
            <w:shd w:val="clear" w:color="auto" w:fill="auto"/>
            <w:noWrap/>
            <w:vAlign w:val="center"/>
            <w:hideMark/>
          </w:tcPr>
          <w:p w14:paraId="3EEC1E0C"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Sanofi Pasteur</w:t>
            </w:r>
          </w:p>
        </w:tc>
        <w:tc>
          <w:tcPr>
            <w:tcW w:w="0" w:type="auto"/>
            <w:tcBorders>
              <w:top w:val="nil"/>
              <w:left w:val="single" w:sz="4" w:space="0" w:color="auto"/>
              <w:bottom w:val="nil"/>
              <w:right w:val="nil"/>
            </w:tcBorders>
            <w:shd w:val="clear" w:color="auto" w:fill="auto"/>
            <w:noWrap/>
            <w:hideMark/>
          </w:tcPr>
          <w:p w14:paraId="03498024" w14:textId="6D6FC8AD"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0.25</w:t>
            </w:r>
          </w:p>
        </w:tc>
        <w:tc>
          <w:tcPr>
            <w:tcW w:w="0" w:type="auto"/>
            <w:tcBorders>
              <w:top w:val="nil"/>
              <w:left w:val="nil"/>
              <w:bottom w:val="nil"/>
              <w:right w:val="nil"/>
            </w:tcBorders>
            <w:shd w:val="clear" w:color="auto" w:fill="auto"/>
            <w:noWrap/>
            <w:hideMark/>
          </w:tcPr>
          <w:p w14:paraId="35C58706"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hideMark/>
          </w:tcPr>
          <w:p w14:paraId="75D9AF85" w14:textId="747274C1"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0.25</w:t>
            </w:r>
          </w:p>
        </w:tc>
        <w:tc>
          <w:tcPr>
            <w:tcW w:w="0" w:type="auto"/>
            <w:tcBorders>
              <w:top w:val="nil"/>
              <w:left w:val="nil"/>
              <w:bottom w:val="nil"/>
              <w:right w:val="nil"/>
            </w:tcBorders>
            <w:shd w:val="clear" w:color="auto" w:fill="auto"/>
            <w:noWrap/>
            <w:hideMark/>
          </w:tcPr>
          <w:p w14:paraId="3B2F76F4"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hideMark/>
          </w:tcPr>
          <w:p w14:paraId="26F34F60" w14:textId="65F5FD22"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0.25</w:t>
            </w:r>
          </w:p>
        </w:tc>
        <w:tc>
          <w:tcPr>
            <w:tcW w:w="0" w:type="auto"/>
            <w:tcBorders>
              <w:top w:val="nil"/>
              <w:left w:val="nil"/>
              <w:bottom w:val="nil"/>
              <w:right w:val="nil"/>
            </w:tcBorders>
            <w:shd w:val="clear" w:color="auto" w:fill="auto"/>
            <w:noWrap/>
          </w:tcPr>
          <w:p w14:paraId="5F38DC75"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hideMark/>
          </w:tcPr>
          <w:p w14:paraId="236E5264" w14:textId="28FCE648"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0.24</w:t>
            </w:r>
          </w:p>
        </w:tc>
        <w:tc>
          <w:tcPr>
            <w:tcW w:w="0" w:type="auto"/>
            <w:tcBorders>
              <w:top w:val="nil"/>
              <w:left w:val="nil"/>
              <w:bottom w:val="nil"/>
              <w:right w:val="nil"/>
            </w:tcBorders>
            <w:shd w:val="clear" w:color="auto" w:fill="auto"/>
            <w:noWrap/>
            <w:hideMark/>
          </w:tcPr>
          <w:p w14:paraId="5A5B90A8" w14:textId="091B2556"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0.23</w:t>
            </w:r>
          </w:p>
        </w:tc>
        <w:tc>
          <w:tcPr>
            <w:tcW w:w="0" w:type="auto"/>
            <w:tcBorders>
              <w:top w:val="nil"/>
              <w:left w:val="nil"/>
              <w:bottom w:val="nil"/>
              <w:right w:val="nil"/>
            </w:tcBorders>
            <w:shd w:val="clear" w:color="auto" w:fill="auto"/>
            <w:noWrap/>
            <w:hideMark/>
          </w:tcPr>
          <w:p w14:paraId="05C95E11" w14:textId="71740B29"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0.22</w:t>
            </w:r>
          </w:p>
        </w:tc>
        <w:tc>
          <w:tcPr>
            <w:tcW w:w="0" w:type="auto"/>
            <w:tcBorders>
              <w:top w:val="nil"/>
              <w:left w:val="nil"/>
              <w:bottom w:val="nil"/>
              <w:right w:val="nil"/>
            </w:tcBorders>
            <w:shd w:val="clear" w:color="auto" w:fill="auto"/>
            <w:noWrap/>
            <w:hideMark/>
          </w:tcPr>
          <w:p w14:paraId="192A6E45"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r>
      <w:tr w:rsidR="00301B8F" w:rsidRPr="00445A65" w14:paraId="1A494D11" w14:textId="77777777" w:rsidTr="00ED4A5F">
        <w:trPr>
          <w:trHeight w:val="300"/>
        </w:trPr>
        <w:tc>
          <w:tcPr>
            <w:tcW w:w="0" w:type="auto"/>
            <w:tcBorders>
              <w:top w:val="nil"/>
              <w:left w:val="nil"/>
              <w:bottom w:val="nil"/>
              <w:right w:val="single" w:sz="4" w:space="0" w:color="auto"/>
            </w:tcBorders>
            <w:shd w:val="clear" w:color="auto" w:fill="E7E6E6" w:themeFill="background2"/>
            <w:noWrap/>
            <w:vAlign w:val="center"/>
            <w:hideMark/>
          </w:tcPr>
          <w:p w14:paraId="0965396D"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UF</w:t>
            </w:r>
          </w:p>
        </w:tc>
        <w:tc>
          <w:tcPr>
            <w:tcW w:w="0" w:type="auto"/>
            <w:tcBorders>
              <w:top w:val="nil"/>
              <w:left w:val="single" w:sz="4" w:space="0" w:color="auto"/>
              <w:bottom w:val="nil"/>
              <w:right w:val="nil"/>
            </w:tcBorders>
            <w:shd w:val="clear" w:color="auto" w:fill="E7E6E6" w:themeFill="background2"/>
            <w:noWrap/>
            <w:hideMark/>
          </w:tcPr>
          <w:p w14:paraId="0B58B72F" w14:textId="0BDD2992"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0.17</w:t>
            </w:r>
          </w:p>
        </w:tc>
        <w:tc>
          <w:tcPr>
            <w:tcW w:w="0" w:type="auto"/>
            <w:tcBorders>
              <w:top w:val="nil"/>
              <w:left w:val="nil"/>
              <w:bottom w:val="nil"/>
              <w:right w:val="nil"/>
            </w:tcBorders>
            <w:shd w:val="clear" w:color="auto" w:fill="E7E6E6" w:themeFill="background2"/>
            <w:noWrap/>
          </w:tcPr>
          <w:p w14:paraId="65783C78" w14:textId="715D594C"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0.18</w:t>
            </w:r>
          </w:p>
        </w:tc>
        <w:tc>
          <w:tcPr>
            <w:tcW w:w="0" w:type="auto"/>
            <w:tcBorders>
              <w:top w:val="nil"/>
              <w:left w:val="nil"/>
              <w:bottom w:val="nil"/>
              <w:right w:val="nil"/>
            </w:tcBorders>
            <w:shd w:val="clear" w:color="auto" w:fill="E7E6E6" w:themeFill="background2"/>
            <w:noWrap/>
          </w:tcPr>
          <w:p w14:paraId="50B4C2DA" w14:textId="2537B538"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0.17</w:t>
            </w:r>
          </w:p>
        </w:tc>
        <w:tc>
          <w:tcPr>
            <w:tcW w:w="0" w:type="auto"/>
            <w:tcBorders>
              <w:top w:val="nil"/>
              <w:left w:val="nil"/>
              <w:bottom w:val="nil"/>
              <w:right w:val="nil"/>
            </w:tcBorders>
            <w:shd w:val="clear" w:color="auto" w:fill="E7E6E6" w:themeFill="background2"/>
            <w:noWrap/>
          </w:tcPr>
          <w:p w14:paraId="41A3F751" w14:textId="652FDB84"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0.17</w:t>
            </w:r>
          </w:p>
        </w:tc>
        <w:tc>
          <w:tcPr>
            <w:tcW w:w="0" w:type="auto"/>
            <w:tcBorders>
              <w:top w:val="nil"/>
              <w:left w:val="nil"/>
              <w:bottom w:val="nil"/>
              <w:right w:val="nil"/>
            </w:tcBorders>
            <w:shd w:val="clear" w:color="auto" w:fill="E7E6E6" w:themeFill="background2"/>
            <w:noWrap/>
          </w:tcPr>
          <w:p w14:paraId="4A53BB43" w14:textId="78053D4D"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0.16</w:t>
            </w:r>
          </w:p>
        </w:tc>
        <w:tc>
          <w:tcPr>
            <w:tcW w:w="0" w:type="auto"/>
            <w:tcBorders>
              <w:top w:val="nil"/>
              <w:left w:val="nil"/>
              <w:bottom w:val="nil"/>
              <w:right w:val="nil"/>
            </w:tcBorders>
            <w:shd w:val="clear" w:color="auto" w:fill="E7E6E6" w:themeFill="background2"/>
            <w:noWrap/>
          </w:tcPr>
          <w:p w14:paraId="0943D535" w14:textId="7C0DB7D1"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0.15</w:t>
            </w:r>
          </w:p>
        </w:tc>
        <w:tc>
          <w:tcPr>
            <w:tcW w:w="0" w:type="auto"/>
            <w:tcBorders>
              <w:top w:val="nil"/>
              <w:left w:val="nil"/>
              <w:bottom w:val="nil"/>
              <w:right w:val="nil"/>
            </w:tcBorders>
            <w:shd w:val="clear" w:color="auto" w:fill="E7E6E6" w:themeFill="background2"/>
            <w:noWrap/>
          </w:tcPr>
          <w:p w14:paraId="0A56F9E5" w14:textId="3551CF14"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0.16</w:t>
            </w:r>
          </w:p>
        </w:tc>
        <w:tc>
          <w:tcPr>
            <w:tcW w:w="0" w:type="auto"/>
            <w:tcBorders>
              <w:top w:val="nil"/>
              <w:left w:val="nil"/>
              <w:bottom w:val="nil"/>
              <w:right w:val="nil"/>
            </w:tcBorders>
            <w:shd w:val="clear" w:color="auto" w:fill="E7E6E6" w:themeFill="background2"/>
            <w:noWrap/>
            <w:hideMark/>
          </w:tcPr>
          <w:p w14:paraId="45BD7D0A" w14:textId="3E907B50"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0.16</w:t>
            </w:r>
          </w:p>
        </w:tc>
        <w:tc>
          <w:tcPr>
            <w:tcW w:w="0" w:type="auto"/>
            <w:tcBorders>
              <w:top w:val="nil"/>
              <w:left w:val="nil"/>
              <w:bottom w:val="nil"/>
              <w:right w:val="nil"/>
            </w:tcBorders>
            <w:shd w:val="clear" w:color="auto" w:fill="E7E6E6" w:themeFill="background2"/>
            <w:noWrap/>
          </w:tcPr>
          <w:p w14:paraId="1172C0FA" w14:textId="2B419469"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0.15</w:t>
            </w:r>
          </w:p>
        </w:tc>
        <w:tc>
          <w:tcPr>
            <w:tcW w:w="0" w:type="auto"/>
            <w:tcBorders>
              <w:top w:val="nil"/>
              <w:left w:val="nil"/>
              <w:bottom w:val="nil"/>
              <w:right w:val="nil"/>
            </w:tcBorders>
            <w:shd w:val="clear" w:color="auto" w:fill="E7E6E6" w:themeFill="background2"/>
            <w:noWrap/>
          </w:tcPr>
          <w:p w14:paraId="7A61F036" w14:textId="0DE73D84"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0.14</w:t>
            </w:r>
          </w:p>
        </w:tc>
      </w:tr>
      <w:tr w:rsidR="00301B8F" w:rsidRPr="00445A65" w14:paraId="0A87C954" w14:textId="77777777" w:rsidTr="00ED4A5F">
        <w:trPr>
          <w:trHeight w:val="300"/>
        </w:trPr>
        <w:tc>
          <w:tcPr>
            <w:tcW w:w="0" w:type="auto"/>
            <w:tcBorders>
              <w:top w:val="nil"/>
              <w:left w:val="nil"/>
              <w:bottom w:val="nil"/>
              <w:right w:val="single" w:sz="4" w:space="0" w:color="auto"/>
            </w:tcBorders>
            <w:shd w:val="clear" w:color="auto" w:fill="auto"/>
            <w:noWrap/>
            <w:vAlign w:val="center"/>
            <w:hideMark/>
          </w:tcPr>
          <w:p w14:paraId="091E4BFD" w14:textId="77777777" w:rsidR="00301B8F" w:rsidRPr="00445A65" w:rsidRDefault="00301B8F" w:rsidP="00301B8F">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UWA</w:t>
            </w:r>
          </w:p>
        </w:tc>
        <w:tc>
          <w:tcPr>
            <w:tcW w:w="0" w:type="auto"/>
            <w:tcBorders>
              <w:top w:val="nil"/>
              <w:left w:val="single" w:sz="4" w:space="0" w:color="auto"/>
              <w:bottom w:val="nil"/>
              <w:right w:val="nil"/>
            </w:tcBorders>
            <w:shd w:val="clear" w:color="auto" w:fill="auto"/>
            <w:noWrap/>
            <w:hideMark/>
          </w:tcPr>
          <w:p w14:paraId="6A55CEF9" w14:textId="47D78B85"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0.23</w:t>
            </w:r>
          </w:p>
        </w:tc>
        <w:tc>
          <w:tcPr>
            <w:tcW w:w="0" w:type="auto"/>
            <w:tcBorders>
              <w:top w:val="nil"/>
              <w:left w:val="nil"/>
              <w:bottom w:val="nil"/>
              <w:right w:val="nil"/>
            </w:tcBorders>
            <w:shd w:val="clear" w:color="auto" w:fill="auto"/>
            <w:noWrap/>
          </w:tcPr>
          <w:p w14:paraId="78F20AC8"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7894A32C"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7944CD63"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5F883949"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080A9C22"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1A148C6F"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hideMark/>
          </w:tcPr>
          <w:p w14:paraId="215C4E20" w14:textId="331056E4" w:rsidR="00301B8F" w:rsidRPr="00301B8F" w:rsidRDefault="00301B8F" w:rsidP="00301B8F">
            <w:pPr>
              <w:spacing w:after="0" w:line="240" w:lineRule="auto"/>
              <w:jc w:val="center"/>
              <w:rPr>
                <w:rFonts w:eastAsia="Times New Roman" w:cstheme="minorHAnsi"/>
                <w:color w:val="000000" w:themeColor="text1"/>
                <w:sz w:val="16"/>
                <w:szCs w:val="16"/>
                <w:lang w:eastAsia="en-GB"/>
              </w:rPr>
            </w:pPr>
            <w:r w:rsidRPr="00ED4A5F">
              <w:rPr>
                <w:sz w:val="16"/>
                <w:szCs w:val="16"/>
              </w:rPr>
              <w:t>0.24</w:t>
            </w:r>
          </w:p>
        </w:tc>
        <w:tc>
          <w:tcPr>
            <w:tcW w:w="0" w:type="auto"/>
            <w:tcBorders>
              <w:top w:val="nil"/>
              <w:left w:val="nil"/>
              <w:bottom w:val="nil"/>
              <w:right w:val="nil"/>
            </w:tcBorders>
            <w:shd w:val="clear" w:color="auto" w:fill="auto"/>
            <w:noWrap/>
          </w:tcPr>
          <w:p w14:paraId="6D2DE642"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14E75A81" w14:textId="77777777" w:rsidR="00301B8F" w:rsidRPr="00301B8F" w:rsidRDefault="00301B8F" w:rsidP="00301B8F">
            <w:pPr>
              <w:spacing w:after="0" w:line="240" w:lineRule="auto"/>
              <w:jc w:val="center"/>
              <w:rPr>
                <w:rFonts w:eastAsia="Times New Roman" w:cstheme="minorHAnsi"/>
                <w:color w:val="000000" w:themeColor="text1"/>
                <w:sz w:val="16"/>
                <w:szCs w:val="16"/>
                <w:lang w:eastAsia="en-GB"/>
              </w:rPr>
            </w:pPr>
          </w:p>
        </w:tc>
      </w:tr>
    </w:tbl>
    <w:p w14:paraId="1643536A" w14:textId="77777777" w:rsidR="00445A65" w:rsidRPr="00445A65" w:rsidRDefault="00445A65" w:rsidP="00445A65">
      <w:pPr>
        <w:pStyle w:val="Caption"/>
        <w:rPr>
          <w:color w:val="000000" w:themeColor="text1"/>
        </w:rPr>
      </w:pPr>
    </w:p>
    <w:tbl>
      <w:tblPr>
        <w:tblW w:w="0" w:type="auto"/>
        <w:tblInd w:w="108" w:type="dxa"/>
        <w:tblLook w:val="04A0" w:firstRow="1" w:lastRow="0" w:firstColumn="1" w:lastColumn="0" w:noHBand="0" w:noVBand="1"/>
      </w:tblPr>
      <w:tblGrid>
        <w:gridCol w:w="1152"/>
        <w:gridCol w:w="500"/>
        <w:gridCol w:w="500"/>
        <w:gridCol w:w="500"/>
        <w:gridCol w:w="500"/>
        <w:gridCol w:w="500"/>
        <w:gridCol w:w="500"/>
        <w:gridCol w:w="500"/>
        <w:gridCol w:w="500"/>
        <w:gridCol w:w="500"/>
        <w:gridCol w:w="500"/>
      </w:tblGrid>
      <w:tr w:rsidR="00445A65" w:rsidRPr="00445A65" w14:paraId="03BEEBC7" w14:textId="77777777" w:rsidTr="00ED4A5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2FE3D051" w14:textId="77777777" w:rsidR="00445A65" w:rsidRPr="00445A65" w:rsidRDefault="00445A65" w:rsidP="00C51D6D">
            <w:pPr>
              <w:spacing w:after="0" w:line="240" w:lineRule="auto"/>
              <w:jc w:val="center"/>
              <w:rPr>
                <w:rFonts w:eastAsia="Times New Roman" w:cstheme="minorHAnsi"/>
                <w:b/>
                <w:color w:val="000000" w:themeColor="text1"/>
                <w:sz w:val="16"/>
                <w:szCs w:val="16"/>
                <w:lang w:eastAsia="en-GB"/>
              </w:rPr>
            </w:pPr>
            <w:r w:rsidRPr="00445A65">
              <w:rPr>
                <w:rFonts w:eastAsia="Times New Roman" w:cstheme="minorHAnsi"/>
                <w:b/>
                <w:color w:val="000000" w:themeColor="text1"/>
                <w:sz w:val="16"/>
                <w:szCs w:val="16"/>
                <w:lang w:eastAsia="en-GB"/>
              </w:rPr>
              <w:t>(d)</w:t>
            </w:r>
          </w:p>
        </w:tc>
        <w:tc>
          <w:tcPr>
            <w:tcW w:w="0" w:type="auto"/>
            <w:tcBorders>
              <w:top w:val="nil"/>
              <w:left w:val="single" w:sz="4" w:space="0" w:color="auto"/>
              <w:bottom w:val="single" w:sz="4" w:space="0" w:color="auto"/>
              <w:right w:val="nil"/>
            </w:tcBorders>
            <w:shd w:val="clear" w:color="auto" w:fill="auto"/>
            <w:noWrap/>
            <w:vAlign w:val="center"/>
            <w:hideMark/>
          </w:tcPr>
          <w:p w14:paraId="51BB7FDA"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9</w:t>
            </w:r>
          </w:p>
        </w:tc>
        <w:tc>
          <w:tcPr>
            <w:tcW w:w="0" w:type="auto"/>
            <w:tcBorders>
              <w:top w:val="nil"/>
              <w:left w:val="nil"/>
              <w:bottom w:val="single" w:sz="4" w:space="0" w:color="auto"/>
              <w:right w:val="nil"/>
            </w:tcBorders>
            <w:shd w:val="clear" w:color="auto" w:fill="auto"/>
            <w:noWrap/>
            <w:vAlign w:val="center"/>
            <w:hideMark/>
          </w:tcPr>
          <w:p w14:paraId="2124B287"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10</w:t>
            </w:r>
          </w:p>
        </w:tc>
        <w:tc>
          <w:tcPr>
            <w:tcW w:w="0" w:type="auto"/>
            <w:tcBorders>
              <w:top w:val="nil"/>
              <w:left w:val="nil"/>
              <w:bottom w:val="single" w:sz="4" w:space="0" w:color="auto"/>
              <w:right w:val="nil"/>
            </w:tcBorders>
            <w:shd w:val="clear" w:color="auto" w:fill="auto"/>
            <w:noWrap/>
            <w:vAlign w:val="center"/>
            <w:hideMark/>
          </w:tcPr>
          <w:p w14:paraId="17E1A0D7"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11</w:t>
            </w:r>
          </w:p>
        </w:tc>
        <w:tc>
          <w:tcPr>
            <w:tcW w:w="0" w:type="auto"/>
            <w:tcBorders>
              <w:top w:val="nil"/>
              <w:left w:val="nil"/>
              <w:bottom w:val="single" w:sz="4" w:space="0" w:color="auto"/>
              <w:right w:val="nil"/>
            </w:tcBorders>
            <w:shd w:val="clear" w:color="auto" w:fill="auto"/>
            <w:noWrap/>
            <w:vAlign w:val="center"/>
            <w:hideMark/>
          </w:tcPr>
          <w:p w14:paraId="45E409A2"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12</w:t>
            </w:r>
          </w:p>
        </w:tc>
        <w:tc>
          <w:tcPr>
            <w:tcW w:w="0" w:type="auto"/>
            <w:tcBorders>
              <w:top w:val="nil"/>
              <w:left w:val="nil"/>
              <w:bottom w:val="single" w:sz="4" w:space="0" w:color="auto"/>
              <w:right w:val="nil"/>
            </w:tcBorders>
            <w:shd w:val="clear" w:color="auto" w:fill="auto"/>
            <w:noWrap/>
            <w:vAlign w:val="center"/>
            <w:hideMark/>
          </w:tcPr>
          <w:p w14:paraId="58526829"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13</w:t>
            </w:r>
          </w:p>
        </w:tc>
        <w:tc>
          <w:tcPr>
            <w:tcW w:w="0" w:type="auto"/>
            <w:tcBorders>
              <w:top w:val="nil"/>
              <w:left w:val="nil"/>
              <w:bottom w:val="single" w:sz="4" w:space="0" w:color="auto"/>
              <w:right w:val="nil"/>
            </w:tcBorders>
            <w:shd w:val="clear" w:color="auto" w:fill="auto"/>
            <w:noWrap/>
            <w:vAlign w:val="center"/>
            <w:hideMark/>
          </w:tcPr>
          <w:p w14:paraId="6C72E4B4"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14</w:t>
            </w:r>
          </w:p>
        </w:tc>
        <w:tc>
          <w:tcPr>
            <w:tcW w:w="0" w:type="auto"/>
            <w:tcBorders>
              <w:top w:val="nil"/>
              <w:left w:val="nil"/>
              <w:bottom w:val="single" w:sz="4" w:space="0" w:color="auto"/>
              <w:right w:val="nil"/>
            </w:tcBorders>
            <w:shd w:val="clear" w:color="auto" w:fill="auto"/>
            <w:noWrap/>
            <w:vAlign w:val="center"/>
            <w:hideMark/>
          </w:tcPr>
          <w:p w14:paraId="0EBCB83E"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15</w:t>
            </w:r>
          </w:p>
        </w:tc>
        <w:tc>
          <w:tcPr>
            <w:tcW w:w="0" w:type="auto"/>
            <w:tcBorders>
              <w:top w:val="nil"/>
              <w:left w:val="nil"/>
              <w:bottom w:val="single" w:sz="4" w:space="0" w:color="auto"/>
              <w:right w:val="nil"/>
            </w:tcBorders>
            <w:shd w:val="clear" w:color="auto" w:fill="auto"/>
            <w:noWrap/>
            <w:vAlign w:val="center"/>
            <w:hideMark/>
          </w:tcPr>
          <w:p w14:paraId="78F4D6E5"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16</w:t>
            </w:r>
          </w:p>
        </w:tc>
        <w:tc>
          <w:tcPr>
            <w:tcW w:w="0" w:type="auto"/>
            <w:tcBorders>
              <w:top w:val="nil"/>
              <w:left w:val="nil"/>
              <w:bottom w:val="single" w:sz="4" w:space="0" w:color="auto"/>
              <w:right w:val="nil"/>
            </w:tcBorders>
            <w:shd w:val="clear" w:color="auto" w:fill="auto"/>
            <w:noWrap/>
            <w:vAlign w:val="center"/>
            <w:hideMark/>
          </w:tcPr>
          <w:p w14:paraId="63E50E1E"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17</w:t>
            </w:r>
          </w:p>
        </w:tc>
        <w:tc>
          <w:tcPr>
            <w:tcW w:w="0" w:type="auto"/>
            <w:tcBorders>
              <w:top w:val="nil"/>
              <w:left w:val="nil"/>
              <w:bottom w:val="single" w:sz="4" w:space="0" w:color="auto"/>
              <w:right w:val="nil"/>
            </w:tcBorders>
            <w:shd w:val="clear" w:color="auto" w:fill="auto"/>
            <w:noWrap/>
            <w:vAlign w:val="center"/>
            <w:hideMark/>
          </w:tcPr>
          <w:p w14:paraId="655B89B6" w14:textId="77777777" w:rsidR="00445A65" w:rsidRPr="00445A65" w:rsidRDefault="00445A65" w:rsidP="00C51D6D">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18</w:t>
            </w:r>
          </w:p>
        </w:tc>
      </w:tr>
      <w:tr w:rsidR="00A73C8B" w:rsidRPr="00445A65" w14:paraId="65F5C8A0" w14:textId="77777777" w:rsidTr="00ED4A5F">
        <w:trPr>
          <w:trHeight w:val="300"/>
        </w:trPr>
        <w:tc>
          <w:tcPr>
            <w:tcW w:w="0" w:type="auto"/>
            <w:tcBorders>
              <w:top w:val="single" w:sz="4" w:space="0" w:color="auto"/>
              <w:left w:val="nil"/>
              <w:bottom w:val="nil"/>
              <w:right w:val="single" w:sz="4" w:space="0" w:color="auto"/>
            </w:tcBorders>
            <w:shd w:val="clear" w:color="auto" w:fill="E7E6E6" w:themeFill="background2"/>
            <w:noWrap/>
            <w:vAlign w:val="center"/>
            <w:hideMark/>
          </w:tcPr>
          <w:p w14:paraId="4E67F0E8" w14:textId="77777777" w:rsidR="00A73C8B" w:rsidRPr="00445A65" w:rsidRDefault="00A73C8B" w:rsidP="00A73C8B">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Duke</w:t>
            </w:r>
          </w:p>
        </w:tc>
        <w:tc>
          <w:tcPr>
            <w:tcW w:w="0" w:type="auto"/>
            <w:tcBorders>
              <w:top w:val="single" w:sz="4" w:space="0" w:color="auto"/>
              <w:left w:val="single" w:sz="4" w:space="0" w:color="auto"/>
              <w:bottom w:val="nil"/>
              <w:right w:val="nil"/>
            </w:tcBorders>
            <w:shd w:val="clear" w:color="auto" w:fill="E7E6E6" w:themeFill="background2"/>
            <w:noWrap/>
            <w:hideMark/>
          </w:tcPr>
          <w:p w14:paraId="0491D64B" w14:textId="14E2400C"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0.18</w:t>
            </w:r>
          </w:p>
        </w:tc>
        <w:tc>
          <w:tcPr>
            <w:tcW w:w="0" w:type="auto"/>
            <w:tcBorders>
              <w:top w:val="single" w:sz="4" w:space="0" w:color="auto"/>
              <w:left w:val="nil"/>
              <w:bottom w:val="nil"/>
              <w:right w:val="nil"/>
            </w:tcBorders>
            <w:shd w:val="clear" w:color="auto" w:fill="E7E6E6" w:themeFill="background2"/>
            <w:noWrap/>
            <w:hideMark/>
          </w:tcPr>
          <w:p w14:paraId="69D69ED6" w14:textId="46BFD052"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0.16</w:t>
            </w:r>
          </w:p>
        </w:tc>
        <w:tc>
          <w:tcPr>
            <w:tcW w:w="0" w:type="auto"/>
            <w:tcBorders>
              <w:top w:val="single" w:sz="4" w:space="0" w:color="auto"/>
              <w:left w:val="nil"/>
              <w:bottom w:val="nil"/>
              <w:right w:val="nil"/>
            </w:tcBorders>
            <w:shd w:val="clear" w:color="auto" w:fill="E7E6E6" w:themeFill="background2"/>
            <w:noWrap/>
            <w:hideMark/>
          </w:tcPr>
          <w:p w14:paraId="69985C4B" w14:textId="47A7A9F6"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0.15</w:t>
            </w:r>
          </w:p>
        </w:tc>
        <w:tc>
          <w:tcPr>
            <w:tcW w:w="0" w:type="auto"/>
            <w:tcBorders>
              <w:top w:val="single" w:sz="4" w:space="0" w:color="auto"/>
              <w:left w:val="nil"/>
              <w:bottom w:val="nil"/>
              <w:right w:val="nil"/>
            </w:tcBorders>
            <w:shd w:val="clear" w:color="auto" w:fill="E7E6E6" w:themeFill="background2"/>
            <w:noWrap/>
            <w:hideMark/>
          </w:tcPr>
          <w:p w14:paraId="1519A04F" w14:textId="063029D9"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0.13</w:t>
            </w:r>
          </w:p>
        </w:tc>
        <w:tc>
          <w:tcPr>
            <w:tcW w:w="0" w:type="auto"/>
            <w:tcBorders>
              <w:top w:val="single" w:sz="4" w:space="0" w:color="auto"/>
              <w:left w:val="nil"/>
              <w:bottom w:val="nil"/>
              <w:right w:val="nil"/>
            </w:tcBorders>
            <w:shd w:val="clear" w:color="auto" w:fill="E7E6E6" w:themeFill="background2"/>
            <w:noWrap/>
            <w:hideMark/>
          </w:tcPr>
          <w:p w14:paraId="1327C23B" w14:textId="00C21765"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0.11</w:t>
            </w:r>
          </w:p>
        </w:tc>
        <w:tc>
          <w:tcPr>
            <w:tcW w:w="0" w:type="auto"/>
            <w:tcBorders>
              <w:top w:val="single" w:sz="4" w:space="0" w:color="auto"/>
              <w:left w:val="nil"/>
              <w:bottom w:val="nil"/>
              <w:right w:val="nil"/>
            </w:tcBorders>
            <w:shd w:val="clear" w:color="auto" w:fill="E7E6E6" w:themeFill="background2"/>
            <w:noWrap/>
            <w:hideMark/>
          </w:tcPr>
          <w:p w14:paraId="77530881" w14:textId="31081B97"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w:t>
            </w:r>
          </w:p>
        </w:tc>
        <w:tc>
          <w:tcPr>
            <w:tcW w:w="0" w:type="auto"/>
            <w:tcBorders>
              <w:top w:val="single" w:sz="4" w:space="0" w:color="auto"/>
              <w:left w:val="nil"/>
              <w:bottom w:val="nil"/>
              <w:right w:val="nil"/>
            </w:tcBorders>
            <w:shd w:val="clear" w:color="auto" w:fill="E7E6E6" w:themeFill="background2"/>
            <w:noWrap/>
            <w:hideMark/>
          </w:tcPr>
          <w:p w14:paraId="477A2A1C" w14:textId="1F17358B"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0.09</w:t>
            </w:r>
          </w:p>
        </w:tc>
        <w:tc>
          <w:tcPr>
            <w:tcW w:w="0" w:type="auto"/>
            <w:tcBorders>
              <w:top w:val="single" w:sz="4" w:space="0" w:color="auto"/>
              <w:left w:val="nil"/>
              <w:bottom w:val="nil"/>
              <w:right w:val="nil"/>
            </w:tcBorders>
            <w:shd w:val="clear" w:color="auto" w:fill="E7E6E6" w:themeFill="background2"/>
            <w:noWrap/>
            <w:hideMark/>
          </w:tcPr>
          <w:p w14:paraId="34AE47B8" w14:textId="586DD1A0"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0.07</w:t>
            </w:r>
          </w:p>
        </w:tc>
        <w:tc>
          <w:tcPr>
            <w:tcW w:w="0" w:type="auto"/>
            <w:tcBorders>
              <w:top w:val="single" w:sz="4" w:space="0" w:color="auto"/>
              <w:left w:val="nil"/>
              <w:bottom w:val="nil"/>
              <w:right w:val="nil"/>
            </w:tcBorders>
            <w:shd w:val="clear" w:color="auto" w:fill="E7E6E6" w:themeFill="background2"/>
            <w:noWrap/>
            <w:hideMark/>
          </w:tcPr>
          <w:p w14:paraId="1D0225A1" w14:textId="080FCB32"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0.06</w:t>
            </w:r>
          </w:p>
        </w:tc>
        <w:tc>
          <w:tcPr>
            <w:tcW w:w="0" w:type="auto"/>
            <w:tcBorders>
              <w:top w:val="single" w:sz="4" w:space="0" w:color="auto"/>
              <w:left w:val="nil"/>
              <w:bottom w:val="nil"/>
              <w:right w:val="nil"/>
            </w:tcBorders>
            <w:shd w:val="clear" w:color="auto" w:fill="E7E6E6" w:themeFill="background2"/>
            <w:noWrap/>
            <w:hideMark/>
          </w:tcPr>
          <w:p w14:paraId="766A4569" w14:textId="60F2F3B6"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0.06</w:t>
            </w:r>
          </w:p>
        </w:tc>
      </w:tr>
      <w:tr w:rsidR="00A73C8B" w:rsidRPr="00445A65" w14:paraId="18688AE4" w14:textId="77777777" w:rsidTr="00ED4A5F">
        <w:trPr>
          <w:trHeight w:val="300"/>
        </w:trPr>
        <w:tc>
          <w:tcPr>
            <w:tcW w:w="0" w:type="auto"/>
            <w:tcBorders>
              <w:top w:val="nil"/>
              <w:left w:val="nil"/>
              <w:bottom w:val="nil"/>
              <w:right w:val="single" w:sz="4" w:space="0" w:color="auto"/>
            </w:tcBorders>
            <w:shd w:val="clear" w:color="auto" w:fill="auto"/>
            <w:noWrap/>
            <w:vAlign w:val="center"/>
            <w:hideMark/>
          </w:tcPr>
          <w:p w14:paraId="211E8927" w14:textId="77777777" w:rsidR="00A73C8B" w:rsidRPr="00445A65" w:rsidRDefault="00A73C8B" w:rsidP="00A73C8B">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Exeter/Oxford</w:t>
            </w:r>
          </w:p>
        </w:tc>
        <w:tc>
          <w:tcPr>
            <w:tcW w:w="0" w:type="auto"/>
            <w:tcBorders>
              <w:top w:val="nil"/>
              <w:left w:val="single" w:sz="4" w:space="0" w:color="auto"/>
              <w:bottom w:val="nil"/>
              <w:right w:val="nil"/>
            </w:tcBorders>
            <w:shd w:val="clear" w:color="auto" w:fill="auto"/>
            <w:noWrap/>
            <w:hideMark/>
          </w:tcPr>
          <w:p w14:paraId="2B806DA4" w14:textId="637C6FF2"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0.13</w:t>
            </w:r>
          </w:p>
        </w:tc>
        <w:tc>
          <w:tcPr>
            <w:tcW w:w="0" w:type="auto"/>
            <w:tcBorders>
              <w:top w:val="nil"/>
              <w:left w:val="nil"/>
              <w:bottom w:val="nil"/>
              <w:right w:val="nil"/>
            </w:tcBorders>
            <w:shd w:val="clear" w:color="auto" w:fill="auto"/>
            <w:noWrap/>
          </w:tcPr>
          <w:p w14:paraId="78FB0990"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51AAC31C"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hideMark/>
          </w:tcPr>
          <w:p w14:paraId="1F0BF54C" w14:textId="37DF8728"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0.09</w:t>
            </w:r>
          </w:p>
        </w:tc>
        <w:tc>
          <w:tcPr>
            <w:tcW w:w="0" w:type="auto"/>
            <w:tcBorders>
              <w:top w:val="nil"/>
              <w:left w:val="nil"/>
              <w:bottom w:val="nil"/>
              <w:right w:val="nil"/>
            </w:tcBorders>
            <w:shd w:val="clear" w:color="auto" w:fill="auto"/>
            <w:noWrap/>
          </w:tcPr>
          <w:p w14:paraId="28CE1C35"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061CEE8E"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1EF87423"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hideMark/>
          </w:tcPr>
          <w:p w14:paraId="3C8C1F2F" w14:textId="1550E71F"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0.05</w:t>
            </w:r>
          </w:p>
        </w:tc>
        <w:tc>
          <w:tcPr>
            <w:tcW w:w="0" w:type="auto"/>
            <w:tcBorders>
              <w:top w:val="nil"/>
              <w:left w:val="nil"/>
              <w:bottom w:val="nil"/>
              <w:right w:val="nil"/>
            </w:tcBorders>
            <w:shd w:val="clear" w:color="auto" w:fill="auto"/>
            <w:noWrap/>
          </w:tcPr>
          <w:p w14:paraId="669517F4"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00C4C93B"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r>
      <w:tr w:rsidR="00A73C8B" w:rsidRPr="00445A65" w14:paraId="5CE8C4EE" w14:textId="77777777" w:rsidTr="00ED4A5F">
        <w:trPr>
          <w:trHeight w:val="300"/>
        </w:trPr>
        <w:tc>
          <w:tcPr>
            <w:tcW w:w="0" w:type="auto"/>
            <w:tcBorders>
              <w:top w:val="nil"/>
              <w:left w:val="nil"/>
              <w:bottom w:val="nil"/>
              <w:right w:val="single" w:sz="4" w:space="0" w:color="auto"/>
            </w:tcBorders>
            <w:shd w:val="clear" w:color="auto" w:fill="E7E6E6" w:themeFill="background2"/>
            <w:noWrap/>
            <w:vAlign w:val="center"/>
            <w:hideMark/>
          </w:tcPr>
          <w:p w14:paraId="7DA517FB" w14:textId="77777777" w:rsidR="00A73C8B" w:rsidRPr="00445A65" w:rsidRDefault="00A73C8B" w:rsidP="00A73C8B">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Hopkins/UF</w:t>
            </w:r>
          </w:p>
        </w:tc>
        <w:tc>
          <w:tcPr>
            <w:tcW w:w="0" w:type="auto"/>
            <w:tcBorders>
              <w:top w:val="nil"/>
              <w:left w:val="single" w:sz="4" w:space="0" w:color="auto"/>
              <w:bottom w:val="nil"/>
              <w:right w:val="nil"/>
            </w:tcBorders>
            <w:shd w:val="clear" w:color="auto" w:fill="E7E6E6" w:themeFill="background2"/>
            <w:noWrap/>
            <w:hideMark/>
          </w:tcPr>
          <w:p w14:paraId="4195E4A4" w14:textId="5BBF3EB7"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0.22</w:t>
            </w:r>
          </w:p>
        </w:tc>
        <w:tc>
          <w:tcPr>
            <w:tcW w:w="0" w:type="auto"/>
            <w:tcBorders>
              <w:top w:val="nil"/>
              <w:left w:val="nil"/>
              <w:bottom w:val="nil"/>
              <w:right w:val="nil"/>
            </w:tcBorders>
            <w:shd w:val="clear" w:color="auto" w:fill="E7E6E6" w:themeFill="background2"/>
            <w:noWrap/>
            <w:hideMark/>
          </w:tcPr>
          <w:p w14:paraId="2E7151C1" w14:textId="52D5E3FF"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0.2</w:t>
            </w:r>
          </w:p>
        </w:tc>
        <w:tc>
          <w:tcPr>
            <w:tcW w:w="0" w:type="auto"/>
            <w:tcBorders>
              <w:top w:val="nil"/>
              <w:left w:val="nil"/>
              <w:bottom w:val="nil"/>
              <w:right w:val="nil"/>
            </w:tcBorders>
            <w:shd w:val="clear" w:color="auto" w:fill="E7E6E6" w:themeFill="background2"/>
            <w:noWrap/>
            <w:hideMark/>
          </w:tcPr>
          <w:p w14:paraId="4C5A1B59" w14:textId="72988E97"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0.18</w:t>
            </w:r>
          </w:p>
        </w:tc>
        <w:tc>
          <w:tcPr>
            <w:tcW w:w="0" w:type="auto"/>
            <w:tcBorders>
              <w:top w:val="nil"/>
              <w:left w:val="nil"/>
              <w:bottom w:val="nil"/>
              <w:right w:val="nil"/>
            </w:tcBorders>
            <w:shd w:val="clear" w:color="auto" w:fill="E7E6E6" w:themeFill="background2"/>
            <w:noWrap/>
            <w:hideMark/>
          </w:tcPr>
          <w:p w14:paraId="37D8150D" w14:textId="61A338B4"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0.16</w:t>
            </w:r>
          </w:p>
        </w:tc>
        <w:tc>
          <w:tcPr>
            <w:tcW w:w="0" w:type="auto"/>
            <w:tcBorders>
              <w:top w:val="nil"/>
              <w:left w:val="nil"/>
              <w:bottom w:val="nil"/>
              <w:right w:val="nil"/>
            </w:tcBorders>
            <w:shd w:val="clear" w:color="auto" w:fill="E7E6E6" w:themeFill="background2"/>
            <w:noWrap/>
            <w:hideMark/>
          </w:tcPr>
          <w:p w14:paraId="77AC66E4" w14:textId="4DC3495A"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0.14</w:t>
            </w:r>
          </w:p>
        </w:tc>
        <w:tc>
          <w:tcPr>
            <w:tcW w:w="0" w:type="auto"/>
            <w:tcBorders>
              <w:top w:val="nil"/>
              <w:left w:val="nil"/>
              <w:bottom w:val="nil"/>
              <w:right w:val="nil"/>
            </w:tcBorders>
            <w:shd w:val="clear" w:color="auto" w:fill="E7E6E6" w:themeFill="background2"/>
            <w:noWrap/>
            <w:hideMark/>
          </w:tcPr>
          <w:p w14:paraId="2BF42A7F" w14:textId="57E1D41E"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0.12</w:t>
            </w:r>
          </w:p>
        </w:tc>
        <w:tc>
          <w:tcPr>
            <w:tcW w:w="0" w:type="auto"/>
            <w:tcBorders>
              <w:top w:val="nil"/>
              <w:left w:val="nil"/>
              <w:bottom w:val="nil"/>
              <w:right w:val="nil"/>
            </w:tcBorders>
            <w:shd w:val="clear" w:color="auto" w:fill="E7E6E6" w:themeFill="background2"/>
            <w:noWrap/>
            <w:hideMark/>
          </w:tcPr>
          <w:p w14:paraId="510F12BE" w14:textId="3BCA9853"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NA</w:t>
            </w:r>
          </w:p>
        </w:tc>
        <w:tc>
          <w:tcPr>
            <w:tcW w:w="0" w:type="auto"/>
            <w:tcBorders>
              <w:top w:val="nil"/>
              <w:left w:val="nil"/>
              <w:bottom w:val="nil"/>
              <w:right w:val="nil"/>
            </w:tcBorders>
            <w:shd w:val="clear" w:color="auto" w:fill="E7E6E6" w:themeFill="background2"/>
            <w:noWrap/>
            <w:hideMark/>
          </w:tcPr>
          <w:p w14:paraId="4A4EDD3D" w14:textId="0D93553F"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0.08</w:t>
            </w:r>
          </w:p>
        </w:tc>
        <w:tc>
          <w:tcPr>
            <w:tcW w:w="0" w:type="auto"/>
            <w:tcBorders>
              <w:top w:val="nil"/>
              <w:left w:val="nil"/>
              <w:bottom w:val="nil"/>
              <w:right w:val="nil"/>
            </w:tcBorders>
            <w:shd w:val="clear" w:color="auto" w:fill="E7E6E6" w:themeFill="background2"/>
            <w:noWrap/>
          </w:tcPr>
          <w:p w14:paraId="4E8A3B4F"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tcPr>
          <w:p w14:paraId="281230D9"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r>
      <w:tr w:rsidR="00A73C8B" w:rsidRPr="00445A65" w14:paraId="4A62E2B7" w14:textId="77777777" w:rsidTr="00ED4A5F">
        <w:trPr>
          <w:trHeight w:val="300"/>
        </w:trPr>
        <w:tc>
          <w:tcPr>
            <w:tcW w:w="0" w:type="auto"/>
            <w:tcBorders>
              <w:top w:val="nil"/>
              <w:left w:val="nil"/>
              <w:bottom w:val="nil"/>
              <w:right w:val="single" w:sz="4" w:space="0" w:color="auto"/>
            </w:tcBorders>
            <w:shd w:val="clear" w:color="auto" w:fill="auto"/>
            <w:noWrap/>
            <w:vAlign w:val="center"/>
            <w:hideMark/>
          </w:tcPr>
          <w:p w14:paraId="68D7BEF7" w14:textId="77777777" w:rsidR="00A73C8B" w:rsidRPr="00445A65" w:rsidRDefault="00A73C8B" w:rsidP="00A73C8B">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Imperial</w:t>
            </w:r>
          </w:p>
        </w:tc>
        <w:tc>
          <w:tcPr>
            <w:tcW w:w="0" w:type="auto"/>
            <w:tcBorders>
              <w:top w:val="nil"/>
              <w:left w:val="single" w:sz="4" w:space="0" w:color="auto"/>
              <w:bottom w:val="nil"/>
              <w:right w:val="nil"/>
            </w:tcBorders>
            <w:shd w:val="clear" w:color="auto" w:fill="auto"/>
            <w:noWrap/>
            <w:hideMark/>
          </w:tcPr>
          <w:p w14:paraId="37C60823" w14:textId="683A1D43"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0.25</w:t>
            </w:r>
          </w:p>
        </w:tc>
        <w:tc>
          <w:tcPr>
            <w:tcW w:w="0" w:type="auto"/>
            <w:tcBorders>
              <w:top w:val="nil"/>
              <w:left w:val="nil"/>
              <w:bottom w:val="nil"/>
              <w:right w:val="nil"/>
            </w:tcBorders>
            <w:shd w:val="clear" w:color="auto" w:fill="auto"/>
            <w:noWrap/>
            <w:hideMark/>
          </w:tcPr>
          <w:p w14:paraId="4332EA9A" w14:textId="18818934"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0.23</w:t>
            </w:r>
          </w:p>
        </w:tc>
        <w:tc>
          <w:tcPr>
            <w:tcW w:w="0" w:type="auto"/>
            <w:tcBorders>
              <w:top w:val="nil"/>
              <w:left w:val="nil"/>
              <w:bottom w:val="nil"/>
              <w:right w:val="nil"/>
            </w:tcBorders>
            <w:shd w:val="clear" w:color="auto" w:fill="auto"/>
            <w:noWrap/>
            <w:hideMark/>
          </w:tcPr>
          <w:p w14:paraId="135EDF27" w14:textId="3C795F04"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0.21</w:t>
            </w:r>
          </w:p>
        </w:tc>
        <w:tc>
          <w:tcPr>
            <w:tcW w:w="0" w:type="auto"/>
            <w:tcBorders>
              <w:top w:val="nil"/>
              <w:left w:val="nil"/>
              <w:bottom w:val="nil"/>
              <w:right w:val="nil"/>
            </w:tcBorders>
            <w:shd w:val="clear" w:color="auto" w:fill="auto"/>
            <w:noWrap/>
            <w:hideMark/>
          </w:tcPr>
          <w:p w14:paraId="39A3A067" w14:textId="173EEF1A"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0.19</w:t>
            </w:r>
          </w:p>
        </w:tc>
        <w:tc>
          <w:tcPr>
            <w:tcW w:w="0" w:type="auto"/>
            <w:tcBorders>
              <w:top w:val="nil"/>
              <w:left w:val="nil"/>
              <w:bottom w:val="nil"/>
              <w:right w:val="nil"/>
            </w:tcBorders>
            <w:shd w:val="clear" w:color="auto" w:fill="auto"/>
            <w:noWrap/>
            <w:hideMark/>
          </w:tcPr>
          <w:p w14:paraId="554D62F6" w14:textId="64677955"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0.17</w:t>
            </w:r>
          </w:p>
        </w:tc>
        <w:tc>
          <w:tcPr>
            <w:tcW w:w="0" w:type="auto"/>
            <w:tcBorders>
              <w:top w:val="nil"/>
              <w:left w:val="nil"/>
              <w:bottom w:val="nil"/>
              <w:right w:val="nil"/>
            </w:tcBorders>
            <w:shd w:val="clear" w:color="auto" w:fill="auto"/>
            <w:noWrap/>
            <w:hideMark/>
          </w:tcPr>
          <w:p w14:paraId="14DA6584" w14:textId="70A69741"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0.15</w:t>
            </w:r>
          </w:p>
        </w:tc>
        <w:tc>
          <w:tcPr>
            <w:tcW w:w="0" w:type="auto"/>
            <w:tcBorders>
              <w:top w:val="nil"/>
              <w:left w:val="nil"/>
              <w:bottom w:val="nil"/>
              <w:right w:val="nil"/>
            </w:tcBorders>
            <w:shd w:val="clear" w:color="auto" w:fill="auto"/>
            <w:noWrap/>
            <w:hideMark/>
          </w:tcPr>
          <w:p w14:paraId="19752CE2" w14:textId="42058F99"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0.13</w:t>
            </w:r>
          </w:p>
        </w:tc>
        <w:tc>
          <w:tcPr>
            <w:tcW w:w="0" w:type="auto"/>
            <w:tcBorders>
              <w:top w:val="nil"/>
              <w:left w:val="nil"/>
              <w:bottom w:val="nil"/>
              <w:right w:val="nil"/>
            </w:tcBorders>
            <w:shd w:val="clear" w:color="auto" w:fill="auto"/>
            <w:noWrap/>
            <w:hideMark/>
          </w:tcPr>
          <w:p w14:paraId="3F4788DB" w14:textId="6A62CB81"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0.11</w:t>
            </w:r>
          </w:p>
        </w:tc>
        <w:tc>
          <w:tcPr>
            <w:tcW w:w="0" w:type="auto"/>
            <w:tcBorders>
              <w:top w:val="nil"/>
              <w:left w:val="nil"/>
              <w:bottom w:val="nil"/>
              <w:right w:val="nil"/>
            </w:tcBorders>
            <w:shd w:val="clear" w:color="auto" w:fill="auto"/>
            <w:noWrap/>
            <w:hideMark/>
          </w:tcPr>
          <w:p w14:paraId="365A2096" w14:textId="6B25F56B"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0.09</w:t>
            </w:r>
          </w:p>
        </w:tc>
        <w:tc>
          <w:tcPr>
            <w:tcW w:w="0" w:type="auto"/>
            <w:tcBorders>
              <w:top w:val="nil"/>
              <w:left w:val="nil"/>
              <w:bottom w:val="nil"/>
              <w:right w:val="nil"/>
            </w:tcBorders>
            <w:shd w:val="clear" w:color="auto" w:fill="auto"/>
            <w:noWrap/>
            <w:hideMark/>
          </w:tcPr>
          <w:p w14:paraId="3AA0EAF7" w14:textId="2A44F6BE"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0.08</w:t>
            </w:r>
          </w:p>
        </w:tc>
      </w:tr>
      <w:tr w:rsidR="00A73C8B" w:rsidRPr="00445A65" w14:paraId="5B337952" w14:textId="77777777" w:rsidTr="00ED4A5F">
        <w:trPr>
          <w:trHeight w:val="300"/>
        </w:trPr>
        <w:tc>
          <w:tcPr>
            <w:tcW w:w="0" w:type="auto"/>
            <w:tcBorders>
              <w:top w:val="nil"/>
              <w:left w:val="nil"/>
              <w:bottom w:val="nil"/>
              <w:right w:val="single" w:sz="4" w:space="0" w:color="auto"/>
            </w:tcBorders>
            <w:shd w:val="clear" w:color="auto" w:fill="E7E6E6" w:themeFill="background2"/>
            <w:noWrap/>
            <w:vAlign w:val="center"/>
            <w:hideMark/>
          </w:tcPr>
          <w:p w14:paraId="4EA07047" w14:textId="77777777" w:rsidR="00A73C8B" w:rsidRPr="00445A65" w:rsidRDefault="00A73C8B" w:rsidP="00A73C8B">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Notre Dame</w:t>
            </w:r>
          </w:p>
        </w:tc>
        <w:tc>
          <w:tcPr>
            <w:tcW w:w="0" w:type="auto"/>
            <w:tcBorders>
              <w:top w:val="nil"/>
              <w:left w:val="single" w:sz="4" w:space="0" w:color="auto"/>
              <w:bottom w:val="nil"/>
              <w:right w:val="nil"/>
            </w:tcBorders>
            <w:shd w:val="clear" w:color="auto" w:fill="E7E6E6" w:themeFill="background2"/>
            <w:noWrap/>
            <w:hideMark/>
          </w:tcPr>
          <w:p w14:paraId="7C003FE9" w14:textId="32BAAE04"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0.2</w:t>
            </w:r>
          </w:p>
        </w:tc>
        <w:tc>
          <w:tcPr>
            <w:tcW w:w="0" w:type="auto"/>
            <w:tcBorders>
              <w:top w:val="nil"/>
              <w:left w:val="nil"/>
              <w:bottom w:val="nil"/>
              <w:right w:val="nil"/>
            </w:tcBorders>
            <w:shd w:val="clear" w:color="auto" w:fill="E7E6E6" w:themeFill="background2"/>
            <w:noWrap/>
          </w:tcPr>
          <w:p w14:paraId="30A0D1F8"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tcPr>
          <w:p w14:paraId="24A3E88B"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tcPr>
          <w:p w14:paraId="3F1CE0FB"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tcPr>
          <w:p w14:paraId="51EFD7C5"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tcPr>
          <w:p w14:paraId="7935918E"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tcPr>
          <w:p w14:paraId="171DF17F"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hideMark/>
          </w:tcPr>
          <w:p w14:paraId="72C640D1" w14:textId="3EB2A4DF"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0.06</w:t>
            </w:r>
          </w:p>
        </w:tc>
        <w:tc>
          <w:tcPr>
            <w:tcW w:w="0" w:type="auto"/>
            <w:tcBorders>
              <w:top w:val="nil"/>
              <w:left w:val="nil"/>
              <w:bottom w:val="nil"/>
              <w:right w:val="nil"/>
            </w:tcBorders>
            <w:shd w:val="clear" w:color="auto" w:fill="E7E6E6" w:themeFill="background2"/>
            <w:noWrap/>
          </w:tcPr>
          <w:p w14:paraId="3AB18E28"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E7E6E6" w:themeFill="background2"/>
            <w:noWrap/>
          </w:tcPr>
          <w:p w14:paraId="48A774AA"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r>
      <w:tr w:rsidR="00A73C8B" w:rsidRPr="00445A65" w14:paraId="5E0F6634" w14:textId="77777777" w:rsidTr="00ED4A5F">
        <w:trPr>
          <w:trHeight w:val="300"/>
        </w:trPr>
        <w:tc>
          <w:tcPr>
            <w:tcW w:w="0" w:type="auto"/>
            <w:tcBorders>
              <w:top w:val="nil"/>
              <w:left w:val="nil"/>
              <w:bottom w:val="nil"/>
              <w:right w:val="single" w:sz="4" w:space="0" w:color="auto"/>
            </w:tcBorders>
            <w:shd w:val="clear" w:color="auto" w:fill="auto"/>
            <w:noWrap/>
            <w:vAlign w:val="center"/>
            <w:hideMark/>
          </w:tcPr>
          <w:p w14:paraId="60C21747" w14:textId="77777777" w:rsidR="00A73C8B" w:rsidRPr="00445A65" w:rsidRDefault="00A73C8B" w:rsidP="00A73C8B">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Sanofi Pasteur</w:t>
            </w:r>
          </w:p>
        </w:tc>
        <w:tc>
          <w:tcPr>
            <w:tcW w:w="0" w:type="auto"/>
            <w:tcBorders>
              <w:top w:val="nil"/>
              <w:left w:val="single" w:sz="4" w:space="0" w:color="auto"/>
              <w:bottom w:val="nil"/>
              <w:right w:val="nil"/>
            </w:tcBorders>
            <w:shd w:val="clear" w:color="auto" w:fill="auto"/>
            <w:noWrap/>
            <w:hideMark/>
          </w:tcPr>
          <w:p w14:paraId="1103EC7E" w14:textId="666BDB8C"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0.22</w:t>
            </w:r>
          </w:p>
        </w:tc>
        <w:tc>
          <w:tcPr>
            <w:tcW w:w="0" w:type="auto"/>
            <w:tcBorders>
              <w:top w:val="nil"/>
              <w:left w:val="nil"/>
              <w:bottom w:val="nil"/>
              <w:right w:val="nil"/>
            </w:tcBorders>
            <w:shd w:val="clear" w:color="auto" w:fill="auto"/>
            <w:noWrap/>
            <w:hideMark/>
          </w:tcPr>
          <w:p w14:paraId="5E944E40"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hideMark/>
          </w:tcPr>
          <w:p w14:paraId="7A8ADB17" w14:textId="52D27036"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0.19</w:t>
            </w:r>
          </w:p>
        </w:tc>
        <w:tc>
          <w:tcPr>
            <w:tcW w:w="0" w:type="auto"/>
            <w:tcBorders>
              <w:top w:val="nil"/>
              <w:left w:val="nil"/>
              <w:bottom w:val="nil"/>
              <w:right w:val="nil"/>
            </w:tcBorders>
            <w:shd w:val="clear" w:color="auto" w:fill="auto"/>
            <w:noWrap/>
            <w:hideMark/>
          </w:tcPr>
          <w:p w14:paraId="3C040C7F"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hideMark/>
          </w:tcPr>
          <w:p w14:paraId="026049D2" w14:textId="6E27A619"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0.16</w:t>
            </w:r>
          </w:p>
        </w:tc>
        <w:tc>
          <w:tcPr>
            <w:tcW w:w="0" w:type="auto"/>
            <w:tcBorders>
              <w:top w:val="nil"/>
              <w:left w:val="nil"/>
              <w:bottom w:val="nil"/>
              <w:right w:val="nil"/>
            </w:tcBorders>
            <w:shd w:val="clear" w:color="auto" w:fill="auto"/>
            <w:noWrap/>
          </w:tcPr>
          <w:p w14:paraId="42FC9D0F"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hideMark/>
          </w:tcPr>
          <w:p w14:paraId="702222E3" w14:textId="021C0F29"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0.13</w:t>
            </w:r>
          </w:p>
        </w:tc>
        <w:tc>
          <w:tcPr>
            <w:tcW w:w="0" w:type="auto"/>
            <w:tcBorders>
              <w:top w:val="nil"/>
              <w:left w:val="nil"/>
              <w:bottom w:val="nil"/>
              <w:right w:val="nil"/>
            </w:tcBorders>
            <w:shd w:val="clear" w:color="auto" w:fill="auto"/>
            <w:noWrap/>
            <w:hideMark/>
          </w:tcPr>
          <w:p w14:paraId="68A15885" w14:textId="097E57F6"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0.12</w:t>
            </w:r>
          </w:p>
        </w:tc>
        <w:tc>
          <w:tcPr>
            <w:tcW w:w="0" w:type="auto"/>
            <w:tcBorders>
              <w:top w:val="nil"/>
              <w:left w:val="nil"/>
              <w:bottom w:val="nil"/>
              <w:right w:val="nil"/>
            </w:tcBorders>
            <w:shd w:val="clear" w:color="auto" w:fill="auto"/>
            <w:noWrap/>
            <w:hideMark/>
          </w:tcPr>
          <w:p w14:paraId="10CDE27A" w14:textId="4F013775"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w:t>
            </w:r>
          </w:p>
        </w:tc>
        <w:tc>
          <w:tcPr>
            <w:tcW w:w="0" w:type="auto"/>
            <w:tcBorders>
              <w:top w:val="nil"/>
              <w:left w:val="nil"/>
              <w:bottom w:val="nil"/>
              <w:right w:val="nil"/>
            </w:tcBorders>
            <w:shd w:val="clear" w:color="auto" w:fill="auto"/>
            <w:noWrap/>
            <w:hideMark/>
          </w:tcPr>
          <w:p w14:paraId="457614F9"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r>
      <w:tr w:rsidR="00A73C8B" w:rsidRPr="00445A65" w14:paraId="5A7B3EA0" w14:textId="77777777" w:rsidTr="00ED4A5F">
        <w:trPr>
          <w:trHeight w:val="300"/>
        </w:trPr>
        <w:tc>
          <w:tcPr>
            <w:tcW w:w="0" w:type="auto"/>
            <w:tcBorders>
              <w:top w:val="nil"/>
              <w:left w:val="nil"/>
              <w:bottom w:val="nil"/>
              <w:right w:val="single" w:sz="4" w:space="0" w:color="auto"/>
            </w:tcBorders>
            <w:shd w:val="clear" w:color="auto" w:fill="E7E6E6" w:themeFill="background2"/>
            <w:noWrap/>
            <w:vAlign w:val="center"/>
            <w:hideMark/>
          </w:tcPr>
          <w:p w14:paraId="0FD0B940" w14:textId="77777777" w:rsidR="00A73C8B" w:rsidRPr="00445A65" w:rsidRDefault="00A73C8B" w:rsidP="00A73C8B">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UF</w:t>
            </w:r>
          </w:p>
        </w:tc>
        <w:tc>
          <w:tcPr>
            <w:tcW w:w="0" w:type="auto"/>
            <w:tcBorders>
              <w:top w:val="nil"/>
              <w:left w:val="single" w:sz="4" w:space="0" w:color="auto"/>
              <w:bottom w:val="nil"/>
              <w:right w:val="nil"/>
            </w:tcBorders>
            <w:shd w:val="clear" w:color="auto" w:fill="E7E6E6" w:themeFill="background2"/>
            <w:noWrap/>
            <w:hideMark/>
          </w:tcPr>
          <w:p w14:paraId="555F965A" w14:textId="7CB97216"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0.14</w:t>
            </w:r>
          </w:p>
        </w:tc>
        <w:tc>
          <w:tcPr>
            <w:tcW w:w="0" w:type="auto"/>
            <w:tcBorders>
              <w:top w:val="nil"/>
              <w:left w:val="nil"/>
              <w:bottom w:val="nil"/>
              <w:right w:val="nil"/>
            </w:tcBorders>
            <w:shd w:val="clear" w:color="auto" w:fill="E7E6E6" w:themeFill="background2"/>
            <w:noWrap/>
          </w:tcPr>
          <w:p w14:paraId="4F17ED2F" w14:textId="5BC57178"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0.13</w:t>
            </w:r>
          </w:p>
        </w:tc>
        <w:tc>
          <w:tcPr>
            <w:tcW w:w="0" w:type="auto"/>
            <w:tcBorders>
              <w:top w:val="nil"/>
              <w:left w:val="nil"/>
              <w:bottom w:val="nil"/>
              <w:right w:val="nil"/>
            </w:tcBorders>
            <w:shd w:val="clear" w:color="auto" w:fill="E7E6E6" w:themeFill="background2"/>
            <w:noWrap/>
          </w:tcPr>
          <w:p w14:paraId="63F312E4" w14:textId="2AA3AB06"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0.11</w:t>
            </w:r>
          </w:p>
        </w:tc>
        <w:tc>
          <w:tcPr>
            <w:tcW w:w="0" w:type="auto"/>
            <w:tcBorders>
              <w:top w:val="nil"/>
              <w:left w:val="nil"/>
              <w:bottom w:val="nil"/>
              <w:right w:val="nil"/>
            </w:tcBorders>
            <w:shd w:val="clear" w:color="auto" w:fill="E7E6E6" w:themeFill="background2"/>
            <w:noWrap/>
          </w:tcPr>
          <w:p w14:paraId="7F28A777" w14:textId="5B86946E"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0.09</w:t>
            </w:r>
          </w:p>
        </w:tc>
        <w:tc>
          <w:tcPr>
            <w:tcW w:w="0" w:type="auto"/>
            <w:tcBorders>
              <w:top w:val="nil"/>
              <w:left w:val="nil"/>
              <w:bottom w:val="nil"/>
              <w:right w:val="nil"/>
            </w:tcBorders>
            <w:shd w:val="clear" w:color="auto" w:fill="E7E6E6" w:themeFill="background2"/>
            <w:noWrap/>
          </w:tcPr>
          <w:p w14:paraId="55AD7CFC" w14:textId="765F1C9D"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0.08</w:t>
            </w:r>
          </w:p>
        </w:tc>
        <w:tc>
          <w:tcPr>
            <w:tcW w:w="0" w:type="auto"/>
            <w:tcBorders>
              <w:top w:val="nil"/>
              <w:left w:val="nil"/>
              <w:bottom w:val="nil"/>
              <w:right w:val="nil"/>
            </w:tcBorders>
            <w:shd w:val="clear" w:color="auto" w:fill="E7E6E6" w:themeFill="background2"/>
            <w:noWrap/>
          </w:tcPr>
          <w:p w14:paraId="7BA0BA04" w14:textId="7AF47994"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0.08</w:t>
            </w:r>
          </w:p>
        </w:tc>
        <w:tc>
          <w:tcPr>
            <w:tcW w:w="0" w:type="auto"/>
            <w:tcBorders>
              <w:top w:val="nil"/>
              <w:left w:val="nil"/>
              <w:bottom w:val="nil"/>
              <w:right w:val="nil"/>
            </w:tcBorders>
            <w:shd w:val="clear" w:color="auto" w:fill="E7E6E6" w:themeFill="background2"/>
            <w:noWrap/>
          </w:tcPr>
          <w:p w14:paraId="600D2FED" w14:textId="7F484651"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0.07</w:t>
            </w:r>
          </w:p>
        </w:tc>
        <w:tc>
          <w:tcPr>
            <w:tcW w:w="0" w:type="auto"/>
            <w:tcBorders>
              <w:top w:val="nil"/>
              <w:left w:val="nil"/>
              <w:bottom w:val="nil"/>
              <w:right w:val="nil"/>
            </w:tcBorders>
            <w:shd w:val="clear" w:color="auto" w:fill="E7E6E6" w:themeFill="background2"/>
            <w:noWrap/>
            <w:hideMark/>
          </w:tcPr>
          <w:p w14:paraId="74F47654" w14:textId="715AAACD"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0.06</w:t>
            </w:r>
          </w:p>
        </w:tc>
        <w:tc>
          <w:tcPr>
            <w:tcW w:w="0" w:type="auto"/>
            <w:tcBorders>
              <w:top w:val="nil"/>
              <w:left w:val="nil"/>
              <w:bottom w:val="nil"/>
              <w:right w:val="nil"/>
            </w:tcBorders>
            <w:shd w:val="clear" w:color="auto" w:fill="E7E6E6" w:themeFill="background2"/>
            <w:noWrap/>
          </w:tcPr>
          <w:p w14:paraId="616C6F8C" w14:textId="5D8C7C85"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0.06</w:t>
            </w:r>
          </w:p>
        </w:tc>
        <w:tc>
          <w:tcPr>
            <w:tcW w:w="0" w:type="auto"/>
            <w:tcBorders>
              <w:top w:val="nil"/>
              <w:left w:val="nil"/>
              <w:bottom w:val="nil"/>
              <w:right w:val="nil"/>
            </w:tcBorders>
            <w:shd w:val="clear" w:color="auto" w:fill="E7E6E6" w:themeFill="background2"/>
            <w:noWrap/>
          </w:tcPr>
          <w:p w14:paraId="18003197" w14:textId="058A116B"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0.06</w:t>
            </w:r>
          </w:p>
        </w:tc>
      </w:tr>
      <w:tr w:rsidR="00A73C8B" w:rsidRPr="00445A65" w14:paraId="790F7A8D" w14:textId="77777777" w:rsidTr="00ED4A5F">
        <w:trPr>
          <w:trHeight w:val="300"/>
        </w:trPr>
        <w:tc>
          <w:tcPr>
            <w:tcW w:w="0" w:type="auto"/>
            <w:tcBorders>
              <w:top w:val="nil"/>
              <w:left w:val="nil"/>
              <w:bottom w:val="nil"/>
              <w:right w:val="single" w:sz="4" w:space="0" w:color="auto"/>
            </w:tcBorders>
            <w:shd w:val="clear" w:color="auto" w:fill="auto"/>
            <w:noWrap/>
            <w:vAlign w:val="center"/>
            <w:hideMark/>
          </w:tcPr>
          <w:p w14:paraId="451E78FC" w14:textId="77777777" w:rsidR="00A73C8B" w:rsidRPr="00445A65" w:rsidRDefault="00A73C8B" w:rsidP="00A73C8B">
            <w:pPr>
              <w:spacing w:after="0" w:line="240" w:lineRule="auto"/>
              <w:jc w:val="center"/>
              <w:rPr>
                <w:rFonts w:eastAsia="Times New Roman" w:cstheme="minorHAnsi"/>
                <w:color w:val="000000" w:themeColor="text1"/>
                <w:sz w:val="16"/>
                <w:szCs w:val="16"/>
                <w:lang w:eastAsia="en-GB"/>
              </w:rPr>
            </w:pPr>
            <w:r w:rsidRPr="00445A65">
              <w:rPr>
                <w:rFonts w:eastAsia="Times New Roman" w:cstheme="minorHAnsi"/>
                <w:color w:val="000000" w:themeColor="text1"/>
                <w:sz w:val="16"/>
                <w:szCs w:val="16"/>
                <w:lang w:eastAsia="en-GB"/>
              </w:rPr>
              <w:t>UWA</w:t>
            </w:r>
          </w:p>
        </w:tc>
        <w:tc>
          <w:tcPr>
            <w:tcW w:w="0" w:type="auto"/>
            <w:tcBorders>
              <w:top w:val="nil"/>
              <w:left w:val="single" w:sz="4" w:space="0" w:color="auto"/>
              <w:bottom w:val="nil"/>
              <w:right w:val="nil"/>
            </w:tcBorders>
            <w:shd w:val="clear" w:color="auto" w:fill="auto"/>
            <w:noWrap/>
            <w:hideMark/>
          </w:tcPr>
          <w:p w14:paraId="3D1434DD" w14:textId="3E578192"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0.2</w:t>
            </w:r>
          </w:p>
        </w:tc>
        <w:tc>
          <w:tcPr>
            <w:tcW w:w="0" w:type="auto"/>
            <w:tcBorders>
              <w:top w:val="nil"/>
              <w:left w:val="nil"/>
              <w:bottom w:val="nil"/>
              <w:right w:val="nil"/>
            </w:tcBorders>
            <w:shd w:val="clear" w:color="auto" w:fill="auto"/>
            <w:noWrap/>
          </w:tcPr>
          <w:p w14:paraId="4B3CC98B"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760CA95E"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5ECA6D1D"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16C8D604"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31C7212F"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3F50D7B9"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hideMark/>
          </w:tcPr>
          <w:p w14:paraId="1B70B145" w14:textId="3E1284B2" w:rsidR="00A73C8B" w:rsidRPr="00A73C8B" w:rsidRDefault="00A73C8B" w:rsidP="00A73C8B">
            <w:pPr>
              <w:spacing w:after="0" w:line="240" w:lineRule="auto"/>
              <w:jc w:val="center"/>
              <w:rPr>
                <w:rFonts w:eastAsia="Times New Roman" w:cstheme="minorHAnsi"/>
                <w:color w:val="000000" w:themeColor="text1"/>
                <w:sz w:val="16"/>
                <w:szCs w:val="16"/>
                <w:lang w:eastAsia="en-GB"/>
              </w:rPr>
            </w:pPr>
            <w:r w:rsidRPr="00ED4A5F">
              <w:rPr>
                <w:sz w:val="16"/>
                <w:szCs w:val="16"/>
              </w:rPr>
              <w:t>0.1</w:t>
            </w:r>
          </w:p>
        </w:tc>
        <w:tc>
          <w:tcPr>
            <w:tcW w:w="0" w:type="auto"/>
            <w:tcBorders>
              <w:top w:val="nil"/>
              <w:left w:val="nil"/>
              <w:bottom w:val="nil"/>
              <w:right w:val="nil"/>
            </w:tcBorders>
            <w:shd w:val="clear" w:color="auto" w:fill="auto"/>
            <w:noWrap/>
          </w:tcPr>
          <w:p w14:paraId="4D4D6E78"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c>
          <w:tcPr>
            <w:tcW w:w="0" w:type="auto"/>
            <w:tcBorders>
              <w:top w:val="nil"/>
              <w:left w:val="nil"/>
              <w:bottom w:val="nil"/>
              <w:right w:val="nil"/>
            </w:tcBorders>
            <w:shd w:val="clear" w:color="auto" w:fill="auto"/>
            <w:noWrap/>
          </w:tcPr>
          <w:p w14:paraId="2E93D998" w14:textId="77777777" w:rsidR="00A73C8B" w:rsidRPr="00A73C8B" w:rsidRDefault="00A73C8B" w:rsidP="00A73C8B">
            <w:pPr>
              <w:spacing w:after="0" w:line="240" w:lineRule="auto"/>
              <w:jc w:val="center"/>
              <w:rPr>
                <w:rFonts w:eastAsia="Times New Roman" w:cstheme="minorHAnsi"/>
                <w:color w:val="000000" w:themeColor="text1"/>
                <w:sz w:val="16"/>
                <w:szCs w:val="16"/>
                <w:lang w:eastAsia="en-GB"/>
              </w:rPr>
            </w:pPr>
          </w:p>
        </w:tc>
      </w:tr>
    </w:tbl>
    <w:p w14:paraId="61DD675C" w14:textId="77777777" w:rsidR="00445A65" w:rsidRPr="00445A65" w:rsidRDefault="00445A65" w:rsidP="00445A65">
      <w:pPr>
        <w:pStyle w:val="Caption"/>
        <w:rPr>
          <w:color w:val="000000" w:themeColor="text1"/>
        </w:rPr>
      </w:pPr>
    </w:p>
    <w:p w14:paraId="05D3233F" w14:textId="0AE4E589" w:rsidR="00445A65" w:rsidRPr="00445A65" w:rsidRDefault="00445A65" w:rsidP="00445A65">
      <w:pPr>
        <w:pStyle w:val="Caption"/>
        <w:keepNext/>
        <w:rPr>
          <w:color w:val="000000" w:themeColor="text1"/>
        </w:rPr>
      </w:pPr>
      <w:bookmarkStart w:id="15" w:name="_Ref448923318"/>
      <w:r w:rsidRPr="00445A65">
        <w:rPr>
          <w:color w:val="000000" w:themeColor="text1"/>
        </w:rPr>
        <w:lastRenderedPageBreak/>
        <w:t xml:space="preserve">Table </w:t>
      </w:r>
      <w:bookmarkEnd w:id="15"/>
      <w:r w:rsidR="00E3248D">
        <w:rPr>
          <w:color w:val="000000" w:themeColor="text1"/>
        </w:rPr>
        <w:t>G</w:t>
      </w:r>
      <w:r w:rsidRPr="00445A65">
        <w:rPr>
          <w:color w:val="000000" w:themeColor="text1"/>
        </w:rPr>
        <w:t>: Threshold costs (in US$) per fully vaccinated person in reference to thresholds of the cost of averting a DALY (assumed to be 2000US$ here). Cost and health outcomes are calculated for 30 years after the introduction of Dengvaxia® to 9y olds with 80% coverage and without a catch-up campaign. The healthcare provider’s perspective is taken and both health and costs are discounted at 3%.</w:t>
      </w:r>
    </w:p>
    <w:tbl>
      <w:tblPr>
        <w:tblW w:w="0" w:type="auto"/>
        <w:tblInd w:w="108" w:type="dxa"/>
        <w:tblLook w:val="04A0" w:firstRow="1" w:lastRow="0" w:firstColumn="1" w:lastColumn="0" w:noHBand="0" w:noVBand="1"/>
      </w:tblPr>
      <w:tblGrid>
        <w:gridCol w:w="1152"/>
        <w:gridCol w:w="879"/>
        <w:gridCol w:w="879"/>
        <w:gridCol w:w="879"/>
        <w:gridCol w:w="879"/>
      </w:tblGrid>
      <w:tr w:rsidR="00445A65" w:rsidRPr="00445A65" w14:paraId="2487080A" w14:textId="77777777" w:rsidTr="00ED4A5F">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0FFBCDCE" w14:textId="77777777" w:rsidR="00445A65" w:rsidRPr="00445A65" w:rsidRDefault="00445A65" w:rsidP="00C51D6D">
            <w:pPr>
              <w:spacing w:after="0" w:line="240" w:lineRule="auto"/>
              <w:jc w:val="center"/>
              <w:rPr>
                <w:rFonts w:ascii="Times New Roman" w:eastAsia="Times New Roman" w:hAnsi="Times New Roman" w:cs="Times New Roman"/>
                <w:color w:val="000000" w:themeColor="text1"/>
                <w:sz w:val="16"/>
                <w:szCs w:val="16"/>
                <w:lang w:eastAsia="en-GB"/>
              </w:rPr>
            </w:pPr>
          </w:p>
        </w:tc>
        <w:tc>
          <w:tcPr>
            <w:tcW w:w="0" w:type="auto"/>
            <w:tcBorders>
              <w:top w:val="nil"/>
              <w:left w:val="single" w:sz="4" w:space="0" w:color="auto"/>
              <w:bottom w:val="single" w:sz="4" w:space="0" w:color="auto"/>
              <w:right w:val="nil"/>
            </w:tcBorders>
            <w:shd w:val="clear" w:color="auto" w:fill="auto"/>
            <w:noWrap/>
            <w:vAlign w:val="center"/>
            <w:hideMark/>
          </w:tcPr>
          <w:p w14:paraId="4A1307DD" w14:textId="77777777" w:rsidR="00445A65" w:rsidRPr="00445A65" w:rsidRDefault="00445A65" w:rsidP="00C51D6D">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SP9=30%</w:t>
            </w:r>
          </w:p>
        </w:tc>
        <w:tc>
          <w:tcPr>
            <w:tcW w:w="0" w:type="auto"/>
            <w:tcBorders>
              <w:top w:val="nil"/>
              <w:left w:val="nil"/>
              <w:bottom w:val="single" w:sz="4" w:space="0" w:color="auto"/>
              <w:right w:val="nil"/>
            </w:tcBorders>
            <w:shd w:val="clear" w:color="auto" w:fill="auto"/>
            <w:noWrap/>
            <w:vAlign w:val="center"/>
            <w:hideMark/>
          </w:tcPr>
          <w:p w14:paraId="572193AF" w14:textId="77777777" w:rsidR="00445A65" w:rsidRPr="00445A65" w:rsidRDefault="00445A65" w:rsidP="00C51D6D">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SP9=50%</w:t>
            </w:r>
          </w:p>
        </w:tc>
        <w:tc>
          <w:tcPr>
            <w:tcW w:w="0" w:type="auto"/>
            <w:tcBorders>
              <w:top w:val="nil"/>
              <w:left w:val="nil"/>
              <w:bottom w:val="single" w:sz="4" w:space="0" w:color="auto"/>
              <w:right w:val="nil"/>
            </w:tcBorders>
            <w:shd w:val="clear" w:color="auto" w:fill="auto"/>
            <w:noWrap/>
            <w:vAlign w:val="center"/>
            <w:hideMark/>
          </w:tcPr>
          <w:p w14:paraId="3E2B77B7" w14:textId="77777777" w:rsidR="00445A65" w:rsidRPr="00445A65" w:rsidRDefault="00445A65" w:rsidP="00C51D6D">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SP9=70%</w:t>
            </w:r>
          </w:p>
        </w:tc>
        <w:tc>
          <w:tcPr>
            <w:tcW w:w="0" w:type="auto"/>
            <w:tcBorders>
              <w:top w:val="nil"/>
              <w:left w:val="nil"/>
              <w:bottom w:val="single" w:sz="4" w:space="0" w:color="auto"/>
              <w:right w:val="nil"/>
            </w:tcBorders>
            <w:shd w:val="clear" w:color="auto" w:fill="auto"/>
            <w:noWrap/>
            <w:vAlign w:val="center"/>
            <w:hideMark/>
          </w:tcPr>
          <w:p w14:paraId="249C8AD6" w14:textId="77777777" w:rsidR="00445A65" w:rsidRPr="00445A65" w:rsidRDefault="00445A65" w:rsidP="00C51D6D">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SP9=90%</w:t>
            </w:r>
          </w:p>
        </w:tc>
      </w:tr>
      <w:tr w:rsidR="00301B8F" w:rsidRPr="00445A65" w14:paraId="31C23092" w14:textId="77777777" w:rsidTr="00ED4A5F">
        <w:trPr>
          <w:trHeight w:val="300"/>
        </w:trPr>
        <w:tc>
          <w:tcPr>
            <w:tcW w:w="0" w:type="auto"/>
            <w:tcBorders>
              <w:top w:val="single" w:sz="4" w:space="0" w:color="auto"/>
              <w:left w:val="nil"/>
              <w:bottom w:val="nil"/>
              <w:right w:val="single" w:sz="4" w:space="0" w:color="auto"/>
            </w:tcBorders>
            <w:shd w:val="clear" w:color="auto" w:fill="E7E6E6" w:themeFill="background2"/>
            <w:noWrap/>
            <w:vAlign w:val="center"/>
            <w:hideMark/>
          </w:tcPr>
          <w:p w14:paraId="6B4C285E" w14:textId="77777777" w:rsidR="00301B8F" w:rsidRPr="00445A65" w:rsidRDefault="00301B8F" w:rsidP="00301B8F">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Duke</w:t>
            </w:r>
          </w:p>
        </w:tc>
        <w:tc>
          <w:tcPr>
            <w:tcW w:w="0" w:type="auto"/>
            <w:tcBorders>
              <w:top w:val="single" w:sz="4" w:space="0" w:color="auto"/>
              <w:left w:val="single" w:sz="4" w:space="0" w:color="auto"/>
              <w:bottom w:val="nil"/>
              <w:right w:val="nil"/>
            </w:tcBorders>
            <w:shd w:val="clear" w:color="auto" w:fill="E7E6E6" w:themeFill="background2"/>
            <w:noWrap/>
            <w:vAlign w:val="center"/>
            <w:hideMark/>
          </w:tcPr>
          <w:p w14:paraId="63B59BF4" w14:textId="67798584"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5 (1;9)</w:t>
            </w:r>
          </w:p>
        </w:tc>
        <w:tc>
          <w:tcPr>
            <w:tcW w:w="0" w:type="auto"/>
            <w:tcBorders>
              <w:top w:val="single" w:sz="4" w:space="0" w:color="auto"/>
              <w:left w:val="nil"/>
              <w:bottom w:val="nil"/>
              <w:right w:val="nil"/>
            </w:tcBorders>
            <w:shd w:val="clear" w:color="auto" w:fill="E7E6E6" w:themeFill="background2"/>
            <w:noWrap/>
            <w:vAlign w:val="center"/>
            <w:hideMark/>
          </w:tcPr>
          <w:p w14:paraId="492CB895" w14:textId="3C040586"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13 (9;16)</w:t>
            </w:r>
          </w:p>
        </w:tc>
        <w:tc>
          <w:tcPr>
            <w:tcW w:w="0" w:type="auto"/>
            <w:tcBorders>
              <w:top w:val="single" w:sz="4" w:space="0" w:color="auto"/>
              <w:left w:val="nil"/>
              <w:bottom w:val="nil"/>
              <w:right w:val="nil"/>
            </w:tcBorders>
            <w:shd w:val="clear" w:color="auto" w:fill="E7E6E6" w:themeFill="background2"/>
            <w:noWrap/>
            <w:vAlign w:val="center"/>
            <w:hideMark/>
          </w:tcPr>
          <w:p w14:paraId="53B1F6E8" w14:textId="0154C717"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22 (20;25)</w:t>
            </w:r>
          </w:p>
        </w:tc>
        <w:tc>
          <w:tcPr>
            <w:tcW w:w="0" w:type="auto"/>
            <w:tcBorders>
              <w:top w:val="single" w:sz="4" w:space="0" w:color="auto"/>
              <w:left w:val="nil"/>
              <w:bottom w:val="nil"/>
              <w:right w:val="nil"/>
            </w:tcBorders>
            <w:shd w:val="clear" w:color="auto" w:fill="E7E6E6" w:themeFill="background2"/>
            <w:noWrap/>
            <w:vAlign w:val="center"/>
            <w:hideMark/>
          </w:tcPr>
          <w:p w14:paraId="6D5A06C2" w14:textId="2C6675EE"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22 (18;24)</w:t>
            </w:r>
          </w:p>
        </w:tc>
      </w:tr>
      <w:tr w:rsidR="00301B8F" w:rsidRPr="00445A65" w14:paraId="7EC25476" w14:textId="77777777" w:rsidTr="00ED4A5F">
        <w:trPr>
          <w:trHeight w:val="300"/>
        </w:trPr>
        <w:tc>
          <w:tcPr>
            <w:tcW w:w="0" w:type="auto"/>
            <w:tcBorders>
              <w:top w:val="nil"/>
              <w:left w:val="nil"/>
              <w:bottom w:val="nil"/>
              <w:right w:val="single" w:sz="4" w:space="0" w:color="auto"/>
            </w:tcBorders>
            <w:shd w:val="clear" w:color="auto" w:fill="auto"/>
            <w:noWrap/>
            <w:vAlign w:val="center"/>
          </w:tcPr>
          <w:p w14:paraId="01CE20B1" w14:textId="77777777" w:rsidR="00301B8F" w:rsidRPr="00445A65" w:rsidRDefault="00301B8F" w:rsidP="00301B8F">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Exeter/Oxford</w:t>
            </w:r>
          </w:p>
        </w:tc>
        <w:tc>
          <w:tcPr>
            <w:tcW w:w="0" w:type="auto"/>
            <w:tcBorders>
              <w:top w:val="nil"/>
              <w:left w:val="single" w:sz="4" w:space="0" w:color="auto"/>
              <w:bottom w:val="nil"/>
              <w:right w:val="nil"/>
            </w:tcBorders>
            <w:shd w:val="clear" w:color="auto" w:fill="auto"/>
            <w:noWrap/>
            <w:vAlign w:val="center"/>
          </w:tcPr>
          <w:p w14:paraId="5BC8DCFF" w14:textId="71C6E441"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5 (-2;12)</w:t>
            </w:r>
          </w:p>
        </w:tc>
        <w:tc>
          <w:tcPr>
            <w:tcW w:w="0" w:type="auto"/>
            <w:tcBorders>
              <w:top w:val="nil"/>
              <w:left w:val="nil"/>
              <w:bottom w:val="nil"/>
              <w:right w:val="nil"/>
            </w:tcBorders>
            <w:shd w:val="clear" w:color="auto" w:fill="auto"/>
            <w:noWrap/>
            <w:vAlign w:val="center"/>
          </w:tcPr>
          <w:p w14:paraId="43D31368" w14:textId="762F912D"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11 (8;15)</w:t>
            </w:r>
          </w:p>
        </w:tc>
        <w:tc>
          <w:tcPr>
            <w:tcW w:w="0" w:type="auto"/>
            <w:tcBorders>
              <w:top w:val="nil"/>
              <w:left w:val="nil"/>
              <w:bottom w:val="nil"/>
              <w:right w:val="nil"/>
            </w:tcBorders>
            <w:shd w:val="clear" w:color="auto" w:fill="auto"/>
            <w:noWrap/>
            <w:vAlign w:val="center"/>
          </w:tcPr>
          <w:p w14:paraId="139C556D" w14:textId="19E161D0"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19 (16;21)</w:t>
            </w:r>
          </w:p>
        </w:tc>
        <w:tc>
          <w:tcPr>
            <w:tcW w:w="0" w:type="auto"/>
            <w:tcBorders>
              <w:top w:val="nil"/>
              <w:left w:val="nil"/>
              <w:bottom w:val="nil"/>
              <w:right w:val="nil"/>
            </w:tcBorders>
            <w:shd w:val="clear" w:color="auto" w:fill="auto"/>
            <w:noWrap/>
            <w:vAlign w:val="center"/>
          </w:tcPr>
          <w:p w14:paraId="6F85E580" w14:textId="767222C7"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21 (19;23)</w:t>
            </w:r>
          </w:p>
        </w:tc>
      </w:tr>
      <w:tr w:rsidR="00301B8F" w:rsidRPr="00445A65" w14:paraId="08C56ED0" w14:textId="77777777" w:rsidTr="00ED4A5F">
        <w:trPr>
          <w:trHeight w:val="300"/>
        </w:trPr>
        <w:tc>
          <w:tcPr>
            <w:tcW w:w="0" w:type="auto"/>
            <w:tcBorders>
              <w:top w:val="nil"/>
              <w:left w:val="nil"/>
              <w:bottom w:val="nil"/>
              <w:right w:val="single" w:sz="4" w:space="0" w:color="auto"/>
            </w:tcBorders>
            <w:shd w:val="clear" w:color="auto" w:fill="E7E6E6" w:themeFill="background2"/>
            <w:noWrap/>
            <w:vAlign w:val="center"/>
            <w:hideMark/>
          </w:tcPr>
          <w:p w14:paraId="002F218A" w14:textId="77777777" w:rsidR="00301B8F" w:rsidRPr="00445A65" w:rsidRDefault="00301B8F" w:rsidP="00301B8F">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Hopkins/UF</w:t>
            </w:r>
          </w:p>
        </w:tc>
        <w:tc>
          <w:tcPr>
            <w:tcW w:w="0" w:type="auto"/>
            <w:tcBorders>
              <w:top w:val="nil"/>
              <w:left w:val="single" w:sz="4" w:space="0" w:color="auto"/>
              <w:bottom w:val="nil"/>
              <w:right w:val="nil"/>
            </w:tcBorders>
            <w:shd w:val="clear" w:color="auto" w:fill="E7E6E6" w:themeFill="background2"/>
            <w:noWrap/>
            <w:vAlign w:val="center"/>
            <w:hideMark/>
          </w:tcPr>
          <w:p w14:paraId="2B26698D" w14:textId="13AD31AB"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-1 (-5;3)</w:t>
            </w:r>
          </w:p>
        </w:tc>
        <w:tc>
          <w:tcPr>
            <w:tcW w:w="0" w:type="auto"/>
            <w:tcBorders>
              <w:top w:val="nil"/>
              <w:left w:val="nil"/>
              <w:bottom w:val="nil"/>
              <w:right w:val="nil"/>
            </w:tcBorders>
            <w:shd w:val="clear" w:color="auto" w:fill="E7E6E6" w:themeFill="background2"/>
            <w:noWrap/>
            <w:vAlign w:val="center"/>
            <w:hideMark/>
          </w:tcPr>
          <w:p w14:paraId="7BAC0576" w14:textId="76572CE2"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24 (16;31)</w:t>
            </w:r>
          </w:p>
        </w:tc>
        <w:tc>
          <w:tcPr>
            <w:tcW w:w="0" w:type="auto"/>
            <w:tcBorders>
              <w:top w:val="nil"/>
              <w:left w:val="nil"/>
              <w:bottom w:val="nil"/>
              <w:right w:val="nil"/>
            </w:tcBorders>
            <w:shd w:val="clear" w:color="auto" w:fill="E7E6E6" w:themeFill="background2"/>
            <w:noWrap/>
            <w:vAlign w:val="center"/>
            <w:hideMark/>
          </w:tcPr>
          <w:p w14:paraId="115A73C9" w14:textId="0961CA0C"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41 (33;46)</w:t>
            </w:r>
          </w:p>
        </w:tc>
        <w:tc>
          <w:tcPr>
            <w:tcW w:w="0" w:type="auto"/>
            <w:tcBorders>
              <w:top w:val="nil"/>
              <w:left w:val="nil"/>
              <w:bottom w:val="nil"/>
              <w:right w:val="nil"/>
            </w:tcBorders>
            <w:shd w:val="clear" w:color="auto" w:fill="E7E6E6" w:themeFill="background2"/>
            <w:noWrap/>
            <w:vAlign w:val="center"/>
            <w:hideMark/>
          </w:tcPr>
          <w:p w14:paraId="5618997F" w14:textId="0790F03A"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41 (38;46)</w:t>
            </w:r>
          </w:p>
        </w:tc>
      </w:tr>
      <w:tr w:rsidR="00301B8F" w:rsidRPr="00445A65" w14:paraId="17D2F5D4" w14:textId="77777777" w:rsidTr="00ED4A5F">
        <w:trPr>
          <w:trHeight w:val="300"/>
        </w:trPr>
        <w:tc>
          <w:tcPr>
            <w:tcW w:w="0" w:type="auto"/>
            <w:tcBorders>
              <w:top w:val="nil"/>
              <w:left w:val="nil"/>
              <w:bottom w:val="nil"/>
              <w:right w:val="single" w:sz="4" w:space="0" w:color="auto"/>
            </w:tcBorders>
            <w:shd w:val="clear" w:color="auto" w:fill="FFFFFF" w:themeFill="background1"/>
            <w:noWrap/>
            <w:vAlign w:val="center"/>
            <w:hideMark/>
          </w:tcPr>
          <w:p w14:paraId="1938D497" w14:textId="77777777" w:rsidR="00301B8F" w:rsidRPr="00445A65" w:rsidRDefault="00301B8F" w:rsidP="00301B8F">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Imperial</w:t>
            </w:r>
          </w:p>
        </w:tc>
        <w:tc>
          <w:tcPr>
            <w:tcW w:w="0" w:type="auto"/>
            <w:tcBorders>
              <w:top w:val="nil"/>
              <w:left w:val="single" w:sz="4" w:space="0" w:color="auto"/>
              <w:bottom w:val="nil"/>
              <w:right w:val="nil"/>
            </w:tcBorders>
            <w:shd w:val="clear" w:color="auto" w:fill="FFFFFF" w:themeFill="background1"/>
            <w:noWrap/>
            <w:vAlign w:val="center"/>
            <w:hideMark/>
          </w:tcPr>
          <w:p w14:paraId="34407315" w14:textId="5E5C8795"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7 (18;-2)</w:t>
            </w:r>
          </w:p>
        </w:tc>
        <w:tc>
          <w:tcPr>
            <w:tcW w:w="0" w:type="auto"/>
            <w:tcBorders>
              <w:top w:val="nil"/>
              <w:left w:val="nil"/>
              <w:bottom w:val="nil"/>
              <w:right w:val="nil"/>
            </w:tcBorders>
            <w:shd w:val="clear" w:color="auto" w:fill="FFFFFF" w:themeFill="background1"/>
            <w:noWrap/>
            <w:vAlign w:val="center"/>
            <w:hideMark/>
          </w:tcPr>
          <w:p w14:paraId="278BB862" w14:textId="1ECA46E8"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26 (37;16)</w:t>
            </w:r>
          </w:p>
        </w:tc>
        <w:tc>
          <w:tcPr>
            <w:tcW w:w="0" w:type="auto"/>
            <w:tcBorders>
              <w:top w:val="nil"/>
              <w:left w:val="nil"/>
              <w:bottom w:val="nil"/>
              <w:right w:val="nil"/>
            </w:tcBorders>
            <w:shd w:val="clear" w:color="auto" w:fill="FFFFFF" w:themeFill="background1"/>
            <w:noWrap/>
            <w:vAlign w:val="center"/>
            <w:hideMark/>
          </w:tcPr>
          <w:p w14:paraId="362D5394" w14:textId="46DB4F41"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36 (46;27)</w:t>
            </w:r>
          </w:p>
        </w:tc>
        <w:tc>
          <w:tcPr>
            <w:tcW w:w="0" w:type="auto"/>
            <w:tcBorders>
              <w:top w:val="nil"/>
              <w:left w:val="nil"/>
              <w:bottom w:val="nil"/>
              <w:right w:val="nil"/>
            </w:tcBorders>
            <w:shd w:val="clear" w:color="auto" w:fill="FFFFFF" w:themeFill="background1"/>
            <w:noWrap/>
            <w:vAlign w:val="center"/>
            <w:hideMark/>
          </w:tcPr>
          <w:p w14:paraId="03EC35A7" w14:textId="667C5E28"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36 (45;26)</w:t>
            </w:r>
          </w:p>
        </w:tc>
      </w:tr>
      <w:tr w:rsidR="00301B8F" w:rsidRPr="00445A65" w14:paraId="3EF353E5" w14:textId="77777777" w:rsidTr="00ED4A5F">
        <w:trPr>
          <w:trHeight w:val="300"/>
        </w:trPr>
        <w:tc>
          <w:tcPr>
            <w:tcW w:w="0" w:type="auto"/>
            <w:tcBorders>
              <w:top w:val="nil"/>
              <w:left w:val="nil"/>
              <w:bottom w:val="nil"/>
              <w:right w:val="single" w:sz="4" w:space="0" w:color="auto"/>
            </w:tcBorders>
            <w:shd w:val="clear" w:color="auto" w:fill="E7E6E6" w:themeFill="background2"/>
            <w:noWrap/>
            <w:vAlign w:val="center"/>
            <w:hideMark/>
          </w:tcPr>
          <w:p w14:paraId="132D754C" w14:textId="77777777" w:rsidR="00301B8F" w:rsidRPr="00445A65" w:rsidRDefault="00301B8F" w:rsidP="00301B8F">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Notre Dame</w:t>
            </w:r>
          </w:p>
        </w:tc>
        <w:tc>
          <w:tcPr>
            <w:tcW w:w="0" w:type="auto"/>
            <w:tcBorders>
              <w:top w:val="nil"/>
              <w:left w:val="single" w:sz="4" w:space="0" w:color="auto"/>
              <w:bottom w:val="nil"/>
              <w:right w:val="nil"/>
            </w:tcBorders>
            <w:shd w:val="clear" w:color="auto" w:fill="E7E6E6" w:themeFill="background2"/>
            <w:noWrap/>
            <w:vAlign w:val="center"/>
            <w:hideMark/>
          </w:tcPr>
          <w:p w14:paraId="51F9AFB0" w14:textId="4C3513CD"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2 (-2;10)</w:t>
            </w:r>
          </w:p>
        </w:tc>
        <w:tc>
          <w:tcPr>
            <w:tcW w:w="0" w:type="auto"/>
            <w:tcBorders>
              <w:top w:val="nil"/>
              <w:left w:val="nil"/>
              <w:bottom w:val="nil"/>
              <w:right w:val="nil"/>
            </w:tcBorders>
            <w:shd w:val="clear" w:color="auto" w:fill="E7E6E6" w:themeFill="background2"/>
            <w:noWrap/>
            <w:vAlign w:val="center"/>
            <w:hideMark/>
          </w:tcPr>
          <w:p w14:paraId="72D5CCEC" w14:textId="2B456F33"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21 (16;27)</w:t>
            </w:r>
          </w:p>
        </w:tc>
        <w:tc>
          <w:tcPr>
            <w:tcW w:w="0" w:type="auto"/>
            <w:tcBorders>
              <w:top w:val="nil"/>
              <w:left w:val="nil"/>
              <w:bottom w:val="nil"/>
              <w:right w:val="nil"/>
            </w:tcBorders>
            <w:shd w:val="clear" w:color="auto" w:fill="E7E6E6" w:themeFill="background2"/>
            <w:noWrap/>
            <w:vAlign w:val="center"/>
            <w:hideMark/>
          </w:tcPr>
          <w:p w14:paraId="0F237FB6" w14:textId="21C7B532"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36 (32;39)</w:t>
            </w:r>
          </w:p>
        </w:tc>
        <w:tc>
          <w:tcPr>
            <w:tcW w:w="0" w:type="auto"/>
            <w:tcBorders>
              <w:top w:val="nil"/>
              <w:left w:val="nil"/>
              <w:bottom w:val="nil"/>
              <w:right w:val="nil"/>
            </w:tcBorders>
            <w:shd w:val="clear" w:color="auto" w:fill="E7E6E6" w:themeFill="background2"/>
            <w:noWrap/>
            <w:vAlign w:val="center"/>
            <w:hideMark/>
          </w:tcPr>
          <w:p w14:paraId="5FE713E6" w14:textId="057F0573"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35 (28;39)</w:t>
            </w:r>
          </w:p>
        </w:tc>
      </w:tr>
      <w:tr w:rsidR="00301B8F" w:rsidRPr="00445A65" w14:paraId="18E47CB0" w14:textId="77777777" w:rsidTr="00ED4A5F">
        <w:trPr>
          <w:trHeight w:val="300"/>
        </w:trPr>
        <w:tc>
          <w:tcPr>
            <w:tcW w:w="0" w:type="auto"/>
            <w:tcBorders>
              <w:top w:val="nil"/>
              <w:left w:val="nil"/>
              <w:bottom w:val="nil"/>
              <w:right w:val="single" w:sz="4" w:space="0" w:color="auto"/>
            </w:tcBorders>
            <w:shd w:val="clear" w:color="auto" w:fill="FFFFFF" w:themeFill="background1"/>
            <w:noWrap/>
            <w:vAlign w:val="center"/>
            <w:hideMark/>
          </w:tcPr>
          <w:p w14:paraId="17E63CE7" w14:textId="77777777" w:rsidR="00301B8F" w:rsidRPr="00445A65" w:rsidRDefault="00301B8F" w:rsidP="00301B8F">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Sanofi Pasteur</w:t>
            </w:r>
          </w:p>
        </w:tc>
        <w:tc>
          <w:tcPr>
            <w:tcW w:w="0" w:type="auto"/>
            <w:tcBorders>
              <w:top w:val="nil"/>
              <w:left w:val="single" w:sz="4" w:space="0" w:color="auto"/>
              <w:right w:val="nil"/>
            </w:tcBorders>
            <w:shd w:val="clear" w:color="auto" w:fill="FFFFFF" w:themeFill="background1"/>
            <w:noWrap/>
            <w:vAlign w:val="center"/>
            <w:hideMark/>
          </w:tcPr>
          <w:p w14:paraId="76BB330C" w14:textId="7500CEC9"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14 (6;24)</w:t>
            </w:r>
          </w:p>
        </w:tc>
        <w:tc>
          <w:tcPr>
            <w:tcW w:w="0" w:type="auto"/>
            <w:tcBorders>
              <w:top w:val="nil"/>
              <w:left w:val="nil"/>
              <w:bottom w:val="nil"/>
              <w:right w:val="nil"/>
            </w:tcBorders>
            <w:shd w:val="clear" w:color="auto" w:fill="FFFFFF" w:themeFill="background1"/>
            <w:noWrap/>
            <w:vAlign w:val="center"/>
            <w:hideMark/>
          </w:tcPr>
          <w:p w14:paraId="06A237FE" w14:textId="3B09F632"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24 (15;34)</w:t>
            </w:r>
          </w:p>
        </w:tc>
        <w:tc>
          <w:tcPr>
            <w:tcW w:w="0" w:type="auto"/>
            <w:tcBorders>
              <w:top w:val="nil"/>
              <w:left w:val="nil"/>
              <w:bottom w:val="nil"/>
              <w:right w:val="nil"/>
            </w:tcBorders>
            <w:shd w:val="clear" w:color="auto" w:fill="FFFFFF" w:themeFill="background1"/>
            <w:noWrap/>
            <w:vAlign w:val="center"/>
            <w:hideMark/>
          </w:tcPr>
          <w:p w14:paraId="184ABCA7" w14:textId="0836BBB4"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29 (23;40)</w:t>
            </w:r>
          </w:p>
        </w:tc>
        <w:tc>
          <w:tcPr>
            <w:tcW w:w="0" w:type="auto"/>
            <w:tcBorders>
              <w:top w:val="nil"/>
              <w:left w:val="nil"/>
              <w:bottom w:val="nil"/>
              <w:right w:val="nil"/>
            </w:tcBorders>
            <w:shd w:val="clear" w:color="auto" w:fill="FFFFFF" w:themeFill="background1"/>
            <w:noWrap/>
            <w:vAlign w:val="center"/>
            <w:hideMark/>
          </w:tcPr>
          <w:p w14:paraId="0634210C" w14:textId="36CB8C35"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23 (18;28)</w:t>
            </w:r>
          </w:p>
        </w:tc>
      </w:tr>
      <w:tr w:rsidR="00301B8F" w:rsidRPr="00445A65" w14:paraId="2C9598D6" w14:textId="77777777" w:rsidTr="00ED4A5F">
        <w:trPr>
          <w:trHeight w:val="300"/>
        </w:trPr>
        <w:tc>
          <w:tcPr>
            <w:tcW w:w="0" w:type="auto"/>
            <w:tcBorders>
              <w:top w:val="nil"/>
              <w:left w:val="nil"/>
              <w:bottom w:val="nil"/>
              <w:right w:val="single" w:sz="4" w:space="0" w:color="auto"/>
            </w:tcBorders>
            <w:shd w:val="clear" w:color="auto" w:fill="E7E6E6" w:themeFill="background2"/>
            <w:noWrap/>
            <w:vAlign w:val="center"/>
            <w:hideMark/>
          </w:tcPr>
          <w:p w14:paraId="10902FAD" w14:textId="77777777" w:rsidR="00301B8F" w:rsidRPr="00445A65" w:rsidRDefault="00301B8F" w:rsidP="00301B8F">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UF</w:t>
            </w:r>
          </w:p>
        </w:tc>
        <w:tc>
          <w:tcPr>
            <w:tcW w:w="0" w:type="auto"/>
            <w:tcBorders>
              <w:top w:val="nil"/>
              <w:left w:val="single" w:sz="4" w:space="0" w:color="auto"/>
              <w:bottom w:val="nil"/>
              <w:right w:val="nil"/>
            </w:tcBorders>
            <w:shd w:val="clear" w:color="auto" w:fill="E7E6E6" w:themeFill="background2"/>
            <w:noWrap/>
            <w:vAlign w:val="center"/>
            <w:hideMark/>
          </w:tcPr>
          <w:p w14:paraId="0681BB1F" w14:textId="39CEA05A"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16 (13;19)</w:t>
            </w:r>
          </w:p>
        </w:tc>
        <w:tc>
          <w:tcPr>
            <w:tcW w:w="0" w:type="auto"/>
            <w:tcBorders>
              <w:top w:val="nil"/>
              <w:left w:val="nil"/>
              <w:bottom w:val="nil"/>
              <w:right w:val="nil"/>
            </w:tcBorders>
            <w:shd w:val="clear" w:color="auto" w:fill="E7E6E6" w:themeFill="background2"/>
            <w:noWrap/>
            <w:vAlign w:val="center"/>
            <w:hideMark/>
          </w:tcPr>
          <w:p w14:paraId="39F43B60" w14:textId="46EA6108"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30 (27;34)</w:t>
            </w:r>
          </w:p>
        </w:tc>
        <w:tc>
          <w:tcPr>
            <w:tcW w:w="0" w:type="auto"/>
            <w:tcBorders>
              <w:top w:val="nil"/>
              <w:left w:val="nil"/>
              <w:bottom w:val="nil"/>
              <w:right w:val="nil"/>
            </w:tcBorders>
            <w:shd w:val="clear" w:color="auto" w:fill="E7E6E6" w:themeFill="background2"/>
            <w:noWrap/>
            <w:vAlign w:val="center"/>
            <w:hideMark/>
          </w:tcPr>
          <w:p w14:paraId="6996A4AB" w14:textId="28993C8F"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34 (29;38)</w:t>
            </w:r>
          </w:p>
        </w:tc>
        <w:tc>
          <w:tcPr>
            <w:tcW w:w="0" w:type="auto"/>
            <w:tcBorders>
              <w:top w:val="nil"/>
              <w:left w:val="nil"/>
              <w:bottom w:val="nil"/>
              <w:right w:val="nil"/>
            </w:tcBorders>
            <w:shd w:val="clear" w:color="auto" w:fill="E7E6E6" w:themeFill="background2"/>
            <w:noWrap/>
            <w:vAlign w:val="center"/>
            <w:hideMark/>
          </w:tcPr>
          <w:p w14:paraId="5338294F" w14:textId="19B50CD3"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33 (29;38)</w:t>
            </w:r>
          </w:p>
        </w:tc>
      </w:tr>
      <w:tr w:rsidR="00301B8F" w:rsidRPr="00445A65" w14:paraId="0CE92FD9" w14:textId="77777777" w:rsidTr="00ED4A5F">
        <w:trPr>
          <w:trHeight w:val="300"/>
        </w:trPr>
        <w:tc>
          <w:tcPr>
            <w:tcW w:w="0" w:type="auto"/>
            <w:tcBorders>
              <w:top w:val="nil"/>
              <w:left w:val="nil"/>
              <w:bottom w:val="nil"/>
              <w:right w:val="single" w:sz="4" w:space="0" w:color="auto"/>
            </w:tcBorders>
            <w:shd w:val="clear" w:color="auto" w:fill="FFFFFF" w:themeFill="background1"/>
            <w:noWrap/>
            <w:vAlign w:val="center"/>
            <w:hideMark/>
          </w:tcPr>
          <w:p w14:paraId="02151B1E" w14:textId="77777777" w:rsidR="00301B8F" w:rsidRPr="00445A65" w:rsidRDefault="00301B8F" w:rsidP="00301B8F">
            <w:pPr>
              <w:spacing w:after="0" w:line="240" w:lineRule="auto"/>
              <w:jc w:val="center"/>
              <w:rPr>
                <w:rFonts w:ascii="Calibri" w:eastAsia="Times New Roman" w:hAnsi="Calibri" w:cs="Calibri"/>
                <w:color w:val="000000" w:themeColor="text1"/>
                <w:sz w:val="16"/>
                <w:szCs w:val="16"/>
                <w:lang w:eastAsia="en-GB"/>
              </w:rPr>
            </w:pPr>
            <w:r w:rsidRPr="00445A65">
              <w:rPr>
                <w:rFonts w:ascii="Calibri" w:eastAsia="Times New Roman" w:hAnsi="Calibri" w:cs="Calibri"/>
                <w:color w:val="000000" w:themeColor="text1"/>
                <w:sz w:val="16"/>
                <w:szCs w:val="16"/>
                <w:lang w:eastAsia="en-GB"/>
              </w:rPr>
              <w:t>UWA</w:t>
            </w:r>
          </w:p>
        </w:tc>
        <w:tc>
          <w:tcPr>
            <w:tcW w:w="0" w:type="auto"/>
            <w:tcBorders>
              <w:top w:val="nil"/>
              <w:left w:val="single" w:sz="4" w:space="0" w:color="auto"/>
              <w:bottom w:val="nil"/>
              <w:right w:val="nil"/>
            </w:tcBorders>
            <w:shd w:val="clear" w:color="auto" w:fill="FFFFFF" w:themeFill="background1"/>
            <w:noWrap/>
            <w:vAlign w:val="center"/>
            <w:hideMark/>
          </w:tcPr>
          <w:p w14:paraId="7EBE0B69" w14:textId="51B9AA15"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9 (-1;19)</w:t>
            </w:r>
          </w:p>
        </w:tc>
        <w:tc>
          <w:tcPr>
            <w:tcW w:w="0" w:type="auto"/>
            <w:tcBorders>
              <w:top w:val="nil"/>
              <w:left w:val="nil"/>
              <w:bottom w:val="nil"/>
              <w:right w:val="nil"/>
            </w:tcBorders>
            <w:shd w:val="clear" w:color="auto" w:fill="FFFFFF" w:themeFill="background1"/>
            <w:noWrap/>
            <w:vAlign w:val="center"/>
            <w:hideMark/>
          </w:tcPr>
          <w:p w14:paraId="5BC8C038" w14:textId="5ABEC0A4"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42 (34;50)</w:t>
            </w:r>
          </w:p>
        </w:tc>
        <w:tc>
          <w:tcPr>
            <w:tcW w:w="0" w:type="auto"/>
            <w:tcBorders>
              <w:top w:val="nil"/>
              <w:left w:val="nil"/>
              <w:bottom w:val="nil"/>
              <w:right w:val="nil"/>
            </w:tcBorders>
            <w:shd w:val="clear" w:color="auto" w:fill="FFFFFF" w:themeFill="background1"/>
            <w:noWrap/>
            <w:vAlign w:val="center"/>
            <w:hideMark/>
          </w:tcPr>
          <w:p w14:paraId="3F8305AD" w14:textId="62F14BB0"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44 (37;52)</w:t>
            </w:r>
          </w:p>
        </w:tc>
        <w:tc>
          <w:tcPr>
            <w:tcW w:w="0" w:type="auto"/>
            <w:tcBorders>
              <w:top w:val="nil"/>
              <w:left w:val="nil"/>
              <w:bottom w:val="nil"/>
              <w:right w:val="nil"/>
            </w:tcBorders>
            <w:shd w:val="clear" w:color="auto" w:fill="FFFFFF" w:themeFill="background1"/>
            <w:noWrap/>
            <w:vAlign w:val="center"/>
            <w:hideMark/>
          </w:tcPr>
          <w:p w14:paraId="207D95D1" w14:textId="5DF17F4B" w:rsidR="00301B8F" w:rsidRPr="00301B8F" w:rsidRDefault="00301B8F">
            <w:pPr>
              <w:spacing w:after="0" w:line="240" w:lineRule="auto"/>
              <w:jc w:val="center"/>
              <w:rPr>
                <w:rFonts w:ascii="Calibri" w:eastAsia="Times New Roman" w:hAnsi="Calibri" w:cs="Calibri"/>
                <w:color w:val="000000" w:themeColor="text1"/>
                <w:sz w:val="16"/>
                <w:szCs w:val="16"/>
                <w:lang w:eastAsia="en-GB"/>
              </w:rPr>
            </w:pPr>
            <w:r w:rsidRPr="00ED4A5F">
              <w:rPr>
                <w:sz w:val="16"/>
                <w:szCs w:val="16"/>
              </w:rPr>
              <w:t>38 (30;45)</w:t>
            </w:r>
          </w:p>
        </w:tc>
      </w:tr>
    </w:tbl>
    <w:p w14:paraId="68DD3ECB" w14:textId="77777777" w:rsidR="00445A65" w:rsidRPr="00445A65" w:rsidRDefault="00445A65" w:rsidP="00445A65">
      <w:pPr>
        <w:rPr>
          <w:color w:val="000000" w:themeColor="text1"/>
        </w:rPr>
        <w:sectPr w:rsidR="00445A65" w:rsidRPr="00445A65" w:rsidSect="00F961CB">
          <w:pgSz w:w="11906" w:h="16838"/>
          <w:pgMar w:top="1440" w:right="1440" w:bottom="1440" w:left="1440" w:header="708" w:footer="708" w:gutter="0"/>
          <w:lnNumType w:countBy="1" w:restart="continuous"/>
          <w:cols w:space="708"/>
          <w:docGrid w:linePitch="360"/>
        </w:sectPr>
      </w:pPr>
    </w:p>
    <w:p w14:paraId="572FED29" w14:textId="6B94A919" w:rsidR="00445A65" w:rsidRPr="00445A65" w:rsidRDefault="00445A65" w:rsidP="00445A65">
      <w:pPr>
        <w:pStyle w:val="Heading2"/>
        <w:rPr>
          <w:color w:val="000000" w:themeColor="text1"/>
        </w:rPr>
      </w:pPr>
      <w:bookmarkStart w:id="16" w:name="_Ref450219840"/>
      <w:r w:rsidRPr="00445A65">
        <w:rPr>
          <w:color w:val="000000" w:themeColor="text1"/>
        </w:rPr>
        <w:lastRenderedPageBreak/>
        <w:t>Including Y</w:t>
      </w:r>
      <w:r w:rsidR="000220E2">
        <w:rPr>
          <w:color w:val="000000" w:themeColor="text1"/>
        </w:rPr>
        <w:t>2</w:t>
      </w:r>
      <w:r w:rsidRPr="00445A65">
        <w:rPr>
          <w:color w:val="000000" w:themeColor="text1"/>
        </w:rPr>
        <w:t xml:space="preserve"> LTFU data</w:t>
      </w:r>
      <w:bookmarkEnd w:id="16"/>
    </w:p>
    <w:p w14:paraId="64AA1A47" w14:textId="1F5CF16F" w:rsidR="00445A65" w:rsidRDefault="00445A65" w:rsidP="00445A65">
      <w:pPr>
        <w:pStyle w:val="Heading3"/>
        <w:rPr>
          <w:color w:val="000000" w:themeColor="text1"/>
        </w:rPr>
      </w:pPr>
      <w:r w:rsidRPr="00445A65">
        <w:rPr>
          <w:color w:val="000000" w:themeColor="text1"/>
        </w:rPr>
        <w:t>Inclusion without additional fit</w:t>
      </w:r>
    </w:p>
    <w:p w14:paraId="15F44F24" w14:textId="2C7B635A" w:rsidR="00D901EF" w:rsidRPr="00644EC8" w:rsidRDefault="00D901EF" w:rsidP="00644EC8">
      <w:r>
        <w:t xml:space="preserve">Data from the second year of passive follow </w:t>
      </w:r>
      <w:r w:rsidR="000220E2">
        <w:t>up (LTFUY2 – the 4</w:t>
      </w:r>
      <w:r w:rsidR="000220E2" w:rsidRPr="000220E2">
        <w:rPr>
          <w:vertAlign w:val="superscript"/>
        </w:rPr>
        <w:t>th</w:t>
      </w:r>
      <w:r w:rsidR="000220E2">
        <w:t xml:space="preserve"> year after the start of the trial) </w:t>
      </w:r>
      <w:r>
        <w:t xml:space="preserve">have just become publically available. Using the models parameterised to data from the first three years of the trial we predicted a </w:t>
      </w:r>
      <w:r w:rsidR="009D2B49">
        <w:t>fourth</w:t>
      </w:r>
      <w:r>
        <w:t xml:space="preserve"> year in the trial setting and compared our results to </w:t>
      </w:r>
      <w:r w:rsidR="00D40AD7">
        <w:t>the trial observations (Figure M</w:t>
      </w:r>
      <w:r w:rsidR="009D2B49">
        <w:t xml:space="preserve">). </w:t>
      </w:r>
      <w:r w:rsidR="00A22C36">
        <w:t xml:space="preserve">Given overall dengue attack rates in the trial varied substantially between Y3 and Y4, we present the comparison with model output in terms of the relative risk of hospitalised dengue by age group, comparing the vaccine and control arms. </w:t>
      </w:r>
      <w:r w:rsidR="009D2B49">
        <w:t xml:space="preserve">Most models predict rather subtle change in the relative risks for hospitalisation due to dengue from </w:t>
      </w:r>
      <w:r w:rsidR="000220E2">
        <w:t>LTFUY1 to LTFUY2</w:t>
      </w:r>
      <w:r w:rsidR="009D2B49">
        <w:t>.  While this led to an improved fit of the models for LTFUY2 data in 2-5y olds and 12-14 year olds if compared with LTFUY1 data</w:t>
      </w:r>
      <w:r w:rsidR="00572320">
        <w:t>,</w:t>
      </w:r>
      <w:r w:rsidR="009D2B49">
        <w:t xml:space="preserve"> no model reproduced the increased risk of hospitalisation in 6-11</w:t>
      </w:r>
      <w:r w:rsidR="00572320">
        <w:t xml:space="preserve"> years old vaccinees in LTFUY2. Although UF reports relatively high mean attack rates, these are strongly affected by a small number of outliers: median attack rates are closer to the empirical data (from left to right </w:t>
      </w:r>
      <w:r w:rsidR="00E75D06">
        <w:t xml:space="preserve">as </w:t>
      </w:r>
      <w:r w:rsidR="00572320">
        <w:t xml:space="preserve">in </w:t>
      </w:r>
      <w:r w:rsidR="001C5F3D">
        <w:t xml:space="preserve">Figure </w:t>
      </w:r>
      <w:r w:rsidR="00D40AD7">
        <w:t>L</w:t>
      </w:r>
      <w:r w:rsidR="001C5F3D">
        <w:t xml:space="preserve">: </w:t>
      </w:r>
      <w:r w:rsidR="00E75D06">
        <w:t xml:space="preserve">2-5y </w:t>
      </w:r>
      <w:r w:rsidR="00572320">
        <w:t>[0.0</w:t>
      </w:r>
      <w:r w:rsidR="00E75D06">
        <w:t>0</w:t>
      </w:r>
      <w:r w:rsidR="00572320">
        <w:t>8, 0.</w:t>
      </w:r>
      <w:r w:rsidR="00E75D06">
        <w:t>010</w:t>
      </w:r>
      <w:r w:rsidR="00572320">
        <w:t>],</w:t>
      </w:r>
      <w:r w:rsidR="00E75D06">
        <w:t xml:space="preserve"> 6-11y </w:t>
      </w:r>
      <w:r w:rsidR="00572320">
        <w:t>[</w:t>
      </w:r>
      <w:r w:rsidR="00E75D06">
        <w:t>0.008, 0.006</w:t>
      </w:r>
      <w:r w:rsidR="00572320">
        <w:t>],</w:t>
      </w:r>
      <w:r w:rsidR="00E75D06">
        <w:t xml:space="preserve"> 12-14y </w:t>
      </w:r>
      <w:r w:rsidR="00572320">
        <w:t>[</w:t>
      </w:r>
      <w:r w:rsidR="00E75D06">
        <w:t>0.007, 0.004</w:t>
      </w:r>
      <w:r w:rsidR="00572320">
        <w:t>]).</w:t>
      </w:r>
    </w:p>
    <w:p w14:paraId="6CBF1492" w14:textId="77777777" w:rsidR="00445A65" w:rsidRPr="00445A65" w:rsidRDefault="00445A65" w:rsidP="00445A65">
      <w:pPr>
        <w:rPr>
          <w:color w:val="000000" w:themeColor="text1"/>
        </w:rPr>
      </w:pPr>
    </w:p>
    <w:p w14:paraId="7529FD49" w14:textId="6B613DC3" w:rsidR="00131C8A" w:rsidRDefault="002A562D" w:rsidP="00131C8A">
      <w:pPr>
        <w:keepNext/>
      </w:pPr>
      <w:r>
        <w:rPr>
          <w:noProof/>
          <w:lang w:eastAsia="en-GB"/>
        </w:rPr>
        <w:drawing>
          <wp:inline distT="0" distB="0" distL="0" distR="0" wp14:anchorId="0579C762" wp14:editId="51CE1DFC">
            <wp:extent cx="5734050" cy="2295525"/>
            <wp:effectExtent l="0" t="0" r="0" b="9525"/>
            <wp:docPr id="2" name="Picture 2" descr="C:\Users\EIDESFLA\Dropbox\CMDVI\Phase II analysis\Figures\Fit\CYD14Hospital_phase_realtiveRiskY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DESFLA\Dropbox\CMDVI\Phase II analysis\Figures\Fit\CYD14Hospital_phase_realtiveRiskY12.ti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2295525"/>
                    </a:xfrm>
                    <a:prstGeom prst="rect">
                      <a:avLst/>
                    </a:prstGeom>
                    <a:noFill/>
                    <a:ln>
                      <a:noFill/>
                    </a:ln>
                  </pic:spPr>
                </pic:pic>
              </a:graphicData>
            </a:graphic>
          </wp:inline>
        </w:drawing>
      </w:r>
    </w:p>
    <w:p w14:paraId="79850BC3" w14:textId="119DCA00" w:rsidR="00445A65" w:rsidRPr="00587AF3" w:rsidRDefault="00131C8A" w:rsidP="00587AF3">
      <w:pPr>
        <w:pStyle w:val="Caption"/>
        <w:rPr>
          <w:color w:val="000000" w:themeColor="text1"/>
        </w:rPr>
      </w:pPr>
      <w:r w:rsidRPr="00131C8A">
        <w:rPr>
          <w:color w:val="000000" w:themeColor="text1"/>
        </w:rPr>
        <w:t>Figure</w:t>
      </w:r>
      <w:r w:rsidR="00E3248D">
        <w:rPr>
          <w:color w:val="000000" w:themeColor="text1"/>
        </w:rPr>
        <w:t xml:space="preserve"> M</w:t>
      </w:r>
      <w:r w:rsidR="00587AF3">
        <w:rPr>
          <w:color w:val="000000" w:themeColor="text1"/>
        </w:rPr>
        <w:t>: predictions for year 2 of the long term follow up (LTFUY2). The relative risks for dengue hospitalisation in LTFUY1 and LTFUY2</w:t>
      </w:r>
      <w:r w:rsidR="00A22C36">
        <w:rPr>
          <w:color w:val="000000" w:themeColor="text1"/>
        </w:rPr>
        <w:t xml:space="preserve"> are shown</w:t>
      </w:r>
      <w:r w:rsidR="00587AF3">
        <w:rPr>
          <w:color w:val="000000" w:themeColor="text1"/>
        </w:rPr>
        <w:t xml:space="preserve">. </w:t>
      </w:r>
      <w:r w:rsidR="000220E2">
        <w:rPr>
          <w:color w:val="000000" w:themeColor="text1"/>
        </w:rPr>
        <w:t>Note that while the mean attack rate among vaccinees 2-5 years old in the UF model is lower than that among controls the paired posterior samples show a</w:t>
      </w:r>
      <w:r w:rsidR="004F5FAF">
        <w:rPr>
          <w:color w:val="000000" w:themeColor="text1"/>
        </w:rPr>
        <w:t>n</w:t>
      </w:r>
      <w:r w:rsidR="000220E2">
        <w:rPr>
          <w:color w:val="000000" w:themeColor="text1"/>
        </w:rPr>
        <w:t xml:space="preserve"> increased relative risk among vaccinees. </w:t>
      </w:r>
      <w:r w:rsidR="00587AF3" w:rsidRPr="00587AF3">
        <w:rPr>
          <w:color w:val="000000" w:themeColor="text1"/>
        </w:rPr>
        <w:t>For the data (black) dots report mean estimates and error bars 95% binomial confidence intervals. For model predictions dots report mean estimates and error bars the 95% range of simulations.</w:t>
      </w:r>
    </w:p>
    <w:p w14:paraId="0021393F" w14:textId="77777777" w:rsidR="00445A65" w:rsidRPr="00445A65" w:rsidRDefault="00445A65" w:rsidP="00445A65">
      <w:pPr>
        <w:rPr>
          <w:color w:val="000000" w:themeColor="text1"/>
        </w:rPr>
      </w:pPr>
    </w:p>
    <w:p w14:paraId="159DCDAD" w14:textId="7DEED67D" w:rsidR="00445A65" w:rsidRDefault="00445A65" w:rsidP="00445A65">
      <w:pPr>
        <w:pStyle w:val="Heading3"/>
        <w:rPr>
          <w:color w:val="000000" w:themeColor="text1"/>
        </w:rPr>
      </w:pPr>
      <w:r w:rsidRPr="00445A65">
        <w:rPr>
          <w:color w:val="000000" w:themeColor="text1"/>
        </w:rPr>
        <w:t>Inclusion with fitting</w:t>
      </w:r>
    </w:p>
    <w:p w14:paraId="4FF10C2A" w14:textId="24349B05" w:rsidR="00015979" w:rsidRDefault="004F5FAF" w:rsidP="009D2B49">
      <w:r>
        <w:t>Four</w:t>
      </w:r>
      <w:r w:rsidR="009D2B49">
        <w:t xml:space="preserve"> groups also included the new LTFUY2 data into their model fits</w:t>
      </w:r>
      <w:r w:rsidR="00015979">
        <w:t>. For the Sanofi Pasteur model this meant including disaggregated data of years 1 to 3 and aggregated data from Y4. Furthermore, the Sanofi Pasteur model was adapted to include increased efficacy with severity and differential efficacy with age</w:t>
      </w:r>
      <w:r w:rsidR="009D2B49">
        <w:t>.</w:t>
      </w:r>
      <w:r w:rsidR="00015979">
        <w:t xml:space="preserve"> </w:t>
      </w:r>
      <w:r w:rsidR="009D2B49">
        <w:t xml:space="preserve"> </w:t>
      </w:r>
    </w:p>
    <w:p w14:paraId="4EA7854D" w14:textId="1140885D" w:rsidR="009D2B49" w:rsidRPr="009D2B49" w:rsidRDefault="00A22C36" w:rsidP="009D2B49">
      <w:r>
        <w:t>I</w:t>
      </w:r>
      <w:r w:rsidR="00015979">
        <w:t xml:space="preserve">ncluding the additional trial data </w:t>
      </w:r>
      <w:r>
        <w:t xml:space="preserve">led to very minor changes in </w:t>
      </w:r>
      <w:r w:rsidR="004F5FAF">
        <w:t>parameter estimates</w:t>
      </w:r>
      <w:r w:rsidR="009D2B49">
        <w:t xml:space="preserve"> </w:t>
      </w:r>
      <w:r>
        <w:t xml:space="preserve">for all models compared with estimates obtained from fitting to years 1 to 3 alone. </w:t>
      </w:r>
      <w:r w:rsidR="00015979">
        <w:t>T</w:t>
      </w:r>
      <w:r w:rsidR="00DC7260">
        <w:t xml:space="preserve">he increase in relative risk for hospitalisation </w:t>
      </w:r>
      <w:r>
        <w:t xml:space="preserve">in the </w:t>
      </w:r>
      <w:r w:rsidR="00DC7260">
        <w:t xml:space="preserve">6-11 </w:t>
      </w:r>
      <w:r>
        <w:t>year age group</w:t>
      </w:r>
      <w:r w:rsidR="00DC7260">
        <w:t xml:space="preserve"> </w:t>
      </w:r>
      <w:r w:rsidR="00015979">
        <w:t xml:space="preserve">in LTFUY2 </w:t>
      </w:r>
      <w:r w:rsidR="00DC7260">
        <w:t>could not be reproduced</w:t>
      </w:r>
      <w:r w:rsidR="00015979">
        <w:t xml:space="preserve"> by any of the models</w:t>
      </w:r>
      <w:r w:rsidR="001C5F3D">
        <w:t xml:space="preserve"> (</w:t>
      </w:r>
      <w:r w:rsidR="00D40AD7">
        <w:t>Figure N</w:t>
      </w:r>
      <w:r w:rsidR="006103D2">
        <w:t>)</w:t>
      </w:r>
      <w:r w:rsidR="00DC7260">
        <w:t xml:space="preserve">. Potential ways to enable enough flexibility of </w:t>
      </w:r>
      <w:r w:rsidR="004E3747">
        <w:t xml:space="preserve">the </w:t>
      </w:r>
      <w:r w:rsidR="00DC7260">
        <w:t xml:space="preserve">vaccine model to reproduce this </w:t>
      </w:r>
      <w:r w:rsidR="00DC7260">
        <w:lastRenderedPageBreak/>
        <w:t xml:space="preserve">increased risk could include waning immunity of seropositive individuals. This in turn would lead to more pessimistic long-term predictions of the impact of Dengvaxia®. Data from another year of follow-up is </w:t>
      </w:r>
      <w:r>
        <w:t xml:space="preserve">needed </w:t>
      </w:r>
      <w:r w:rsidR="00DC7260">
        <w:t>to establish if th</w:t>
      </w:r>
      <w:r>
        <w:t>ese trends continue, thus potentially requiring revision of the model of vaccine action used here</w:t>
      </w:r>
      <w:r w:rsidR="00DC7260">
        <w:t>.</w:t>
      </w:r>
      <w:r w:rsidR="00015979">
        <w:t xml:space="preserve"> </w:t>
      </w:r>
    </w:p>
    <w:p w14:paraId="237B0038" w14:textId="2E54D845" w:rsidR="00131C8A" w:rsidRDefault="00131C8A" w:rsidP="00131C8A">
      <w:pPr>
        <w:keepNext/>
      </w:pPr>
    </w:p>
    <w:p w14:paraId="61E82AA2" w14:textId="15057B42" w:rsidR="00445A65" w:rsidRPr="00131C8A" w:rsidRDefault="00A64CA4" w:rsidP="00131C8A">
      <w:pPr>
        <w:pStyle w:val="Caption"/>
        <w:rPr>
          <w:color w:val="000000" w:themeColor="text1"/>
        </w:rPr>
      </w:pPr>
      <w:r>
        <w:rPr>
          <w:noProof/>
          <w:color w:val="000000" w:themeColor="text1"/>
          <w:lang w:eastAsia="en-GB"/>
        </w:rPr>
        <w:drawing>
          <wp:inline distT="0" distB="0" distL="0" distR="0" wp14:anchorId="1F3DF0F2" wp14:editId="2E89B9F3">
            <wp:extent cx="5734050" cy="2295525"/>
            <wp:effectExtent l="0" t="0" r="0" b="9525"/>
            <wp:docPr id="8" name="Picture 8" descr="C:\Users\EIDESFLA\Dropbox\CMDVI\Phase II analysis\Figures\Fit\Y4_extension\CYD14Hospital_phase_realtiveRiskY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DESFLA\Dropbox\CMDVI\Phase II analysis\Figures\Fit\Y4_extension\CYD14Hospital_phase_realtiveRiskY12.ti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2295525"/>
                    </a:xfrm>
                    <a:prstGeom prst="rect">
                      <a:avLst/>
                    </a:prstGeom>
                    <a:noFill/>
                    <a:ln>
                      <a:noFill/>
                    </a:ln>
                  </pic:spPr>
                </pic:pic>
              </a:graphicData>
            </a:graphic>
          </wp:inline>
        </w:drawing>
      </w:r>
      <w:r w:rsidR="00131C8A" w:rsidRPr="00131C8A">
        <w:rPr>
          <w:color w:val="000000" w:themeColor="text1"/>
        </w:rPr>
        <w:t>Figure</w:t>
      </w:r>
      <w:r w:rsidR="00E3248D">
        <w:rPr>
          <w:color w:val="000000" w:themeColor="text1"/>
        </w:rPr>
        <w:t xml:space="preserve"> N</w:t>
      </w:r>
      <w:r w:rsidR="00587AF3">
        <w:rPr>
          <w:color w:val="000000" w:themeColor="text1"/>
        </w:rPr>
        <w:t xml:space="preserve">: </w:t>
      </w:r>
      <w:r w:rsidR="00E03A21">
        <w:rPr>
          <w:color w:val="000000" w:themeColor="text1"/>
        </w:rPr>
        <w:t xml:space="preserve">predictions resulting from model </w:t>
      </w:r>
      <w:r w:rsidR="00587AF3">
        <w:rPr>
          <w:color w:val="000000" w:themeColor="text1"/>
        </w:rPr>
        <w:t xml:space="preserve">fits </w:t>
      </w:r>
      <w:r w:rsidR="00E03A21">
        <w:rPr>
          <w:color w:val="000000" w:themeColor="text1"/>
        </w:rPr>
        <w:t xml:space="preserve">including </w:t>
      </w:r>
      <w:r w:rsidR="00587AF3">
        <w:rPr>
          <w:color w:val="000000" w:themeColor="text1"/>
        </w:rPr>
        <w:t>year 2 of the long term follow up (LTFUY2). The relative risks for dengue hospitalisation in LTFUY1 and LTFUY2</w:t>
      </w:r>
      <w:r w:rsidR="00A22C36">
        <w:rPr>
          <w:color w:val="000000" w:themeColor="text1"/>
        </w:rPr>
        <w:t xml:space="preserve"> are shown.</w:t>
      </w:r>
      <w:r w:rsidR="00587AF3">
        <w:rPr>
          <w:color w:val="000000" w:themeColor="text1"/>
        </w:rPr>
        <w:t xml:space="preserve"> </w:t>
      </w:r>
      <w:r w:rsidR="00587AF3" w:rsidRPr="00587AF3">
        <w:rPr>
          <w:color w:val="000000" w:themeColor="text1"/>
        </w:rPr>
        <w:t>For the data (black) dots report mean estimates and error bars 95% binomial confidence intervals. For model predictions dots report mean estimates and error bars the 95% range of simulations.</w:t>
      </w:r>
    </w:p>
    <w:p w14:paraId="22B86752" w14:textId="77777777" w:rsidR="00445A65" w:rsidRPr="00445A65" w:rsidRDefault="00445A65" w:rsidP="00445A65">
      <w:pPr>
        <w:rPr>
          <w:color w:val="000000" w:themeColor="text1"/>
        </w:rPr>
      </w:pPr>
    </w:p>
    <w:p w14:paraId="015EDEC0" w14:textId="77777777" w:rsidR="00445A65" w:rsidRPr="00445A65" w:rsidRDefault="00445A65" w:rsidP="00445A65">
      <w:pPr>
        <w:pStyle w:val="Heading2"/>
        <w:rPr>
          <w:color w:val="000000" w:themeColor="text1"/>
        </w:rPr>
      </w:pPr>
      <w:r w:rsidRPr="00445A65">
        <w:rPr>
          <w:color w:val="000000" w:themeColor="text1"/>
        </w:rPr>
        <w:t>References</w:t>
      </w:r>
    </w:p>
    <w:p w14:paraId="7376E066" w14:textId="31092FC5" w:rsidR="00262137" w:rsidRPr="00262137" w:rsidRDefault="00445A65" w:rsidP="00262137">
      <w:pPr>
        <w:widowControl w:val="0"/>
        <w:autoSpaceDE w:val="0"/>
        <w:autoSpaceDN w:val="0"/>
        <w:adjustRightInd w:val="0"/>
        <w:spacing w:line="240" w:lineRule="auto"/>
        <w:ind w:left="640" w:hanging="640"/>
        <w:rPr>
          <w:rFonts w:ascii="Calibri" w:hAnsi="Calibri" w:cs="Calibri"/>
          <w:noProof/>
          <w:szCs w:val="24"/>
        </w:rPr>
      </w:pPr>
      <w:r w:rsidRPr="00445A65">
        <w:rPr>
          <w:color w:val="000000" w:themeColor="text1"/>
        </w:rPr>
        <w:fldChar w:fldCharType="begin" w:fldLock="1"/>
      </w:r>
      <w:r w:rsidRPr="00445A65">
        <w:rPr>
          <w:color w:val="000000" w:themeColor="text1"/>
        </w:rPr>
        <w:instrText xml:space="preserve">ADDIN Mendeley Bibliography CSL_BIBLIOGRAPHY </w:instrText>
      </w:r>
      <w:r w:rsidRPr="00445A65">
        <w:rPr>
          <w:color w:val="000000" w:themeColor="text1"/>
        </w:rPr>
        <w:fldChar w:fldCharType="separate"/>
      </w:r>
      <w:r w:rsidR="00262137" w:rsidRPr="00262137">
        <w:rPr>
          <w:rFonts w:ascii="Calibri" w:hAnsi="Calibri" w:cs="Calibri"/>
          <w:noProof/>
          <w:szCs w:val="24"/>
        </w:rPr>
        <w:t xml:space="preserve">1. </w:t>
      </w:r>
      <w:r w:rsidR="00262137" w:rsidRPr="00262137">
        <w:rPr>
          <w:rFonts w:ascii="Calibri" w:hAnsi="Calibri" w:cs="Calibri"/>
          <w:noProof/>
          <w:szCs w:val="24"/>
        </w:rPr>
        <w:tab/>
        <w:t>Nagao Y, Koelle K. Decreases in dengue transmission may act to increase the incidence of dengue hemorrhagic fever. Proc Natl Acad Sci. 2008;105: 2238–2243. doi:10.1073/pnas.0709029105</w:t>
      </w:r>
    </w:p>
    <w:p w14:paraId="328B9600"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2. </w:t>
      </w:r>
      <w:r w:rsidRPr="00262137">
        <w:rPr>
          <w:rFonts w:ascii="Calibri" w:hAnsi="Calibri" w:cs="Calibri"/>
          <w:noProof/>
          <w:szCs w:val="24"/>
        </w:rPr>
        <w:tab/>
        <w:t>Lourenco J, Recker M. Natural, Persistent Oscillations in a Spatial Multi-Strain Disease System with Application to Dengue. Pascual M, editor. PLoS Comput Biol. Public Library of Science; 2013;9: e1003308. doi:10.1371/journal.pcbi.1003308</w:t>
      </w:r>
    </w:p>
    <w:p w14:paraId="30065C09"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3. </w:t>
      </w:r>
      <w:r w:rsidRPr="00262137">
        <w:rPr>
          <w:rFonts w:ascii="Calibri" w:hAnsi="Calibri" w:cs="Calibri"/>
          <w:noProof/>
          <w:szCs w:val="24"/>
        </w:rPr>
        <w:tab/>
        <w:t>Hladish TJ, Pearson CAB, Chao DL, Rojas DP, Recchia GL, Gómez-Dantés H, et al. Projected Impact of Dengue Vaccination in Yucatán, Mexico. Carvalho MS, editor. PLoS Negl Trop Dis. 2016;10: e0004661. doi:10.1371/journal.pntd.0004661</w:t>
      </w:r>
    </w:p>
    <w:p w14:paraId="7F059D88"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4. </w:t>
      </w:r>
      <w:r w:rsidRPr="00262137">
        <w:rPr>
          <w:rFonts w:ascii="Calibri" w:hAnsi="Calibri" w:cs="Calibri"/>
          <w:noProof/>
          <w:szCs w:val="24"/>
        </w:rPr>
        <w:tab/>
        <w:t>Ferguson NM, Rodriguez-Barraquer I, Dorigatti I, Mier-y-Teran-Romero L, Laydon DJ, Cummings DAT. Benefits and risks of the Sanofi-Pasteur dengue vaccine: Modeling optimal deployment. Science (80- ). 2016;353: 1033–1036. doi:10.1126/science.aaf9590</w:t>
      </w:r>
    </w:p>
    <w:p w14:paraId="15796990"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5. </w:t>
      </w:r>
      <w:r w:rsidRPr="00262137">
        <w:rPr>
          <w:rFonts w:ascii="Calibri" w:hAnsi="Calibri" w:cs="Calibri"/>
          <w:noProof/>
          <w:szCs w:val="24"/>
        </w:rPr>
        <w:tab/>
        <w:t>Rodriguez-Barraquer I, Mier-y-Teran-Romero L, Schwartz IB, Burke DS, Cummings DAT. Potential opportunities and perils of imperfect dengue vaccines. Vaccine. 2014;32: 514–20. doi:10.1016/j.vaccine.2013.11.020</w:t>
      </w:r>
    </w:p>
    <w:p w14:paraId="6DD3763A"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6. </w:t>
      </w:r>
      <w:r w:rsidRPr="00262137">
        <w:rPr>
          <w:rFonts w:ascii="Calibri" w:hAnsi="Calibri" w:cs="Calibri"/>
          <w:noProof/>
          <w:szCs w:val="24"/>
        </w:rPr>
        <w:tab/>
        <w:t>Rodríguez-Barraquer I, Buathong R, Iamsirithaworn S, Nisalak A, Lessler J, Jarman RG, et al. Revisiting Rayong: Shifting Seroprofiles of Dengue in Thailand and Their Implications for Transmission and Control. Am J Epidemiol. 2014;179: 353–360. doi:10.1093/aje/kwt256</w:t>
      </w:r>
    </w:p>
    <w:p w14:paraId="646B82C2" w14:textId="40CFB031"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7. </w:t>
      </w:r>
      <w:r w:rsidRPr="00262137">
        <w:rPr>
          <w:rFonts w:ascii="Calibri" w:hAnsi="Calibri" w:cs="Calibri"/>
          <w:noProof/>
          <w:szCs w:val="24"/>
        </w:rPr>
        <w:tab/>
        <w:t xml:space="preserve">Perkins TA, Reiner RC, ten Bosch QA, Espana G, Verma A, Liebman KA, et al. Statistical and </w:t>
      </w:r>
      <w:r w:rsidRPr="00262137">
        <w:rPr>
          <w:rFonts w:ascii="Calibri" w:hAnsi="Calibri" w:cs="Calibri"/>
          <w:noProof/>
          <w:szCs w:val="24"/>
        </w:rPr>
        <w:lastRenderedPageBreak/>
        <w:t>biological uncertainties associated with vaccine efficacy estimates and their implications for dengue vaccine impact projections. bioRxiv. 2016; doi:</w:t>
      </w:r>
      <w:r w:rsidR="005C4D7B" w:rsidRPr="005C4D7B">
        <w:rPr>
          <w:rFonts w:ascii="Calibri" w:hAnsi="Calibri" w:cs="Calibri"/>
          <w:szCs w:val="24"/>
        </w:rPr>
        <w:t xml:space="preserve"> </w:t>
      </w:r>
      <w:r w:rsidR="005C4D7B" w:rsidRPr="00AC3F9B">
        <w:rPr>
          <w:rFonts w:ascii="Calibri" w:hAnsi="Calibri" w:cs="Calibri"/>
          <w:szCs w:val="24"/>
        </w:rPr>
        <w:t>http://dx.doi.org/10.1101/082396</w:t>
      </w:r>
      <w:r w:rsidR="005C4D7B">
        <w:rPr>
          <w:rFonts w:ascii="Calibri" w:hAnsi="Calibri" w:cs="Calibri"/>
          <w:szCs w:val="24"/>
        </w:rPr>
        <w:t>.</w:t>
      </w:r>
      <w:bookmarkStart w:id="17" w:name="_GoBack"/>
      <w:bookmarkEnd w:id="17"/>
    </w:p>
    <w:p w14:paraId="0B8437B4"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8. </w:t>
      </w:r>
      <w:r w:rsidRPr="00262137">
        <w:rPr>
          <w:rFonts w:ascii="Calibri" w:hAnsi="Calibri" w:cs="Calibri"/>
          <w:noProof/>
          <w:szCs w:val="24"/>
        </w:rPr>
        <w:tab/>
        <w:t>Coudeville L, Baurin N, Vergu E. Estimation of parameters related to vaccine efficacy and dengue transmission from two large phase III studies. Vaccine. 2015; 1–9. doi:10.1016/j.vaccine.2015.11.023</w:t>
      </w:r>
    </w:p>
    <w:p w14:paraId="6A59A517"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9. </w:t>
      </w:r>
      <w:r w:rsidRPr="00262137">
        <w:rPr>
          <w:rFonts w:ascii="Calibri" w:hAnsi="Calibri" w:cs="Calibri"/>
          <w:noProof/>
          <w:szCs w:val="24"/>
        </w:rPr>
        <w:tab/>
        <w:t>Karl S, Halder N, Kelso JK, Ritchie S a., Milne GJ. A spatial simulation model for dengue virus infection in urban areas. BMC Infect Dis. 2014;14: 447. doi:10.1186/1471-2334-14-447</w:t>
      </w:r>
    </w:p>
    <w:p w14:paraId="0C1F661C"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10. </w:t>
      </w:r>
      <w:r w:rsidRPr="00262137">
        <w:rPr>
          <w:rFonts w:ascii="Calibri" w:hAnsi="Calibri" w:cs="Calibri"/>
          <w:noProof/>
          <w:szCs w:val="24"/>
        </w:rPr>
        <w:tab/>
        <w:t>Hadinegoro SR, Arredondo-García JL, Capeding MR, Deseda C, Chotpitayasunondh T, Dietze R, et al. Efficacy and Long-Term Safety of a Dengue Vaccine in Regions of Endemic Disease. N Engl J Med. 2015; 150727090428004. doi:10.1056/NEJMoa1506223</w:t>
      </w:r>
    </w:p>
    <w:p w14:paraId="2B9CF23A"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11. </w:t>
      </w:r>
      <w:r w:rsidRPr="00262137">
        <w:rPr>
          <w:rFonts w:ascii="Calibri" w:hAnsi="Calibri" w:cs="Calibri"/>
          <w:noProof/>
          <w:szCs w:val="24"/>
        </w:rPr>
        <w:tab/>
        <w:t>Martelli CMT, Siqueira JB, Parente MPPD, Zara AL de SA, Oliveira CS, Braga C, et al. Economic Impact of Dengue: Multicenter Study across Four Brazilian Regions. PLoS Negl Trop Dis. 2015;9: e0004042. doi:10.1371/journal.pntd.0004042</w:t>
      </w:r>
    </w:p>
    <w:p w14:paraId="3F055B6F"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12. </w:t>
      </w:r>
      <w:r w:rsidRPr="00262137">
        <w:rPr>
          <w:rFonts w:ascii="Calibri" w:hAnsi="Calibri" w:cs="Calibri"/>
          <w:noProof/>
          <w:szCs w:val="24"/>
        </w:rPr>
        <w:tab/>
        <w:t>Edillo FE, Halasa YA, Largo FM, Erasmo JN V, Amoin NB, Alera MTP, et al. Economic cost and burden of dengue in the Philippines. Am J Trop Med Hyg. 2015;92: 360–366. doi:10.4269/ajtmh.14-0139</w:t>
      </w:r>
    </w:p>
    <w:p w14:paraId="4B918C49"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13. </w:t>
      </w:r>
      <w:r w:rsidRPr="00262137">
        <w:rPr>
          <w:rFonts w:ascii="Calibri" w:hAnsi="Calibri" w:cs="Calibri"/>
          <w:noProof/>
          <w:szCs w:val="24"/>
        </w:rPr>
        <w:tab/>
        <w:t>Villar L, Dayan GH, Arredondo-García JL, Rivera DM, Cunha R, Deseda C, et al. Efficacy of a Tetravalent Dengue Vaccine in Children in Latin America. N Engl J Med. 2015;372: 113–123. doi:10.1056/NEJMoa1411037</w:t>
      </w:r>
    </w:p>
    <w:p w14:paraId="29BFB9FE"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14. </w:t>
      </w:r>
      <w:r w:rsidRPr="00262137">
        <w:rPr>
          <w:rFonts w:ascii="Calibri" w:hAnsi="Calibri" w:cs="Calibri"/>
          <w:noProof/>
          <w:szCs w:val="24"/>
        </w:rPr>
        <w:tab/>
        <w:t>Capeding MR, Tran NH, Hadinegoro SRS, Ismail HIHM, Chotpitayasunondh T, Chua MN, et al. Clinical efficacy and safety of a novel tetravalent dengue vaccine in healthy children in Asia: A phase 3, randomised, observer-masked, placebo-controlled trial. Lancet. 2014;384: 1358–1365. doi:10.1016/S0140-6736(14)61060-6</w:t>
      </w:r>
    </w:p>
    <w:p w14:paraId="3B4F0736"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15. </w:t>
      </w:r>
      <w:r w:rsidRPr="00262137">
        <w:rPr>
          <w:rFonts w:ascii="Calibri" w:hAnsi="Calibri" w:cs="Calibri"/>
          <w:noProof/>
          <w:szCs w:val="24"/>
        </w:rPr>
        <w:tab/>
        <w:t>World Health Organization. The Global Burden of Disease: 2004 Update. 2008. doi:10.1038/npp.2011.85</w:t>
      </w:r>
    </w:p>
    <w:p w14:paraId="61D47676"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16. </w:t>
      </w:r>
      <w:r w:rsidRPr="00262137">
        <w:rPr>
          <w:rFonts w:ascii="Calibri" w:hAnsi="Calibri" w:cs="Calibri"/>
          <w:noProof/>
          <w:szCs w:val="24"/>
        </w:rPr>
        <w:tab/>
        <w:t>Newall AT, Jit M, Hutubessy R. Are current cost-effectiveness thresholds for low- and middle-income countries useful? Examples from the world of vaccines. PharmacoEconomics. 2014. pp. 525–531. doi:10.1007/s40273-014-0162-x</w:t>
      </w:r>
    </w:p>
    <w:p w14:paraId="2ED17086"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17. </w:t>
      </w:r>
      <w:r w:rsidRPr="00262137">
        <w:rPr>
          <w:rFonts w:ascii="Calibri" w:hAnsi="Calibri" w:cs="Calibri"/>
          <w:noProof/>
          <w:szCs w:val="24"/>
        </w:rPr>
        <w:tab/>
        <w:t>Marseille E, Larson B, Kazi DS, Kahn JG, Rosen S. Thresholds for the cost-effectiveness of interventions: alternative approaches. Bull World Health Organ. 2015;93: 118–24. doi:10.2471/BLT.14.138206</w:t>
      </w:r>
    </w:p>
    <w:p w14:paraId="33D68E7C"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18. </w:t>
      </w:r>
      <w:r w:rsidRPr="00262137">
        <w:rPr>
          <w:rFonts w:ascii="Calibri" w:hAnsi="Calibri" w:cs="Calibri"/>
          <w:noProof/>
          <w:szCs w:val="24"/>
        </w:rPr>
        <w:tab/>
        <w:t>Jit M, Brisson M, Portnoy A, Hutubessy R. Cost-effectiveness of female human papillomavirus vaccination in 179 countries: a PRIME modelling study. Lancet Glob Heal. World Health Organization; 2014;2: e406–e414. doi:10.1016/S2214-109X(14)70237-2</w:t>
      </w:r>
    </w:p>
    <w:p w14:paraId="492501AA"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19. </w:t>
      </w:r>
      <w:r w:rsidRPr="00262137">
        <w:rPr>
          <w:rFonts w:ascii="Calibri" w:hAnsi="Calibri" w:cs="Calibri"/>
          <w:noProof/>
          <w:szCs w:val="24"/>
        </w:rPr>
        <w:tab/>
        <w:t>Sinha A, Levine O, Knoll MD, Muhib F, Lieu TA. Cost-effectiveness of pneumococcal conjugate vaccination in the prevention of child mortality: an international economic analysis. Lancet. 2007;369: 389–396. doi:10.1016/S0140-6736(07)60195-0</w:t>
      </w:r>
    </w:p>
    <w:p w14:paraId="2BBDAFB3"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20. </w:t>
      </w:r>
      <w:r w:rsidRPr="00262137">
        <w:rPr>
          <w:rFonts w:ascii="Calibri" w:hAnsi="Calibri" w:cs="Calibri"/>
          <w:noProof/>
          <w:szCs w:val="24"/>
        </w:rPr>
        <w:tab/>
        <w:t>Rheingans RD, Antil L, Dreibelbis R, Podewils LJ, Bresee JS, Parashar UD. Economic costs of rotavirus gastroenteritis and cost-effectiveness of vaccination in developing countries. J Infect Dis. 2009;200 Suppl: S16–S27. doi:10.1086/605026</w:t>
      </w:r>
    </w:p>
    <w:p w14:paraId="270A30CF"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21. </w:t>
      </w:r>
      <w:r w:rsidRPr="00262137">
        <w:rPr>
          <w:rFonts w:ascii="Calibri" w:hAnsi="Calibri" w:cs="Calibri"/>
          <w:noProof/>
          <w:szCs w:val="24"/>
        </w:rPr>
        <w:tab/>
        <w:t xml:space="preserve">Shepard DS, Halstead SB. Dengue (with notes on yellow fever and Japanese encephalitis). Disease Control Priorities for Developing Countries. 1993. pp. 303–320. </w:t>
      </w:r>
    </w:p>
    <w:p w14:paraId="4CFF3350"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szCs w:val="24"/>
        </w:rPr>
      </w:pPr>
      <w:r w:rsidRPr="00262137">
        <w:rPr>
          <w:rFonts w:ascii="Calibri" w:hAnsi="Calibri" w:cs="Calibri"/>
          <w:noProof/>
          <w:szCs w:val="24"/>
        </w:rPr>
        <w:t xml:space="preserve">22. </w:t>
      </w:r>
      <w:r w:rsidRPr="00262137">
        <w:rPr>
          <w:rFonts w:ascii="Calibri" w:hAnsi="Calibri" w:cs="Calibri"/>
          <w:noProof/>
          <w:szCs w:val="24"/>
        </w:rPr>
        <w:tab/>
        <w:t xml:space="preserve">Kim S-Y, Goldie SJ, Salomon JA. Cost-effectiveness of Rotavirus vaccination in Vietnam. BMC </w:t>
      </w:r>
      <w:r w:rsidRPr="00262137">
        <w:rPr>
          <w:rFonts w:ascii="Calibri" w:hAnsi="Calibri" w:cs="Calibri"/>
          <w:noProof/>
          <w:szCs w:val="24"/>
        </w:rPr>
        <w:lastRenderedPageBreak/>
        <w:t>Public Health. 2009;9: 29. doi:10.1186/1471-2458-9-29</w:t>
      </w:r>
    </w:p>
    <w:p w14:paraId="75607427" w14:textId="77777777" w:rsidR="00262137" w:rsidRPr="00262137" w:rsidRDefault="00262137" w:rsidP="00262137">
      <w:pPr>
        <w:widowControl w:val="0"/>
        <w:autoSpaceDE w:val="0"/>
        <w:autoSpaceDN w:val="0"/>
        <w:adjustRightInd w:val="0"/>
        <w:spacing w:line="240" w:lineRule="auto"/>
        <w:ind w:left="640" w:hanging="640"/>
        <w:rPr>
          <w:rFonts w:ascii="Calibri" w:hAnsi="Calibri" w:cs="Calibri"/>
          <w:noProof/>
        </w:rPr>
      </w:pPr>
      <w:r w:rsidRPr="00262137">
        <w:rPr>
          <w:rFonts w:ascii="Calibri" w:hAnsi="Calibri" w:cs="Calibri"/>
          <w:noProof/>
          <w:szCs w:val="24"/>
        </w:rPr>
        <w:t xml:space="preserve">23. </w:t>
      </w:r>
      <w:r w:rsidRPr="00262137">
        <w:rPr>
          <w:rFonts w:ascii="Calibri" w:hAnsi="Calibri" w:cs="Calibri"/>
          <w:noProof/>
          <w:szCs w:val="24"/>
        </w:rPr>
        <w:tab/>
        <w:t>Ayieko P, Griffiths UK, Ndiritu M, Moisi J, Mugoya IK, Kamau T, et al. Assessment of Health Benefits and Cost-Effectiveness of 10-Valent and 13-Valent Pneumococcal Conjugate Vaccination in Kenyan Children. PLoS One. 2013;8: e67324. doi:10.1371/journal.pone.0067324</w:t>
      </w:r>
    </w:p>
    <w:p w14:paraId="7075E0AF" w14:textId="77777777" w:rsidR="00445A65" w:rsidRPr="00445A65" w:rsidRDefault="00445A65" w:rsidP="00445A65">
      <w:pPr>
        <w:rPr>
          <w:color w:val="000000" w:themeColor="text1"/>
        </w:rPr>
      </w:pPr>
      <w:r w:rsidRPr="00445A65">
        <w:rPr>
          <w:color w:val="000000" w:themeColor="text1"/>
        </w:rPr>
        <w:fldChar w:fldCharType="end"/>
      </w:r>
    </w:p>
    <w:p w14:paraId="75398551" w14:textId="77777777" w:rsidR="00A526E0" w:rsidRPr="00445A65" w:rsidRDefault="00A526E0">
      <w:pPr>
        <w:rPr>
          <w:color w:val="000000" w:themeColor="text1"/>
        </w:rPr>
      </w:pPr>
    </w:p>
    <w:sectPr w:rsidR="00A526E0" w:rsidRPr="00445A65" w:rsidSect="00F961CB">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4C862E" w14:textId="77777777" w:rsidR="00A120E2" w:rsidRDefault="00A120E2">
      <w:pPr>
        <w:spacing w:after="0" w:line="240" w:lineRule="auto"/>
      </w:pPr>
      <w:r>
        <w:separator/>
      </w:r>
    </w:p>
  </w:endnote>
  <w:endnote w:type="continuationSeparator" w:id="0">
    <w:p w14:paraId="54439466" w14:textId="77777777" w:rsidR="00A120E2" w:rsidRDefault="00A12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420396"/>
      <w:docPartObj>
        <w:docPartGallery w:val="Page Numbers (Bottom of Page)"/>
        <w:docPartUnique/>
      </w:docPartObj>
    </w:sdtPr>
    <w:sdtEndPr>
      <w:rPr>
        <w:noProof/>
      </w:rPr>
    </w:sdtEndPr>
    <w:sdtContent>
      <w:p w14:paraId="2893CA35" w14:textId="2A696846" w:rsidR="00301B8F" w:rsidRDefault="00301B8F">
        <w:pPr>
          <w:pStyle w:val="Footer"/>
          <w:jc w:val="right"/>
        </w:pPr>
        <w:r>
          <w:fldChar w:fldCharType="begin"/>
        </w:r>
        <w:r>
          <w:instrText xml:space="preserve"> PAGE   \* MERGEFORMAT </w:instrText>
        </w:r>
        <w:r>
          <w:fldChar w:fldCharType="separate"/>
        </w:r>
        <w:r w:rsidR="005C4D7B">
          <w:rPr>
            <w:noProof/>
          </w:rPr>
          <w:t>26</w:t>
        </w:r>
        <w:r>
          <w:rPr>
            <w:noProof/>
          </w:rPr>
          <w:fldChar w:fldCharType="end"/>
        </w:r>
      </w:p>
    </w:sdtContent>
  </w:sdt>
  <w:p w14:paraId="48C11185" w14:textId="77777777" w:rsidR="00301B8F" w:rsidRDefault="00301B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C5B64" w14:textId="77777777" w:rsidR="00A120E2" w:rsidRDefault="00A120E2">
      <w:pPr>
        <w:spacing w:after="0" w:line="240" w:lineRule="auto"/>
      </w:pPr>
      <w:r>
        <w:separator/>
      </w:r>
    </w:p>
  </w:footnote>
  <w:footnote w:type="continuationSeparator" w:id="0">
    <w:p w14:paraId="16F52485" w14:textId="77777777" w:rsidR="00A120E2" w:rsidRDefault="00A120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0D8EA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A75231"/>
    <w:multiLevelType w:val="hybridMultilevel"/>
    <w:tmpl w:val="E44A7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3B26B1"/>
    <w:multiLevelType w:val="hybridMultilevel"/>
    <w:tmpl w:val="B1C44206"/>
    <w:lvl w:ilvl="0" w:tplc="0F6C11F8">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C0454F"/>
    <w:multiLevelType w:val="hybridMultilevel"/>
    <w:tmpl w:val="AC7A554E"/>
    <w:lvl w:ilvl="0" w:tplc="C59CAF9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BD3C52"/>
    <w:multiLevelType w:val="hybridMultilevel"/>
    <w:tmpl w:val="C6B0F3B4"/>
    <w:lvl w:ilvl="0" w:tplc="FB78D17E">
      <w:start w:val="1"/>
      <w:numFmt w:val="bullet"/>
      <w:pStyle w:val="ListParagraph"/>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5">
    <w:nsid w:val="42F44E90"/>
    <w:multiLevelType w:val="hybridMultilevel"/>
    <w:tmpl w:val="65C23046"/>
    <w:lvl w:ilvl="0" w:tplc="E46C8D84">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2F45C1E"/>
    <w:multiLevelType w:val="hybridMultilevel"/>
    <w:tmpl w:val="FB988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BB2277"/>
    <w:multiLevelType w:val="hybridMultilevel"/>
    <w:tmpl w:val="90D24360"/>
    <w:lvl w:ilvl="0" w:tplc="342CC3A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C2729E5"/>
    <w:multiLevelType w:val="hybridMultilevel"/>
    <w:tmpl w:val="BFA0D886"/>
    <w:lvl w:ilvl="0" w:tplc="47C4A66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C4B2700"/>
    <w:multiLevelType w:val="hybridMultilevel"/>
    <w:tmpl w:val="A16E9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E497D74"/>
    <w:multiLevelType w:val="hybridMultilevel"/>
    <w:tmpl w:val="EA820D30"/>
    <w:lvl w:ilvl="0" w:tplc="7F3CA456">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AD4997"/>
    <w:multiLevelType w:val="hybridMultilevel"/>
    <w:tmpl w:val="61A452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7D679ED"/>
    <w:multiLevelType w:val="hybridMultilevel"/>
    <w:tmpl w:val="6F1E3A30"/>
    <w:lvl w:ilvl="0" w:tplc="EDBA896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B1341B3"/>
    <w:multiLevelType w:val="hybridMultilevel"/>
    <w:tmpl w:val="79483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DE0011C"/>
    <w:multiLevelType w:val="hybridMultilevel"/>
    <w:tmpl w:val="FB70B6E6"/>
    <w:lvl w:ilvl="0" w:tplc="4B16E9A6">
      <w:start w:val="1"/>
      <w:numFmt w:val="decimal"/>
      <w:pStyle w:val="Heading2"/>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6ECA08BE"/>
    <w:multiLevelType w:val="hybridMultilevel"/>
    <w:tmpl w:val="45BA6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12F7B13"/>
    <w:multiLevelType w:val="hybridMultilevel"/>
    <w:tmpl w:val="98F0D94C"/>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7">
    <w:nsid w:val="7BB47AB3"/>
    <w:multiLevelType w:val="hybridMultilevel"/>
    <w:tmpl w:val="FB64D15A"/>
    <w:lvl w:ilvl="0" w:tplc="DF7883A0">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E95CF7"/>
    <w:multiLevelType w:val="hybridMultilevel"/>
    <w:tmpl w:val="9D484954"/>
    <w:lvl w:ilvl="0" w:tplc="41BA0F4E">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4"/>
  </w:num>
  <w:num w:numId="4">
    <w:abstractNumId w:val="16"/>
  </w:num>
  <w:num w:numId="5">
    <w:abstractNumId w:val="13"/>
  </w:num>
  <w:num w:numId="6">
    <w:abstractNumId w:val="4"/>
  </w:num>
  <w:num w:numId="7">
    <w:abstractNumId w:val="6"/>
  </w:num>
  <w:num w:numId="8">
    <w:abstractNumId w:val="8"/>
  </w:num>
  <w:num w:numId="9">
    <w:abstractNumId w:val="12"/>
  </w:num>
  <w:num w:numId="10">
    <w:abstractNumId w:val="7"/>
  </w:num>
  <w:num w:numId="11">
    <w:abstractNumId w:val="9"/>
  </w:num>
  <w:num w:numId="12">
    <w:abstractNumId w:val="15"/>
  </w:num>
  <w:num w:numId="13">
    <w:abstractNumId w:val="1"/>
  </w:num>
  <w:num w:numId="14">
    <w:abstractNumId w:val="5"/>
  </w:num>
  <w:num w:numId="15">
    <w:abstractNumId w:val="18"/>
  </w:num>
  <w:num w:numId="16">
    <w:abstractNumId w:val="10"/>
  </w:num>
  <w:num w:numId="17">
    <w:abstractNumId w:val="2"/>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311"/>
    <w:rsid w:val="00006D85"/>
    <w:rsid w:val="00015979"/>
    <w:rsid w:val="000220E2"/>
    <w:rsid w:val="000611B5"/>
    <w:rsid w:val="00074A6F"/>
    <w:rsid w:val="000B313E"/>
    <w:rsid w:val="00100484"/>
    <w:rsid w:val="00105794"/>
    <w:rsid w:val="00131C8A"/>
    <w:rsid w:val="00165541"/>
    <w:rsid w:val="001778FE"/>
    <w:rsid w:val="001904FA"/>
    <w:rsid w:val="001C5F3D"/>
    <w:rsid w:val="002331CF"/>
    <w:rsid w:val="002358D1"/>
    <w:rsid w:val="00244F32"/>
    <w:rsid w:val="002450DC"/>
    <w:rsid w:val="0024577D"/>
    <w:rsid w:val="00245DBF"/>
    <w:rsid w:val="00251960"/>
    <w:rsid w:val="00262137"/>
    <w:rsid w:val="00283B35"/>
    <w:rsid w:val="0029072B"/>
    <w:rsid w:val="00297134"/>
    <w:rsid w:val="002A562D"/>
    <w:rsid w:val="002C4E44"/>
    <w:rsid w:val="00301B8F"/>
    <w:rsid w:val="00306243"/>
    <w:rsid w:val="00314F05"/>
    <w:rsid w:val="00333EA2"/>
    <w:rsid w:val="003640B0"/>
    <w:rsid w:val="003911A6"/>
    <w:rsid w:val="00394A09"/>
    <w:rsid w:val="003A4BC6"/>
    <w:rsid w:val="003C0592"/>
    <w:rsid w:val="003D5892"/>
    <w:rsid w:val="00401CB4"/>
    <w:rsid w:val="004363A2"/>
    <w:rsid w:val="00445A65"/>
    <w:rsid w:val="00445CE5"/>
    <w:rsid w:val="004917A2"/>
    <w:rsid w:val="004A7D6D"/>
    <w:rsid w:val="004E00C0"/>
    <w:rsid w:val="004E3747"/>
    <w:rsid w:val="004F5FAF"/>
    <w:rsid w:val="00524A37"/>
    <w:rsid w:val="00543A43"/>
    <w:rsid w:val="00572320"/>
    <w:rsid w:val="005810F2"/>
    <w:rsid w:val="00587AF3"/>
    <w:rsid w:val="00597367"/>
    <w:rsid w:val="005C4D7B"/>
    <w:rsid w:val="005F18F3"/>
    <w:rsid w:val="005F5D9B"/>
    <w:rsid w:val="0060162C"/>
    <w:rsid w:val="006103D2"/>
    <w:rsid w:val="0061276C"/>
    <w:rsid w:val="00631E17"/>
    <w:rsid w:val="0063532D"/>
    <w:rsid w:val="00644EC8"/>
    <w:rsid w:val="0065695F"/>
    <w:rsid w:val="006578A0"/>
    <w:rsid w:val="006B27C5"/>
    <w:rsid w:val="006C1CFC"/>
    <w:rsid w:val="006F61D7"/>
    <w:rsid w:val="007161D0"/>
    <w:rsid w:val="00753101"/>
    <w:rsid w:val="007758A7"/>
    <w:rsid w:val="0078243F"/>
    <w:rsid w:val="00793F76"/>
    <w:rsid w:val="007B7AD6"/>
    <w:rsid w:val="00817D8D"/>
    <w:rsid w:val="00820FE1"/>
    <w:rsid w:val="00845526"/>
    <w:rsid w:val="00853D44"/>
    <w:rsid w:val="0087154F"/>
    <w:rsid w:val="008D3D9E"/>
    <w:rsid w:val="008E0DA6"/>
    <w:rsid w:val="00956195"/>
    <w:rsid w:val="009C5AAB"/>
    <w:rsid w:val="009D2B49"/>
    <w:rsid w:val="009F59AF"/>
    <w:rsid w:val="00A111C3"/>
    <w:rsid w:val="00A120E2"/>
    <w:rsid w:val="00A22C36"/>
    <w:rsid w:val="00A3768B"/>
    <w:rsid w:val="00A526E0"/>
    <w:rsid w:val="00A61099"/>
    <w:rsid w:val="00A61810"/>
    <w:rsid w:val="00A64CA4"/>
    <w:rsid w:val="00A73C8B"/>
    <w:rsid w:val="00A87451"/>
    <w:rsid w:val="00AB326D"/>
    <w:rsid w:val="00AC5CFE"/>
    <w:rsid w:val="00AD7A8E"/>
    <w:rsid w:val="00AF3A2A"/>
    <w:rsid w:val="00B14CCB"/>
    <w:rsid w:val="00B331B4"/>
    <w:rsid w:val="00B412CF"/>
    <w:rsid w:val="00B440AB"/>
    <w:rsid w:val="00BB0C82"/>
    <w:rsid w:val="00BB2F8B"/>
    <w:rsid w:val="00BF0A7D"/>
    <w:rsid w:val="00C24335"/>
    <w:rsid w:val="00C32C3E"/>
    <w:rsid w:val="00C37E75"/>
    <w:rsid w:val="00C51D6D"/>
    <w:rsid w:val="00C7697E"/>
    <w:rsid w:val="00CB6B44"/>
    <w:rsid w:val="00D0611E"/>
    <w:rsid w:val="00D157D9"/>
    <w:rsid w:val="00D40AD7"/>
    <w:rsid w:val="00D536C6"/>
    <w:rsid w:val="00D655DB"/>
    <w:rsid w:val="00D901EF"/>
    <w:rsid w:val="00DC7260"/>
    <w:rsid w:val="00DD631A"/>
    <w:rsid w:val="00DD69A0"/>
    <w:rsid w:val="00DF3311"/>
    <w:rsid w:val="00E03A21"/>
    <w:rsid w:val="00E3248D"/>
    <w:rsid w:val="00E37CE4"/>
    <w:rsid w:val="00E416BF"/>
    <w:rsid w:val="00E75D06"/>
    <w:rsid w:val="00EA7B68"/>
    <w:rsid w:val="00EC3854"/>
    <w:rsid w:val="00ED4A5F"/>
    <w:rsid w:val="00ED59AD"/>
    <w:rsid w:val="00ED62C1"/>
    <w:rsid w:val="00F15883"/>
    <w:rsid w:val="00F36714"/>
    <w:rsid w:val="00F44DE0"/>
    <w:rsid w:val="00F961CB"/>
    <w:rsid w:val="00FC518F"/>
    <w:rsid w:val="00FE6313"/>
    <w:rsid w:val="00FE7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8F31E"/>
  <w15:docId w15:val="{EE4BD25C-7F9D-42CC-9D83-32275377E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A65"/>
  </w:style>
  <w:style w:type="paragraph" w:styleId="Heading1">
    <w:name w:val="heading 1"/>
    <w:basedOn w:val="Normal"/>
    <w:next w:val="Normal"/>
    <w:link w:val="Heading1Char"/>
    <w:uiPriority w:val="9"/>
    <w:qFormat/>
    <w:rsid w:val="00445A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45A65"/>
    <w:pPr>
      <w:keepNext/>
      <w:keepLines/>
      <w:numPr>
        <w:numId w:val="3"/>
      </w:numPr>
      <w:spacing w:before="240" w:after="120"/>
      <w:ind w:left="357" w:hanging="357"/>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45A65"/>
    <w:pPr>
      <w:keepNext/>
      <w:keepLines/>
      <w:spacing w:before="40" w:after="0"/>
      <w:outlineLvl w:val="2"/>
    </w:pPr>
    <w:rPr>
      <w:rFonts w:asciiTheme="majorHAnsi" w:eastAsiaTheme="majorEastAsia" w:hAnsiTheme="majorHAnsi" w:cstheme="majorBidi"/>
      <w:i/>
      <w:color w:val="1F4D78" w:themeColor="accent1" w:themeShade="7F"/>
      <w:sz w:val="24"/>
      <w:szCs w:val="24"/>
    </w:rPr>
  </w:style>
  <w:style w:type="paragraph" w:styleId="Heading4">
    <w:name w:val="heading 4"/>
    <w:basedOn w:val="Normal"/>
    <w:next w:val="Normal"/>
    <w:link w:val="Heading4Char"/>
    <w:uiPriority w:val="9"/>
    <w:unhideWhenUsed/>
    <w:qFormat/>
    <w:rsid w:val="00445A6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A6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45A6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45A65"/>
    <w:rPr>
      <w:rFonts w:asciiTheme="majorHAnsi" w:eastAsiaTheme="majorEastAsia" w:hAnsiTheme="majorHAnsi" w:cstheme="majorBidi"/>
      <w:i/>
      <w:color w:val="1F4D78" w:themeColor="accent1" w:themeShade="7F"/>
      <w:sz w:val="24"/>
      <w:szCs w:val="24"/>
    </w:rPr>
  </w:style>
  <w:style w:type="character" w:customStyle="1" w:styleId="Heading4Char">
    <w:name w:val="Heading 4 Char"/>
    <w:basedOn w:val="DefaultParagraphFont"/>
    <w:link w:val="Heading4"/>
    <w:uiPriority w:val="9"/>
    <w:rsid w:val="00445A65"/>
    <w:rPr>
      <w:rFonts w:asciiTheme="majorHAnsi" w:eastAsiaTheme="majorEastAsia" w:hAnsiTheme="majorHAnsi" w:cstheme="majorBidi"/>
      <w:i/>
      <w:iCs/>
      <w:color w:val="2E74B5" w:themeColor="accent1" w:themeShade="BF"/>
    </w:rPr>
  </w:style>
  <w:style w:type="paragraph" w:styleId="TOCHeading">
    <w:name w:val="TOC Heading"/>
    <w:basedOn w:val="Heading1"/>
    <w:next w:val="Normal"/>
    <w:uiPriority w:val="39"/>
    <w:unhideWhenUsed/>
    <w:qFormat/>
    <w:rsid w:val="00445A65"/>
    <w:pPr>
      <w:outlineLvl w:val="9"/>
    </w:pPr>
    <w:rPr>
      <w:lang w:val="en-US"/>
    </w:rPr>
  </w:style>
  <w:style w:type="paragraph" w:styleId="TOC1">
    <w:name w:val="toc 1"/>
    <w:basedOn w:val="Normal"/>
    <w:next w:val="Normal"/>
    <w:autoRedefine/>
    <w:uiPriority w:val="39"/>
    <w:unhideWhenUsed/>
    <w:rsid w:val="00445A65"/>
    <w:pPr>
      <w:spacing w:after="100"/>
    </w:pPr>
  </w:style>
  <w:style w:type="paragraph" w:styleId="TOC2">
    <w:name w:val="toc 2"/>
    <w:basedOn w:val="Normal"/>
    <w:next w:val="Normal"/>
    <w:autoRedefine/>
    <w:uiPriority w:val="39"/>
    <w:unhideWhenUsed/>
    <w:rsid w:val="00445A65"/>
    <w:pPr>
      <w:spacing w:after="100"/>
      <w:ind w:left="220"/>
    </w:pPr>
  </w:style>
  <w:style w:type="paragraph" w:styleId="TOC3">
    <w:name w:val="toc 3"/>
    <w:basedOn w:val="Normal"/>
    <w:next w:val="Normal"/>
    <w:autoRedefine/>
    <w:uiPriority w:val="39"/>
    <w:unhideWhenUsed/>
    <w:rsid w:val="00445A65"/>
    <w:pPr>
      <w:spacing w:after="100"/>
      <w:ind w:left="440"/>
    </w:pPr>
  </w:style>
  <w:style w:type="character" w:styleId="Hyperlink">
    <w:name w:val="Hyperlink"/>
    <w:basedOn w:val="DefaultParagraphFont"/>
    <w:uiPriority w:val="99"/>
    <w:unhideWhenUsed/>
    <w:rsid w:val="00445A65"/>
    <w:rPr>
      <w:color w:val="0563C1" w:themeColor="hyperlink"/>
      <w:u w:val="single"/>
    </w:rPr>
  </w:style>
  <w:style w:type="paragraph" w:styleId="ListParagraph">
    <w:name w:val="List Paragraph"/>
    <w:basedOn w:val="Normal"/>
    <w:uiPriority w:val="34"/>
    <w:qFormat/>
    <w:rsid w:val="00445A65"/>
    <w:pPr>
      <w:numPr>
        <w:numId w:val="6"/>
      </w:numPr>
      <w:spacing w:after="120"/>
      <w:ind w:left="284" w:hanging="284"/>
    </w:pPr>
  </w:style>
  <w:style w:type="paragraph" w:styleId="BalloonText">
    <w:name w:val="Balloon Text"/>
    <w:basedOn w:val="Normal"/>
    <w:link w:val="BalloonTextChar"/>
    <w:uiPriority w:val="99"/>
    <w:semiHidden/>
    <w:unhideWhenUsed/>
    <w:rsid w:val="00445A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A65"/>
    <w:rPr>
      <w:rFonts w:ascii="Segoe UI" w:hAnsi="Segoe UI" w:cs="Segoe UI"/>
      <w:sz w:val="18"/>
      <w:szCs w:val="18"/>
    </w:rPr>
  </w:style>
  <w:style w:type="paragraph" w:styleId="Caption">
    <w:name w:val="caption"/>
    <w:basedOn w:val="Normal"/>
    <w:next w:val="Normal"/>
    <w:uiPriority w:val="35"/>
    <w:unhideWhenUsed/>
    <w:qFormat/>
    <w:rsid w:val="00445A65"/>
    <w:pPr>
      <w:spacing w:after="200" w:line="240" w:lineRule="auto"/>
    </w:pPr>
    <w:rPr>
      <w:b/>
      <w:iCs/>
      <w:color w:val="44546A" w:themeColor="text2"/>
      <w:szCs w:val="18"/>
    </w:rPr>
  </w:style>
  <w:style w:type="character" w:styleId="CommentReference">
    <w:name w:val="annotation reference"/>
    <w:basedOn w:val="DefaultParagraphFont"/>
    <w:uiPriority w:val="99"/>
    <w:semiHidden/>
    <w:unhideWhenUsed/>
    <w:rsid w:val="00445A65"/>
    <w:rPr>
      <w:sz w:val="16"/>
      <w:szCs w:val="16"/>
    </w:rPr>
  </w:style>
  <w:style w:type="paragraph" w:styleId="CommentText">
    <w:name w:val="annotation text"/>
    <w:basedOn w:val="Normal"/>
    <w:link w:val="CommentTextChar"/>
    <w:uiPriority w:val="99"/>
    <w:unhideWhenUsed/>
    <w:rsid w:val="00445A65"/>
    <w:pPr>
      <w:spacing w:line="240" w:lineRule="auto"/>
    </w:pPr>
    <w:rPr>
      <w:sz w:val="20"/>
      <w:szCs w:val="20"/>
    </w:rPr>
  </w:style>
  <w:style w:type="character" w:customStyle="1" w:styleId="CommentTextChar">
    <w:name w:val="Comment Text Char"/>
    <w:basedOn w:val="DefaultParagraphFont"/>
    <w:link w:val="CommentText"/>
    <w:uiPriority w:val="99"/>
    <w:rsid w:val="00445A65"/>
    <w:rPr>
      <w:sz w:val="20"/>
      <w:szCs w:val="20"/>
    </w:rPr>
  </w:style>
  <w:style w:type="paragraph" w:styleId="CommentSubject">
    <w:name w:val="annotation subject"/>
    <w:basedOn w:val="CommentText"/>
    <w:next w:val="CommentText"/>
    <w:link w:val="CommentSubjectChar"/>
    <w:uiPriority w:val="99"/>
    <w:semiHidden/>
    <w:unhideWhenUsed/>
    <w:rsid w:val="00445A65"/>
    <w:rPr>
      <w:b/>
      <w:bCs/>
    </w:rPr>
  </w:style>
  <w:style w:type="character" w:customStyle="1" w:styleId="CommentSubjectChar">
    <w:name w:val="Comment Subject Char"/>
    <w:basedOn w:val="CommentTextChar"/>
    <w:link w:val="CommentSubject"/>
    <w:uiPriority w:val="99"/>
    <w:semiHidden/>
    <w:rsid w:val="00445A65"/>
    <w:rPr>
      <w:b/>
      <w:bCs/>
      <w:sz w:val="20"/>
      <w:szCs w:val="20"/>
    </w:rPr>
  </w:style>
  <w:style w:type="paragraph" w:styleId="TOC4">
    <w:name w:val="toc 4"/>
    <w:basedOn w:val="Normal"/>
    <w:next w:val="Normal"/>
    <w:autoRedefine/>
    <w:uiPriority w:val="39"/>
    <w:unhideWhenUsed/>
    <w:rsid w:val="00445A65"/>
    <w:pPr>
      <w:spacing w:after="100"/>
      <w:ind w:left="660"/>
    </w:pPr>
  </w:style>
  <w:style w:type="table" w:customStyle="1" w:styleId="GridTable1Light1">
    <w:name w:val="Grid Table 1 Light1"/>
    <w:basedOn w:val="TableNormal"/>
    <w:uiPriority w:val="46"/>
    <w:rsid w:val="00445A6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445A65"/>
    <w:pPr>
      <w:spacing w:after="0" w:line="240" w:lineRule="auto"/>
    </w:pPr>
  </w:style>
  <w:style w:type="paragraph" w:customStyle="1" w:styleId="volissue">
    <w:name w:val="volissue"/>
    <w:basedOn w:val="Normal"/>
    <w:rsid w:val="00445A6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styleId="TableGrid">
    <w:name w:val="Table Grid"/>
    <w:basedOn w:val="TableNormal"/>
    <w:uiPriority w:val="39"/>
    <w:rsid w:val="00445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99"/>
    <w:rsid w:val="00445A6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99"/>
    <w:rsid w:val="00445A65"/>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uiPriority w:val="99"/>
    <w:rsid w:val="00445A6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Shading">
    <w:name w:val="Light Shading"/>
    <w:basedOn w:val="TableNormal"/>
    <w:uiPriority w:val="60"/>
    <w:rsid w:val="00445A6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445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A65"/>
  </w:style>
  <w:style w:type="paragraph" w:styleId="Footer">
    <w:name w:val="footer"/>
    <w:basedOn w:val="Normal"/>
    <w:link w:val="FooterChar"/>
    <w:uiPriority w:val="99"/>
    <w:unhideWhenUsed/>
    <w:rsid w:val="00445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A65"/>
  </w:style>
  <w:style w:type="character" w:styleId="LineNumber">
    <w:name w:val="line number"/>
    <w:basedOn w:val="DefaultParagraphFont"/>
    <w:uiPriority w:val="99"/>
    <w:semiHidden/>
    <w:unhideWhenUsed/>
    <w:rsid w:val="00445A65"/>
  </w:style>
  <w:style w:type="paragraph" w:styleId="NormalWeb">
    <w:name w:val="Normal (Web)"/>
    <w:basedOn w:val="Normal"/>
    <w:uiPriority w:val="99"/>
    <w:unhideWhenUsed/>
    <w:rsid w:val="00445A65"/>
    <w:pPr>
      <w:spacing w:after="120"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445A65"/>
    <w:rPr>
      <w:color w:val="808080"/>
    </w:rPr>
  </w:style>
  <w:style w:type="paragraph" w:customStyle="1" w:styleId="Default">
    <w:name w:val="Default"/>
    <w:rsid w:val="00445A65"/>
    <w:pPr>
      <w:autoSpaceDE w:val="0"/>
      <w:autoSpaceDN w:val="0"/>
      <w:adjustRightInd w:val="0"/>
      <w:spacing w:after="0" w:line="240" w:lineRule="auto"/>
    </w:pPr>
    <w:rPr>
      <w:rFonts w:ascii="Calibri" w:hAnsi="Calibri" w:cs="Calibri"/>
      <w:color w:val="000000"/>
      <w:sz w:val="24"/>
      <w:szCs w:val="24"/>
    </w:rPr>
  </w:style>
  <w:style w:type="table" w:styleId="LightShading-Accent1">
    <w:name w:val="Light Shading Accent 1"/>
    <w:basedOn w:val="TableNormal"/>
    <w:uiPriority w:val="60"/>
    <w:rsid w:val="00445A65"/>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ighwire-cite-metadata-doi">
    <w:name w:val="highwire-cite-metadata-doi"/>
    <w:basedOn w:val="DefaultParagraphFont"/>
    <w:rsid w:val="00445A65"/>
  </w:style>
  <w:style w:type="character" w:customStyle="1" w:styleId="apple-converted-space">
    <w:name w:val="apple-converted-space"/>
    <w:basedOn w:val="DefaultParagraphFont"/>
    <w:rsid w:val="00445A65"/>
  </w:style>
  <w:style w:type="character" w:customStyle="1" w:styleId="aqj">
    <w:name w:val="aqj"/>
    <w:basedOn w:val="DefaultParagraphFont"/>
    <w:rsid w:val="00445A65"/>
  </w:style>
  <w:style w:type="table" w:customStyle="1" w:styleId="ListTable6Colorful-Accent31">
    <w:name w:val="List Table 6 Colorful - Accent 31"/>
    <w:basedOn w:val="TableNormal"/>
    <w:uiPriority w:val="51"/>
    <w:rsid w:val="00445A65"/>
    <w:pPr>
      <w:spacing w:after="0"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ableofFigures">
    <w:name w:val="table of figures"/>
    <w:basedOn w:val="Normal"/>
    <w:next w:val="Normal"/>
    <w:uiPriority w:val="99"/>
    <w:unhideWhenUsed/>
    <w:rsid w:val="00793F7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70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7142E-9A4E-4561-9652-059105555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1419</TotalTime>
  <Pages>28</Pages>
  <Words>33129</Words>
  <Characters>188838</Characters>
  <Application>Microsoft Office Word</Application>
  <DocSecurity>0</DocSecurity>
  <Lines>1573</Lines>
  <Paragraphs>443</Paragraphs>
  <ScaleCrop>false</ScaleCrop>
  <HeadingPairs>
    <vt:vector size="2" baseType="variant">
      <vt:variant>
        <vt:lpstr>Title</vt:lpstr>
      </vt:variant>
      <vt:variant>
        <vt:i4>1</vt:i4>
      </vt:variant>
    </vt:vector>
  </HeadingPairs>
  <TitlesOfParts>
    <vt:vector size="1" baseType="lpstr">
      <vt:lpstr/>
    </vt:vector>
  </TitlesOfParts>
  <Company>London School of Hygiene &amp; Tropical Medicine</Company>
  <LinksUpToDate>false</LinksUpToDate>
  <CharactersWithSpaces>221524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Flasche</dc:creator>
  <cp:keywords/>
  <dc:description/>
  <cp:lastModifiedBy>M</cp:lastModifiedBy>
  <cp:revision>95</cp:revision>
  <cp:lastPrinted>2016-05-13T13:00:00Z</cp:lastPrinted>
  <dcterms:created xsi:type="dcterms:W3CDTF">2016-05-13T11:09:00Z</dcterms:created>
  <dcterms:modified xsi:type="dcterms:W3CDTF">2016-11-02T08:53:00Z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http://www.zotero.org/styles/plos-medicine</vt:lpwstr>
  </property>
  <property fmtid="{D5CDD505-2E9C-101B-9397-08002B2CF9AE}" pid="4" name="Mendeley Recent Style Id 0_1">
    <vt:lpwstr>http://csl.mendeley.com/styles/2247371/american-journal-of-epidemiology</vt:lpwstr>
  </property>
  <property fmtid="{D5CDD505-2E9C-101B-9397-08002B2CF9AE}" pid="5" name="Mendeley Recent Style Name 0_1">
    <vt:lpwstr>American Journal of Epidemiology - Stefan Flasche</vt:lpwstr>
  </property>
  <property fmtid="{D5CDD505-2E9C-101B-9397-08002B2CF9AE}" pid="6" name="Mendeley Recent Style Id 1_1">
    <vt:lpwstr>http://www.zotero.org/styles/bmc-medicine</vt:lpwstr>
  </property>
  <property fmtid="{D5CDD505-2E9C-101B-9397-08002B2CF9AE}" pid="7" name="Mendeley Recent Style Name 1_1">
    <vt:lpwstr>BMC Medicine</vt:lpwstr>
  </property>
  <property fmtid="{D5CDD505-2E9C-101B-9397-08002B2CF9AE}" pid="8" name="Mendeley Recent Style Id 2_1">
    <vt:lpwstr>http://www.zotero.org/styles/bmj</vt:lpwstr>
  </property>
  <property fmtid="{D5CDD505-2E9C-101B-9397-08002B2CF9AE}" pid="9" name="Mendeley Recent Style Name 2_1">
    <vt:lpwstr>BMJ</vt:lpwstr>
  </property>
  <property fmtid="{D5CDD505-2E9C-101B-9397-08002B2CF9AE}" pid="10" name="Mendeley Recent Style Id 3_1">
    <vt:lpwstr>http://www.zotero.org/styles/emerging-infectious-diseases</vt:lpwstr>
  </property>
  <property fmtid="{D5CDD505-2E9C-101B-9397-08002B2CF9AE}" pid="11" name="Mendeley Recent Style Name 3_1">
    <vt:lpwstr>Emerging Infectious Diseases</vt:lpwstr>
  </property>
  <property fmtid="{D5CDD505-2E9C-101B-9397-08002B2CF9AE}" pid="12" name="Mendeley Recent Style Id 4_1">
    <vt:lpwstr>http://csl.mendeley.com/styles/2247371/chicago-note-bibliography-24545</vt:lpwstr>
  </property>
  <property fmtid="{D5CDD505-2E9C-101B-9397-08002B2CF9AE}" pid="13" name="Mendeley Recent Style Name 4_1">
    <vt:lpwstr>Manuscript Draft Style - Stefan F</vt:lpwstr>
  </property>
  <property fmtid="{D5CDD505-2E9C-101B-9397-08002B2CF9AE}" pid="14" name="Mendeley Recent Style Id 5_1">
    <vt:lpwstr>http://www.zotero.org/styles/plos-medicine</vt:lpwstr>
  </property>
  <property fmtid="{D5CDD505-2E9C-101B-9397-08002B2CF9AE}" pid="15" name="Mendeley Recent Style Name 5_1">
    <vt:lpwstr>PLOS Medicine</vt:lpwstr>
  </property>
  <property fmtid="{D5CDD505-2E9C-101B-9397-08002B2CF9AE}" pid="16" name="Mendeley Recent Style Id 6_1">
    <vt:lpwstr>http://www.zotero.org/styles/proceedings-of-the-royal-society-b</vt:lpwstr>
  </property>
  <property fmtid="{D5CDD505-2E9C-101B-9397-08002B2CF9AE}" pid="17" name="Mendeley Recent Style Name 6_1">
    <vt:lpwstr>Proceedings of the Royal Society B</vt:lpwstr>
  </property>
  <property fmtid="{D5CDD505-2E9C-101B-9397-08002B2CF9AE}" pid="18" name="Mendeley Recent Style Id 7_1">
    <vt:lpwstr>http://www.zotero.org/styles/plos</vt:lpwstr>
  </property>
  <property fmtid="{D5CDD505-2E9C-101B-9397-08002B2CF9AE}" pid="19" name="Mendeley Recent Style Name 7_1">
    <vt:lpwstr>Public Library of Science</vt:lpwstr>
  </property>
  <property fmtid="{D5CDD505-2E9C-101B-9397-08002B2CF9AE}" pid="20" name="Mendeley Recent Style Id 8_1">
    <vt:lpwstr>http://csl.mendeley.com/styles/2247371/plos-steftest</vt:lpwstr>
  </property>
  <property fmtid="{D5CDD505-2E9C-101B-9397-08002B2CF9AE}" pid="21" name="Mendeley Recent Style Name 8_1">
    <vt:lpwstr>Public Library of Science - Stefan Flasche test</vt:lpwstr>
  </property>
  <property fmtid="{D5CDD505-2E9C-101B-9397-08002B2CF9AE}" pid="22" name="Mendeley Recent Style Id 9_1">
    <vt:lpwstr>http://csl.mendeley.com/styles/2247371/SuperShort-SF</vt:lpwstr>
  </property>
  <property fmtid="{D5CDD505-2E9C-101B-9397-08002B2CF9AE}" pid="23" name="Mendeley Recent Style Name 9_1">
    <vt:lpwstr>SuperShort-SF</vt:lpwstr>
  </property>
  <property fmtid="{D5CDD505-2E9C-101B-9397-08002B2CF9AE}" pid="24" name="Mendeley Unique User Id_1">
    <vt:lpwstr>2ea4ecaa-afce-3232-9a56-b007907edeb3</vt:lpwstr>
  </property>
</Properties>
</file>