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2CC8" w14:textId="4F9993C5" w:rsidR="00D87AF7" w:rsidRDefault="00D87AF7" w:rsidP="005B567D">
      <w:pPr>
        <w:pStyle w:val="TableTitle"/>
      </w:pPr>
      <w:r w:rsidRPr="00BE337C">
        <w:t xml:space="preserve">STROBE </w:t>
      </w:r>
      <w:r w:rsidR="00F0752A" w:rsidRPr="00BE337C">
        <w:t>S</w:t>
      </w:r>
      <w:r w:rsidRPr="00BE337C">
        <w:t xml:space="preserve">tatement—checklist of items that should be </w:t>
      </w:r>
      <w:r w:rsidR="00B60EFB" w:rsidRPr="00BE337C">
        <w:t xml:space="preserve">included </w:t>
      </w:r>
      <w:r w:rsidRPr="00BE337C">
        <w:t>in r</w:t>
      </w:r>
      <w:r w:rsidR="004A32C8" w:rsidRPr="00BE337C">
        <w:t>eports of observational studies</w:t>
      </w:r>
    </w:p>
    <w:p w14:paraId="51C6BA1E" w14:textId="1F15EE7F" w:rsidR="00BE41C9" w:rsidRDefault="00BE41C9" w:rsidP="005B567D">
      <w:pPr>
        <w:pStyle w:val="TableTitle"/>
      </w:pPr>
    </w:p>
    <w:p w14:paraId="2173A1FD" w14:textId="77777777" w:rsidR="004A32C8" w:rsidRPr="00BE337C"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BE337C" w14:paraId="2C27E217" w14:textId="77777777" w:rsidTr="00E341E9">
        <w:tc>
          <w:tcPr>
            <w:tcW w:w="1951" w:type="dxa"/>
          </w:tcPr>
          <w:p w14:paraId="6C1A3CA0" w14:textId="77777777" w:rsidR="00191A23" w:rsidRPr="00BE337C"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594CA09" w14:textId="77777777" w:rsidR="00191A23" w:rsidRPr="00BE337C" w:rsidRDefault="00191A23" w:rsidP="0022554A">
            <w:pPr>
              <w:pStyle w:val="TableHeader"/>
              <w:tabs>
                <w:tab w:val="left" w:pos="5400"/>
              </w:tabs>
              <w:jc w:val="center"/>
              <w:rPr>
                <w:bCs/>
                <w:sz w:val="20"/>
              </w:rPr>
            </w:pPr>
            <w:r w:rsidRPr="00BE337C">
              <w:rPr>
                <w:bCs/>
                <w:sz w:val="20"/>
              </w:rPr>
              <w:t>Item No.</w:t>
            </w:r>
          </w:p>
        </w:tc>
        <w:tc>
          <w:tcPr>
            <w:tcW w:w="8031" w:type="dxa"/>
            <w:vAlign w:val="bottom"/>
          </w:tcPr>
          <w:p w14:paraId="78179FE5" w14:textId="77777777" w:rsidR="00191A23" w:rsidRPr="00BE337C" w:rsidRDefault="00191A23" w:rsidP="0022554A">
            <w:pPr>
              <w:pStyle w:val="TableHeader"/>
              <w:tabs>
                <w:tab w:val="left" w:pos="5400"/>
              </w:tabs>
              <w:jc w:val="center"/>
              <w:rPr>
                <w:bCs/>
                <w:sz w:val="20"/>
              </w:rPr>
            </w:pPr>
            <w:r w:rsidRPr="00BE337C">
              <w:rPr>
                <w:bCs/>
                <w:sz w:val="20"/>
              </w:rPr>
              <w:t>Recommendation</w:t>
            </w:r>
          </w:p>
        </w:tc>
        <w:tc>
          <w:tcPr>
            <w:tcW w:w="1559" w:type="dxa"/>
          </w:tcPr>
          <w:p w14:paraId="3D5E1239" w14:textId="637FC243" w:rsidR="00191A23" w:rsidRPr="00BE337C" w:rsidRDefault="00042BFB" w:rsidP="00976EE1">
            <w:pPr>
              <w:pStyle w:val="TableHeader"/>
              <w:tabs>
                <w:tab w:val="left" w:pos="5400"/>
              </w:tabs>
              <w:jc w:val="center"/>
              <w:rPr>
                <w:bCs/>
                <w:sz w:val="20"/>
              </w:rPr>
            </w:pPr>
            <w:r>
              <w:rPr>
                <w:bCs/>
                <w:sz w:val="20"/>
              </w:rPr>
              <w:t>Paragraph numbers per section</w:t>
            </w:r>
          </w:p>
        </w:tc>
        <w:tc>
          <w:tcPr>
            <w:tcW w:w="2835" w:type="dxa"/>
          </w:tcPr>
          <w:p w14:paraId="5CEDDC43" w14:textId="77777777" w:rsidR="00191A23" w:rsidRPr="00BE337C" w:rsidRDefault="00517788" w:rsidP="00517788">
            <w:pPr>
              <w:pStyle w:val="TableHeader"/>
              <w:tabs>
                <w:tab w:val="left" w:pos="5400"/>
              </w:tabs>
              <w:jc w:val="center"/>
              <w:rPr>
                <w:bCs/>
                <w:sz w:val="20"/>
              </w:rPr>
            </w:pPr>
            <w:r w:rsidRPr="00BE337C">
              <w:rPr>
                <w:bCs/>
                <w:sz w:val="20"/>
              </w:rPr>
              <w:t>Relevant t</w:t>
            </w:r>
            <w:r w:rsidR="00191A23" w:rsidRPr="00BE337C">
              <w:rPr>
                <w:bCs/>
                <w:sz w:val="20"/>
              </w:rPr>
              <w:t>ext from manuscript</w:t>
            </w:r>
          </w:p>
        </w:tc>
      </w:tr>
      <w:tr w:rsidR="00191A23" w:rsidRPr="00BE337C" w14:paraId="0D2121A8" w14:textId="77777777" w:rsidTr="00E341E9">
        <w:tc>
          <w:tcPr>
            <w:tcW w:w="1951" w:type="dxa"/>
            <w:vMerge w:val="restart"/>
          </w:tcPr>
          <w:p w14:paraId="1119477A" w14:textId="3ED4448A" w:rsidR="00191A23" w:rsidRPr="00BE337C"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BE337C">
              <w:rPr>
                <w:b/>
                <w:sz w:val="20"/>
              </w:rPr>
              <w:t>Title and abstract</w:t>
            </w:r>
            <w:bookmarkEnd w:id="9"/>
            <w:bookmarkEnd w:id="10"/>
          </w:p>
        </w:tc>
        <w:tc>
          <w:tcPr>
            <w:tcW w:w="616" w:type="dxa"/>
            <w:vMerge w:val="restart"/>
          </w:tcPr>
          <w:p w14:paraId="11D7D2DD" w14:textId="77777777" w:rsidR="00191A23" w:rsidRPr="00BE337C" w:rsidRDefault="00191A23" w:rsidP="0022554A">
            <w:pPr>
              <w:tabs>
                <w:tab w:val="left" w:pos="5400"/>
              </w:tabs>
              <w:jc w:val="center"/>
              <w:rPr>
                <w:sz w:val="20"/>
              </w:rPr>
            </w:pPr>
            <w:r w:rsidRPr="00BE337C">
              <w:rPr>
                <w:sz w:val="20"/>
              </w:rPr>
              <w:t>1</w:t>
            </w:r>
          </w:p>
        </w:tc>
        <w:tc>
          <w:tcPr>
            <w:tcW w:w="8031" w:type="dxa"/>
          </w:tcPr>
          <w:p w14:paraId="1FC11CF6" w14:textId="77777777" w:rsidR="00191A23" w:rsidRPr="00BE337C" w:rsidRDefault="00191A23" w:rsidP="0022554A">
            <w:pPr>
              <w:tabs>
                <w:tab w:val="left" w:pos="5400"/>
              </w:tabs>
              <w:rPr>
                <w:sz w:val="20"/>
              </w:rPr>
            </w:pPr>
            <w:r w:rsidRPr="00BE337C">
              <w:rPr>
                <w:sz w:val="20"/>
              </w:rPr>
              <w:t>(</w:t>
            </w:r>
            <w:r w:rsidRPr="00BE337C">
              <w:rPr>
                <w:i/>
                <w:sz w:val="20"/>
              </w:rPr>
              <w:t>a</w:t>
            </w:r>
            <w:r w:rsidRPr="00BE337C">
              <w:rPr>
                <w:sz w:val="20"/>
              </w:rPr>
              <w:t>) Indicate the study’s design with a commonly used term in the title or the abstract</w:t>
            </w:r>
          </w:p>
        </w:tc>
        <w:tc>
          <w:tcPr>
            <w:tcW w:w="1559" w:type="dxa"/>
          </w:tcPr>
          <w:p w14:paraId="4E80D771" w14:textId="354E8A15" w:rsidR="00191A23" w:rsidRPr="00BE337C" w:rsidRDefault="00005F5D" w:rsidP="00781B3F">
            <w:pPr>
              <w:tabs>
                <w:tab w:val="left" w:pos="5400"/>
              </w:tabs>
              <w:rPr>
                <w:sz w:val="20"/>
              </w:rPr>
            </w:pPr>
            <w:r>
              <w:rPr>
                <w:sz w:val="20"/>
              </w:rPr>
              <w:t xml:space="preserve">  </w:t>
            </w:r>
            <w:r w:rsidR="00D925B4">
              <w:rPr>
                <w:sz w:val="20"/>
              </w:rPr>
              <w:t>Title</w:t>
            </w:r>
          </w:p>
        </w:tc>
        <w:tc>
          <w:tcPr>
            <w:tcW w:w="2835" w:type="dxa"/>
          </w:tcPr>
          <w:p w14:paraId="3FD5EE3B" w14:textId="3616B2EB" w:rsidR="00191A23" w:rsidRPr="00BE337C" w:rsidRDefault="00BE41C9" w:rsidP="0022554A">
            <w:pPr>
              <w:tabs>
                <w:tab w:val="left" w:pos="5400"/>
              </w:tabs>
              <w:rPr>
                <w:i/>
                <w:sz w:val="20"/>
              </w:rPr>
            </w:pPr>
            <w:r>
              <w:rPr>
                <w:i/>
                <w:sz w:val="20"/>
              </w:rPr>
              <w:t>“</w:t>
            </w:r>
            <w:r w:rsidRPr="00BE41C9">
              <w:rPr>
                <w:i/>
                <w:sz w:val="20"/>
              </w:rPr>
              <w:t>Associations between Recreational- and Commuter Cycling, Changes in Cycling, and Type 2 Diabetes</w:t>
            </w:r>
            <w:r w:rsidR="00CF796B">
              <w:rPr>
                <w:i/>
                <w:sz w:val="20"/>
              </w:rPr>
              <w:t xml:space="preserve"> risk</w:t>
            </w:r>
            <w:bookmarkStart w:id="11" w:name="_GoBack"/>
            <w:bookmarkEnd w:id="11"/>
            <w:r w:rsidRPr="00BE41C9">
              <w:rPr>
                <w:i/>
                <w:sz w:val="20"/>
              </w:rPr>
              <w:t xml:space="preserve">: </w:t>
            </w:r>
            <w:r w:rsidRPr="00BE41C9">
              <w:rPr>
                <w:i/>
                <w:sz w:val="20"/>
                <w:u w:val="single"/>
              </w:rPr>
              <w:t>A Cohort Study</w:t>
            </w:r>
            <w:r w:rsidRPr="00BE41C9">
              <w:rPr>
                <w:i/>
                <w:sz w:val="20"/>
              </w:rPr>
              <w:t xml:space="preserve"> of Danish Men and Women</w:t>
            </w:r>
            <w:r>
              <w:rPr>
                <w:i/>
                <w:sz w:val="20"/>
              </w:rPr>
              <w:t>”</w:t>
            </w:r>
          </w:p>
        </w:tc>
      </w:tr>
      <w:tr w:rsidR="00191A23" w:rsidRPr="00BE337C" w14:paraId="077BA71F" w14:textId="77777777" w:rsidTr="00E341E9">
        <w:tc>
          <w:tcPr>
            <w:tcW w:w="1951" w:type="dxa"/>
            <w:vMerge/>
          </w:tcPr>
          <w:p w14:paraId="4B14E3CD" w14:textId="77777777" w:rsidR="00191A23" w:rsidRPr="00BE337C" w:rsidRDefault="00191A23" w:rsidP="0022554A">
            <w:pPr>
              <w:tabs>
                <w:tab w:val="left" w:pos="5400"/>
              </w:tabs>
              <w:rPr>
                <w:bCs/>
                <w:sz w:val="20"/>
              </w:rPr>
            </w:pPr>
            <w:bookmarkStart w:id="12" w:name="bold6" w:colFirst="0" w:colLast="0"/>
            <w:bookmarkStart w:id="13" w:name="italic7" w:colFirst="0" w:colLast="0"/>
          </w:p>
        </w:tc>
        <w:tc>
          <w:tcPr>
            <w:tcW w:w="616" w:type="dxa"/>
            <w:vMerge/>
          </w:tcPr>
          <w:p w14:paraId="7B740B08" w14:textId="77777777" w:rsidR="00191A23" w:rsidRPr="00BE337C" w:rsidRDefault="00191A23" w:rsidP="0022554A">
            <w:pPr>
              <w:tabs>
                <w:tab w:val="left" w:pos="5400"/>
              </w:tabs>
              <w:jc w:val="center"/>
              <w:rPr>
                <w:sz w:val="20"/>
              </w:rPr>
            </w:pPr>
          </w:p>
        </w:tc>
        <w:tc>
          <w:tcPr>
            <w:tcW w:w="8031" w:type="dxa"/>
          </w:tcPr>
          <w:p w14:paraId="2DD830C3" w14:textId="77777777" w:rsidR="00191A23" w:rsidRPr="00BE337C" w:rsidRDefault="00191A23" w:rsidP="0022554A">
            <w:pPr>
              <w:tabs>
                <w:tab w:val="left" w:pos="5400"/>
              </w:tabs>
              <w:rPr>
                <w:sz w:val="20"/>
              </w:rPr>
            </w:pPr>
            <w:r w:rsidRPr="00BE337C">
              <w:rPr>
                <w:sz w:val="20"/>
              </w:rPr>
              <w:t>(</w:t>
            </w:r>
            <w:r w:rsidRPr="00BE337C">
              <w:rPr>
                <w:i/>
                <w:sz w:val="20"/>
              </w:rPr>
              <w:t>b</w:t>
            </w:r>
            <w:r w:rsidRPr="00BE337C">
              <w:rPr>
                <w:sz w:val="20"/>
              </w:rPr>
              <w:t>) Provide in the abstract an informative and balanced summary of what was done and what was found</w:t>
            </w:r>
          </w:p>
        </w:tc>
        <w:tc>
          <w:tcPr>
            <w:tcW w:w="1559" w:type="dxa"/>
          </w:tcPr>
          <w:p w14:paraId="59D3703F" w14:textId="3AF1B659" w:rsidR="00191A23" w:rsidRPr="00BE337C" w:rsidRDefault="00005F5D" w:rsidP="00781B3F">
            <w:pPr>
              <w:tabs>
                <w:tab w:val="left" w:pos="5400"/>
              </w:tabs>
              <w:rPr>
                <w:sz w:val="20"/>
              </w:rPr>
            </w:pPr>
            <w:r>
              <w:rPr>
                <w:sz w:val="20"/>
              </w:rPr>
              <w:t xml:space="preserve">  </w:t>
            </w:r>
            <w:r w:rsidR="00D925B4">
              <w:rPr>
                <w:sz w:val="20"/>
              </w:rPr>
              <w:t>Abstract</w:t>
            </w:r>
          </w:p>
        </w:tc>
        <w:tc>
          <w:tcPr>
            <w:tcW w:w="2835" w:type="dxa"/>
          </w:tcPr>
          <w:p w14:paraId="7288DC63" w14:textId="381417E7" w:rsidR="001A67E3" w:rsidRPr="00BE337C" w:rsidRDefault="009E1678" w:rsidP="0022554A">
            <w:pPr>
              <w:tabs>
                <w:tab w:val="left" w:pos="5400"/>
              </w:tabs>
              <w:rPr>
                <w:i/>
                <w:sz w:val="20"/>
              </w:rPr>
            </w:pPr>
            <w:r>
              <w:rPr>
                <w:i/>
                <w:sz w:val="20"/>
              </w:rPr>
              <w:t>“</w:t>
            </w:r>
            <w:r w:rsidRPr="009E1678">
              <w:rPr>
                <w:i/>
                <w:sz w:val="20"/>
              </w:rPr>
              <w:t>At baseline from 1993-1997,</w:t>
            </w:r>
            <w:r w:rsidR="00FB0C89">
              <w:t xml:space="preserve"> </w:t>
            </w:r>
            <w:r w:rsidR="00FB0C89" w:rsidRPr="00FB0C89">
              <w:rPr>
                <w:i/>
                <w:sz w:val="20"/>
              </w:rPr>
              <w:t>24,623 men and 27,890 women from Denmark, 50-65 years of age and free of T2D and other chronic diseases, underwent a number of assessments</w:t>
            </w:r>
            <w:r w:rsidRPr="009E1678">
              <w:rPr>
                <w:i/>
                <w:sz w:val="20"/>
              </w:rPr>
              <w:t xml:space="preserve">, including completing a lifestyle questionnaire also addressing cycling habits. Approximately five years later at a second examination participants completed a new, updated lifestyle questionnaire. Cox regression was used to estimate hazard ratios of incident T2D registered in the Danish National Diabetes Registry, according to recreational- and commuter cycling and changes in cycling habits, with </w:t>
            </w:r>
            <w:r w:rsidRPr="009E1678">
              <w:rPr>
                <w:i/>
                <w:sz w:val="20"/>
              </w:rPr>
              <w:lastRenderedPageBreak/>
              <w:t>adjustment for a priori known T2D risk factors</w:t>
            </w:r>
            <w:r>
              <w:rPr>
                <w:i/>
                <w:sz w:val="20"/>
              </w:rPr>
              <w:t xml:space="preserve">.. </w:t>
            </w:r>
            <w:r w:rsidRPr="009E1678">
              <w:rPr>
                <w:i/>
                <w:sz w:val="20"/>
              </w:rPr>
              <w:t>Commuter and recreational cycling was consistently associated with lower risk of T2D in Danish adults. Our results also provide evidence that late in life initiation of or continued engagement in cycling lowers risk of T2D.</w:t>
            </w:r>
            <w:r>
              <w:rPr>
                <w:i/>
                <w:sz w:val="20"/>
              </w:rPr>
              <w:t>”</w:t>
            </w:r>
          </w:p>
        </w:tc>
      </w:tr>
      <w:tr w:rsidR="00191A23" w:rsidRPr="00BE337C" w14:paraId="6EAA5905" w14:textId="77777777" w:rsidTr="00E341E9">
        <w:tc>
          <w:tcPr>
            <w:tcW w:w="12157" w:type="dxa"/>
            <w:gridSpan w:val="4"/>
          </w:tcPr>
          <w:p w14:paraId="2DC70C22" w14:textId="77777777" w:rsidR="00191A23" w:rsidRPr="00BE337C" w:rsidRDefault="00191A23" w:rsidP="0022554A">
            <w:pPr>
              <w:pStyle w:val="TableSubHead"/>
              <w:tabs>
                <w:tab w:val="left" w:pos="5400"/>
              </w:tabs>
              <w:rPr>
                <w:sz w:val="20"/>
              </w:rPr>
            </w:pPr>
            <w:bookmarkStart w:id="14" w:name="bold7"/>
            <w:bookmarkStart w:id="15" w:name="italic8"/>
            <w:bookmarkEnd w:id="12"/>
            <w:bookmarkEnd w:id="13"/>
            <w:r w:rsidRPr="00BE337C">
              <w:rPr>
                <w:sz w:val="20"/>
              </w:rPr>
              <w:lastRenderedPageBreak/>
              <w:t>Introduction</w:t>
            </w:r>
          </w:p>
        </w:tc>
        <w:bookmarkEnd w:id="14"/>
        <w:bookmarkEnd w:id="15"/>
        <w:tc>
          <w:tcPr>
            <w:tcW w:w="2835" w:type="dxa"/>
          </w:tcPr>
          <w:p w14:paraId="48292CD9" w14:textId="77777777" w:rsidR="00191A23" w:rsidRPr="00BE337C" w:rsidRDefault="00191A23" w:rsidP="0022554A">
            <w:pPr>
              <w:pStyle w:val="TableSubHead"/>
              <w:tabs>
                <w:tab w:val="left" w:pos="5400"/>
              </w:tabs>
              <w:rPr>
                <w:sz w:val="20"/>
              </w:rPr>
            </w:pPr>
          </w:p>
        </w:tc>
      </w:tr>
      <w:tr w:rsidR="00191A23" w:rsidRPr="00BE337C" w14:paraId="7BB51FA4" w14:textId="77777777" w:rsidTr="008D4083">
        <w:tc>
          <w:tcPr>
            <w:tcW w:w="1951" w:type="dxa"/>
            <w:shd w:val="clear" w:color="auto" w:fill="auto"/>
          </w:tcPr>
          <w:p w14:paraId="18260D01" w14:textId="66DC9281" w:rsidR="00191A23" w:rsidRPr="00BE337C" w:rsidRDefault="00191A23" w:rsidP="0022554A">
            <w:pPr>
              <w:tabs>
                <w:tab w:val="left" w:pos="5400"/>
              </w:tabs>
              <w:rPr>
                <w:bCs/>
                <w:sz w:val="20"/>
              </w:rPr>
            </w:pPr>
            <w:bookmarkStart w:id="16" w:name="bold8"/>
            <w:bookmarkStart w:id="17" w:name="italic9"/>
            <w:r w:rsidRPr="00BE337C">
              <w:rPr>
                <w:bCs/>
                <w:sz w:val="20"/>
              </w:rPr>
              <w:t>Background/</w:t>
            </w:r>
            <w:bookmarkStart w:id="18" w:name="bold9"/>
            <w:bookmarkStart w:id="19" w:name="italic10"/>
            <w:bookmarkEnd w:id="16"/>
            <w:bookmarkEnd w:id="17"/>
            <w:r w:rsidRPr="00BE337C">
              <w:rPr>
                <w:bCs/>
                <w:sz w:val="20"/>
              </w:rPr>
              <w:t>rationale</w:t>
            </w:r>
            <w:bookmarkEnd w:id="18"/>
            <w:bookmarkEnd w:id="19"/>
          </w:p>
        </w:tc>
        <w:tc>
          <w:tcPr>
            <w:tcW w:w="616" w:type="dxa"/>
            <w:shd w:val="clear" w:color="auto" w:fill="auto"/>
          </w:tcPr>
          <w:p w14:paraId="06CDA054" w14:textId="77777777" w:rsidR="00191A23" w:rsidRPr="00BE337C" w:rsidRDefault="00191A23" w:rsidP="0022554A">
            <w:pPr>
              <w:tabs>
                <w:tab w:val="left" w:pos="5400"/>
              </w:tabs>
              <w:jc w:val="center"/>
              <w:rPr>
                <w:sz w:val="20"/>
              </w:rPr>
            </w:pPr>
            <w:r w:rsidRPr="00BE337C">
              <w:rPr>
                <w:sz w:val="20"/>
              </w:rPr>
              <w:t>2</w:t>
            </w:r>
          </w:p>
        </w:tc>
        <w:tc>
          <w:tcPr>
            <w:tcW w:w="8031" w:type="dxa"/>
            <w:shd w:val="clear" w:color="auto" w:fill="auto"/>
          </w:tcPr>
          <w:p w14:paraId="198C7C80" w14:textId="77777777" w:rsidR="00191A23" w:rsidRPr="00BE337C" w:rsidRDefault="00191A23" w:rsidP="0022554A">
            <w:pPr>
              <w:tabs>
                <w:tab w:val="left" w:pos="5400"/>
              </w:tabs>
              <w:rPr>
                <w:sz w:val="20"/>
              </w:rPr>
            </w:pPr>
            <w:r w:rsidRPr="00BE337C">
              <w:rPr>
                <w:sz w:val="20"/>
              </w:rPr>
              <w:t>Explain the scientific background and rationale for the investigation being reported</w:t>
            </w:r>
          </w:p>
        </w:tc>
        <w:tc>
          <w:tcPr>
            <w:tcW w:w="1559" w:type="dxa"/>
            <w:shd w:val="clear" w:color="auto" w:fill="auto"/>
          </w:tcPr>
          <w:p w14:paraId="3D910701" w14:textId="525A7AF6" w:rsidR="00191A23" w:rsidRPr="00BE337C" w:rsidRDefault="00D925B4" w:rsidP="001C3BC0">
            <w:pPr>
              <w:tabs>
                <w:tab w:val="left" w:pos="5400"/>
              </w:tabs>
              <w:rPr>
                <w:sz w:val="20"/>
              </w:rPr>
            </w:pPr>
            <w:r>
              <w:rPr>
                <w:sz w:val="20"/>
              </w:rPr>
              <w:t>1</w:t>
            </w:r>
            <w:r w:rsidRPr="00D925B4">
              <w:rPr>
                <w:sz w:val="20"/>
                <w:vertAlign w:val="superscript"/>
              </w:rPr>
              <w:t>st</w:t>
            </w:r>
            <w:r>
              <w:rPr>
                <w:sz w:val="20"/>
              </w:rPr>
              <w:t xml:space="preserve"> and 2</w:t>
            </w:r>
            <w:r w:rsidRPr="00D925B4">
              <w:rPr>
                <w:sz w:val="20"/>
                <w:vertAlign w:val="superscript"/>
              </w:rPr>
              <w:t>nd</w:t>
            </w:r>
            <w:r>
              <w:rPr>
                <w:sz w:val="20"/>
              </w:rPr>
              <w:t xml:space="preserve"> paragraph of</w:t>
            </w:r>
            <w:r w:rsidR="001C3BC0">
              <w:rPr>
                <w:sz w:val="20"/>
              </w:rPr>
              <w:t xml:space="preserve"> the </w:t>
            </w:r>
            <w:r>
              <w:rPr>
                <w:sz w:val="20"/>
              </w:rPr>
              <w:t xml:space="preserve"> Introduction</w:t>
            </w:r>
            <w:r w:rsidR="001C3BC0">
              <w:rPr>
                <w:sz w:val="20"/>
              </w:rPr>
              <w:t xml:space="preserve"> section</w:t>
            </w:r>
          </w:p>
        </w:tc>
        <w:tc>
          <w:tcPr>
            <w:tcW w:w="2835" w:type="dxa"/>
            <w:shd w:val="clear" w:color="auto" w:fill="auto"/>
          </w:tcPr>
          <w:p w14:paraId="610D6A2F" w14:textId="1F93E83E" w:rsidR="009E1678" w:rsidRPr="009E1678" w:rsidRDefault="009E1678" w:rsidP="009E1678">
            <w:pPr>
              <w:tabs>
                <w:tab w:val="left" w:pos="5400"/>
              </w:tabs>
              <w:rPr>
                <w:i/>
                <w:sz w:val="20"/>
              </w:rPr>
            </w:pPr>
            <w:r w:rsidRPr="009E1678">
              <w:rPr>
                <w:i/>
                <w:sz w:val="20"/>
              </w:rPr>
              <w:t xml:space="preserve">“Although habitual cycling is likely to be health- and fitness enhancing physical activity [4] its importance for chronic disease prevention in populations has been scarcely investigated. Habitual cycling has in prospective cohort studies of adults been associated with a lower incidence of fatal and non-fatal cardiovascular disease [5], less weight gain [6] and lower all-cause mortality [7]. Cycling may be particularly valuable for type 2 diabetes (T2D) prevention since a large body of evidence from observational and experimental studies shows that regular engagement in </w:t>
            </w:r>
            <w:r w:rsidRPr="009E1678">
              <w:rPr>
                <w:i/>
                <w:sz w:val="20"/>
              </w:rPr>
              <w:lastRenderedPageBreak/>
              <w:t xml:space="preserve">physical activity and lifestyle intervention incorporating physical activity substantially decreases T2D risk [8]. </w:t>
            </w:r>
          </w:p>
          <w:p w14:paraId="7FC6764B" w14:textId="186E6E61" w:rsidR="00191A23" w:rsidRPr="00BE337C" w:rsidRDefault="009E1678" w:rsidP="009E1678">
            <w:pPr>
              <w:tabs>
                <w:tab w:val="left" w:pos="5400"/>
              </w:tabs>
              <w:rPr>
                <w:sz w:val="20"/>
              </w:rPr>
            </w:pPr>
            <w:r w:rsidRPr="009E1678">
              <w:rPr>
                <w:i/>
                <w:sz w:val="20"/>
              </w:rPr>
              <w:t>The benefits of recreational and commuter cycling for the prevention of T2D are still unclear; cycling has been association with a lower risk of diabetes cross-sectionally [9-12] and two prospective studies found no lower risk of incident T2D when comparing cyclists with non-cyclists who were free of chronic disease at recruitment [13, 14]. It remains to be examined in greater detail whether cycling is valuable in the prevention of T2D.”</w:t>
            </w:r>
          </w:p>
        </w:tc>
      </w:tr>
      <w:tr w:rsidR="00191A23" w:rsidRPr="00BE337C" w14:paraId="0C6C999B" w14:textId="77777777" w:rsidTr="00E341E9">
        <w:tc>
          <w:tcPr>
            <w:tcW w:w="1951" w:type="dxa"/>
          </w:tcPr>
          <w:p w14:paraId="6E8BD548" w14:textId="77777777" w:rsidR="00191A23" w:rsidRPr="00BE337C" w:rsidRDefault="00191A23" w:rsidP="0022554A">
            <w:pPr>
              <w:tabs>
                <w:tab w:val="left" w:pos="5400"/>
              </w:tabs>
              <w:rPr>
                <w:bCs/>
                <w:sz w:val="20"/>
              </w:rPr>
            </w:pPr>
            <w:bookmarkStart w:id="20" w:name="bold10" w:colFirst="0" w:colLast="0"/>
            <w:bookmarkStart w:id="21" w:name="italic11" w:colFirst="0" w:colLast="0"/>
            <w:r w:rsidRPr="00BE337C">
              <w:rPr>
                <w:bCs/>
                <w:sz w:val="20"/>
              </w:rPr>
              <w:lastRenderedPageBreak/>
              <w:t>Objectives</w:t>
            </w:r>
          </w:p>
        </w:tc>
        <w:tc>
          <w:tcPr>
            <w:tcW w:w="616" w:type="dxa"/>
          </w:tcPr>
          <w:p w14:paraId="05820AFE" w14:textId="77777777" w:rsidR="00191A23" w:rsidRPr="00BE337C" w:rsidRDefault="00191A23" w:rsidP="0022554A">
            <w:pPr>
              <w:tabs>
                <w:tab w:val="left" w:pos="5400"/>
              </w:tabs>
              <w:jc w:val="center"/>
              <w:rPr>
                <w:sz w:val="20"/>
              </w:rPr>
            </w:pPr>
            <w:r w:rsidRPr="00BE337C">
              <w:rPr>
                <w:sz w:val="20"/>
              </w:rPr>
              <w:t>3</w:t>
            </w:r>
          </w:p>
        </w:tc>
        <w:tc>
          <w:tcPr>
            <w:tcW w:w="8031" w:type="dxa"/>
          </w:tcPr>
          <w:p w14:paraId="68EC7209" w14:textId="77777777" w:rsidR="00191A23" w:rsidRPr="00BE337C" w:rsidRDefault="00191A23" w:rsidP="0022554A">
            <w:pPr>
              <w:tabs>
                <w:tab w:val="left" w:pos="5400"/>
              </w:tabs>
              <w:rPr>
                <w:sz w:val="20"/>
              </w:rPr>
            </w:pPr>
            <w:r w:rsidRPr="00BE337C">
              <w:rPr>
                <w:sz w:val="20"/>
              </w:rPr>
              <w:t>State specific objectives, including any prespecified hypotheses</w:t>
            </w:r>
          </w:p>
        </w:tc>
        <w:tc>
          <w:tcPr>
            <w:tcW w:w="1559" w:type="dxa"/>
          </w:tcPr>
          <w:p w14:paraId="51DFB336" w14:textId="403FD443" w:rsidR="00191A23" w:rsidRPr="00BE337C" w:rsidRDefault="00D925B4" w:rsidP="002031B3">
            <w:pPr>
              <w:tabs>
                <w:tab w:val="left" w:pos="5400"/>
              </w:tabs>
              <w:rPr>
                <w:sz w:val="20"/>
              </w:rPr>
            </w:pPr>
            <w:r>
              <w:rPr>
                <w:sz w:val="20"/>
              </w:rPr>
              <w:t>2</w:t>
            </w:r>
            <w:r w:rsidRPr="00D925B4">
              <w:rPr>
                <w:sz w:val="20"/>
                <w:vertAlign w:val="superscript"/>
              </w:rPr>
              <w:t>nd</w:t>
            </w:r>
            <w:r>
              <w:rPr>
                <w:sz w:val="20"/>
              </w:rPr>
              <w:t xml:space="preserve"> paragraph of </w:t>
            </w:r>
            <w:r w:rsidR="002031B3">
              <w:rPr>
                <w:sz w:val="20"/>
              </w:rPr>
              <w:t xml:space="preserve">the </w:t>
            </w:r>
            <w:r>
              <w:rPr>
                <w:sz w:val="20"/>
              </w:rPr>
              <w:t>Introduction</w:t>
            </w:r>
            <w:r w:rsidR="002031B3">
              <w:rPr>
                <w:sz w:val="20"/>
              </w:rPr>
              <w:t xml:space="preserve"> section</w:t>
            </w:r>
          </w:p>
        </w:tc>
        <w:tc>
          <w:tcPr>
            <w:tcW w:w="2835" w:type="dxa"/>
          </w:tcPr>
          <w:p w14:paraId="0DEB06B2" w14:textId="2A813F9B" w:rsidR="00191A23" w:rsidRPr="00BE337C" w:rsidRDefault="004D1557" w:rsidP="0022554A">
            <w:pPr>
              <w:tabs>
                <w:tab w:val="left" w:pos="5400"/>
              </w:tabs>
              <w:rPr>
                <w:i/>
                <w:sz w:val="20"/>
              </w:rPr>
            </w:pPr>
            <w:r>
              <w:rPr>
                <w:i/>
                <w:sz w:val="20"/>
              </w:rPr>
              <w:t>“</w:t>
            </w:r>
            <w:r w:rsidRPr="004D1557">
              <w:rPr>
                <w:i/>
                <w:sz w:val="20"/>
              </w:rPr>
              <w:t>The purpose of this study was to investigate the prospective association of recreational- and commuter cycling with T2D risk among generally healthy Danish adults in the Diet, Cancer and Health cohort study. We also investigated how seasonal cycling and changes in cycling habits were related to incidence of T2D.</w:t>
            </w:r>
            <w:r>
              <w:rPr>
                <w:i/>
                <w:sz w:val="20"/>
              </w:rPr>
              <w:t>”</w:t>
            </w:r>
          </w:p>
        </w:tc>
      </w:tr>
      <w:tr w:rsidR="00191A23" w:rsidRPr="00BE337C" w14:paraId="33A01154" w14:textId="77777777" w:rsidTr="00E341E9">
        <w:tc>
          <w:tcPr>
            <w:tcW w:w="12157" w:type="dxa"/>
            <w:gridSpan w:val="4"/>
          </w:tcPr>
          <w:p w14:paraId="3D4D98F7" w14:textId="77777777" w:rsidR="00191A23" w:rsidRPr="00BE337C" w:rsidRDefault="00191A23" w:rsidP="0022554A">
            <w:pPr>
              <w:pStyle w:val="TableSubHead"/>
              <w:tabs>
                <w:tab w:val="left" w:pos="5400"/>
              </w:tabs>
              <w:rPr>
                <w:sz w:val="20"/>
              </w:rPr>
            </w:pPr>
            <w:bookmarkStart w:id="22" w:name="bold11"/>
            <w:bookmarkStart w:id="23" w:name="italic12"/>
            <w:bookmarkEnd w:id="20"/>
            <w:bookmarkEnd w:id="21"/>
            <w:r w:rsidRPr="00BE337C">
              <w:rPr>
                <w:sz w:val="20"/>
              </w:rPr>
              <w:t>Methods</w:t>
            </w:r>
          </w:p>
        </w:tc>
        <w:bookmarkEnd w:id="22"/>
        <w:bookmarkEnd w:id="23"/>
        <w:tc>
          <w:tcPr>
            <w:tcW w:w="2835" w:type="dxa"/>
          </w:tcPr>
          <w:p w14:paraId="64F20469" w14:textId="77777777" w:rsidR="00191A23" w:rsidRPr="00BE337C" w:rsidRDefault="00191A23" w:rsidP="0022554A">
            <w:pPr>
              <w:pStyle w:val="TableSubHead"/>
              <w:tabs>
                <w:tab w:val="left" w:pos="5400"/>
              </w:tabs>
              <w:rPr>
                <w:sz w:val="20"/>
              </w:rPr>
            </w:pPr>
          </w:p>
        </w:tc>
      </w:tr>
      <w:tr w:rsidR="00191A23" w:rsidRPr="00BE337C" w14:paraId="5C6E50FE" w14:textId="77777777" w:rsidTr="00E341E9">
        <w:tc>
          <w:tcPr>
            <w:tcW w:w="1951" w:type="dxa"/>
          </w:tcPr>
          <w:p w14:paraId="1EC58D8C" w14:textId="77777777" w:rsidR="00191A23" w:rsidRPr="00BE337C" w:rsidRDefault="00191A23" w:rsidP="0022554A">
            <w:pPr>
              <w:tabs>
                <w:tab w:val="left" w:pos="5400"/>
              </w:tabs>
              <w:rPr>
                <w:bCs/>
                <w:sz w:val="20"/>
              </w:rPr>
            </w:pPr>
            <w:bookmarkStart w:id="24" w:name="bold12" w:colFirst="0" w:colLast="0"/>
            <w:bookmarkStart w:id="25" w:name="italic13" w:colFirst="0" w:colLast="0"/>
            <w:r w:rsidRPr="00BE337C">
              <w:rPr>
                <w:bCs/>
                <w:sz w:val="20"/>
              </w:rPr>
              <w:lastRenderedPageBreak/>
              <w:t>Study design</w:t>
            </w:r>
          </w:p>
        </w:tc>
        <w:tc>
          <w:tcPr>
            <w:tcW w:w="616" w:type="dxa"/>
          </w:tcPr>
          <w:p w14:paraId="1BD3F905" w14:textId="77777777" w:rsidR="00191A23" w:rsidRPr="00BE337C" w:rsidRDefault="00191A23" w:rsidP="0022554A">
            <w:pPr>
              <w:tabs>
                <w:tab w:val="left" w:pos="5400"/>
              </w:tabs>
              <w:jc w:val="center"/>
              <w:rPr>
                <w:sz w:val="20"/>
              </w:rPr>
            </w:pPr>
            <w:r w:rsidRPr="00BE337C">
              <w:rPr>
                <w:sz w:val="20"/>
              </w:rPr>
              <w:t>4</w:t>
            </w:r>
          </w:p>
        </w:tc>
        <w:tc>
          <w:tcPr>
            <w:tcW w:w="8031" w:type="dxa"/>
          </w:tcPr>
          <w:p w14:paraId="2E050165" w14:textId="77777777" w:rsidR="00191A23" w:rsidRPr="00BE337C" w:rsidRDefault="00191A23" w:rsidP="0022554A">
            <w:pPr>
              <w:tabs>
                <w:tab w:val="left" w:pos="5400"/>
              </w:tabs>
              <w:rPr>
                <w:sz w:val="20"/>
              </w:rPr>
            </w:pPr>
            <w:r w:rsidRPr="00BE337C">
              <w:rPr>
                <w:sz w:val="20"/>
              </w:rPr>
              <w:t>Present key elements of study design early in the paper</w:t>
            </w:r>
          </w:p>
        </w:tc>
        <w:tc>
          <w:tcPr>
            <w:tcW w:w="1559" w:type="dxa"/>
          </w:tcPr>
          <w:p w14:paraId="11134B99" w14:textId="7EE1A038" w:rsidR="00191A23" w:rsidRPr="00BE337C" w:rsidRDefault="00D925B4" w:rsidP="00EC63A6">
            <w:pPr>
              <w:tabs>
                <w:tab w:val="left" w:pos="5400"/>
              </w:tabs>
              <w:jc w:val="center"/>
              <w:rPr>
                <w:sz w:val="20"/>
              </w:rPr>
            </w:pPr>
            <w:r>
              <w:rPr>
                <w:sz w:val="20"/>
              </w:rPr>
              <w:t>2</w:t>
            </w:r>
            <w:r w:rsidRPr="00D925B4">
              <w:rPr>
                <w:sz w:val="20"/>
                <w:vertAlign w:val="superscript"/>
              </w:rPr>
              <w:t>nd</w:t>
            </w:r>
            <w:r>
              <w:rPr>
                <w:sz w:val="20"/>
              </w:rPr>
              <w:t xml:space="preserve"> paragraph of</w:t>
            </w:r>
            <w:r w:rsidR="00AB320A">
              <w:rPr>
                <w:sz w:val="20"/>
              </w:rPr>
              <w:t xml:space="preserve"> the</w:t>
            </w:r>
            <w:r>
              <w:rPr>
                <w:sz w:val="20"/>
              </w:rPr>
              <w:t xml:space="preserve"> Introduction</w:t>
            </w:r>
          </w:p>
        </w:tc>
        <w:tc>
          <w:tcPr>
            <w:tcW w:w="2835" w:type="dxa"/>
          </w:tcPr>
          <w:p w14:paraId="2C47E022" w14:textId="2B5BFE07" w:rsidR="00191A23" w:rsidRPr="00BE337C" w:rsidRDefault="00973ED5" w:rsidP="00B33C31">
            <w:pPr>
              <w:tabs>
                <w:tab w:val="left" w:pos="5400"/>
              </w:tabs>
              <w:rPr>
                <w:i/>
                <w:sz w:val="20"/>
              </w:rPr>
            </w:pPr>
            <w:r>
              <w:rPr>
                <w:i/>
                <w:sz w:val="20"/>
              </w:rPr>
              <w:t>“</w:t>
            </w:r>
            <w:r w:rsidRPr="00973ED5">
              <w:rPr>
                <w:i/>
                <w:sz w:val="20"/>
              </w:rPr>
              <w:t xml:space="preserve">The purpose of this study was to investigate the </w:t>
            </w:r>
            <w:r w:rsidRPr="00973ED5">
              <w:rPr>
                <w:i/>
                <w:sz w:val="20"/>
                <w:u w:val="single"/>
              </w:rPr>
              <w:t>prospective association</w:t>
            </w:r>
            <w:r w:rsidRPr="00973ED5">
              <w:rPr>
                <w:i/>
                <w:sz w:val="20"/>
              </w:rPr>
              <w:t xml:space="preserve"> of recreational- and commuter cycling with T2D risk among generally healthy Danish adults in the </w:t>
            </w:r>
            <w:r w:rsidRPr="00973ED5">
              <w:rPr>
                <w:i/>
                <w:sz w:val="20"/>
                <w:u w:val="single"/>
              </w:rPr>
              <w:t>Diet, Cancer and Health cohort study</w:t>
            </w:r>
            <w:r w:rsidRPr="00973ED5">
              <w:rPr>
                <w:i/>
                <w:sz w:val="20"/>
              </w:rPr>
              <w:t>.</w:t>
            </w:r>
            <w:r>
              <w:rPr>
                <w:i/>
                <w:sz w:val="20"/>
              </w:rPr>
              <w:t>”</w:t>
            </w:r>
          </w:p>
        </w:tc>
      </w:tr>
      <w:tr w:rsidR="00191A23" w:rsidRPr="00BE337C" w14:paraId="6389DC8F" w14:textId="77777777" w:rsidTr="00E341E9">
        <w:tc>
          <w:tcPr>
            <w:tcW w:w="1951" w:type="dxa"/>
          </w:tcPr>
          <w:p w14:paraId="0F25F58C" w14:textId="77777777" w:rsidR="00191A23" w:rsidRPr="00BE337C" w:rsidRDefault="00191A23" w:rsidP="0022554A">
            <w:pPr>
              <w:tabs>
                <w:tab w:val="left" w:pos="5400"/>
              </w:tabs>
              <w:rPr>
                <w:bCs/>
                <w:sz w:val="20"/>
              </w:rPr>
            </w:pPr>
            <w:bookmarkStart w:id="26" w:name="bold13" w:colFirst="0" w:colLast="0"/>
            <w:bookmarkStart w:id="27" w:name="italic14" w:colFirst="0" w:colLast="0"/>
            <w:bookmarkEnd w:id="24"/>
            <w:bookmarkEnd w:id="25"/>
            <w:r w:rsidRPr="00BE337C">
              <w:rPr>
                <w:bCs/>
                <w:sz w:val="20"/>
              </w:rPr>
              <w:t>Setting</w:t>
            </w:r>
          </w:p>
        </w:tc>
        <w:tc>
          <w:tcPr>
            <w:tcW w:w="616" w:type="dxa"/>
          </w:tcPr>
          <w:p w14:paraId="3E49A419" w14:textId="77777777" w:rsidR="00191A23" w:rsidRPr="00BE337C" w:rsidRDefault="00191A23" w:rsidP="0022554A">
            <w:pPr>
              <w:tabs>
                <w:tab w:val="left" w:pos="5400"/>
              </w:tabs>
              <w:jc w:val="center"/>
              <w:rPr>
                <w:sz w:val="20"/>
              </w:rPr>
            </w:pPr>
            <w:r w:rsidRPr="00BE337C">
              <w:rPr>
                <w:sz w:val="20"/>
              </w:rPr>
              <w:t>5</w:t>
            </w:r>
          </w:p>
        </w:tc>
        <w:tc>
          <w:tcPr>
            <w:tcW w:w="8031" w:type="dxa"/>
          </w:tcPr>
          <w:p w14:paraId="2A291B51" w14:textId="77777777" w:rsidR="00191A23" w:rsidRPr="00BE337C" w:rsidRDefault="00191A23" w:rsidP="0022554A">
            <w:pPr>
              <w:tabs>
                <w:tab w:val="left" w:pos="5400"/>
              </w:tabs>
              <w:rPr>
                <w:sz w:val="20"/>
              </w:rPr>
            </w:pPr>
            <w:r w:rsidRPr="00BE337C">
              <w:rPr>
                <w:sz w:val="20"/>
              </w:rPr>
              <w:t>Describe the setting, locations, and relevant dates, including periods of recruitment, exposure, follow-up, and data collection</w:t>
            </w:r>
          </w:p>
        </w:tc>
        <w:tc>
          <w:tcPr>
            <w:tcW w:w="1559" w:type="dxa"/>
          </w:tcPr>
          <w:p w14:paraId="6DE3366C" w14:textId="78B97987" w:rsidR="006E51F8" w:rsidRPr="00A157E0" w:rsidRDefault="000750F7" w:rsidP="002031B3">
            <w:pPr>
              <w:rPr>
                <w:color w:val="000000" w:themeColor="text1"/>
                <w:sz w:val="20"/>
              </w:rPr>
            </w:pPr>
            <w:r>
              <w:rPr>
                <w:color w:val="000000" w:themeColor="text1"/>
                <w:sz w:val="20"/>
              </w:rPr>
              <w:t>1</w:t>
            </w:r>
            <w:r w:rsidRPr="000750F7">
              <w:rPr>
                <w:color w:val="000000" w:themeColor="text1"/>
                <w:sz w:val="20"/>
                <w:vertAlign w:val="superscript"/>
              </w:rPr>
              <w:t>st</w:t>
            </w:r>
            <w:r>
              <w:rPr>
                <w:color w:val="000000" w:themeColor="text1"/>
                <w:sz w:val="20"/>
              </w:rPr>
              <w:t xml:space="preserve"> and 2</w:t>
            </w:r>
            <w:r w:rsidRPr="000750F7">
              <w:rPr>
                <w:color w:val="000000" w:themeColor="text1"/>
                <w:sz w:val="20"/>
                <w:vertAlign w:val="superscript"/>
              </w:rPr>
              <w:t>nd</w:t>
            </w:r>
            <w:r>
              <w:rPr>
                <w:color w:val="000000" w:themeColor="text1"/>
                <w:sz w:val="20"/>
              </w:rPr>
              <w:t xml:space="preserve"> paragr</w:t>
            </w:r>
            <w:r w:rsidR="00AB320A">
              <w:rPr>
                <w:color w:val="000000" w:themeColor="text1"/>
                <w:sz w:val="20"/>
              </w:rPr>
              <w:t>aph of the Participants section</w:t>
            </w:r>
          </w:p>
          <w:p w14:paraId="06B97B24" w14:textId="77777777" w:rsidR="00F60D6F" w:rsidRPr="00A157E0" w:rsidRDefault="00F60D6F" w:rsidP="00F60D6F">
            <w:pPr>
              <w:jc w:val="center"/>
              <w:rPr>
                <w:color w:val="000000" w:themeColor="text1"/>
                <w:sz w:val="20"/>
              </w:rPr>
            </w:pPr>
          </w:p>
          <w:p w14:paraId="2C7BEE44" w14:textId="77777777" w:rsidR="00F60D6F" w:rsidRPr="00A157E0" w:rsidRDefault="00F60D6F" w:rsidP="00F60D6F">
            <w:pPr>
              <w:jc w:val="center"/>
              <w:rPr>
                <w:color w:val="000000" w:themeColor="text1"/>
                <w:sz w:val="20"/>
              </w:rPr>
            </w:pPr>
          </w:p>
          <w:p w14:paraId="5F844FC9" w14:textId="77777777" w:rsidR="00F60D6F" w:rsidRPr="00A157E0" w:rsidRDefault="00F60D6F" w:rsidP="00F60D6F">
            <w:pPr>
              <w:jc w:val="center"/>
              <w:rPr>
                <w:color w:val="000000" w:themeColor="text1"/>
                <w:sz w:val="20"/>
              </w:rPr>
            </w:pPr>
          </w:p>
          <w:p w14:paraId="740D912F" w14:textId="77777777" w:rsidR="00F60D6F" w:rsidRPr="00A157E0" w:rsidRDefault="00F60D6F" w:rsidP="00F60D6F">
            <w:pPr>
              <w:jc w:val="center"/>
              <w:rPr>
                <w:color w:val="000000" w:themeColor="text1"/>
                <w:sz w:val="20"/>
              </w:rPr>
            </w:pPr>
          </w:p>
          <w:p w14:paraId="279F2B2C" w14:textId="77777777" w:rsidR="00F60D6F" w:rsidRPr="00A157E0" w:rsidRDefault="00F60D6F" w:rsidP="00F60D6F">
            <w:pPr>
              <w:jc w:val="center"/>
              <w:rPr>
                <w:color w:val="000000" w:themeColor="text1"/>
                <w:sz w:val="20"/>
              </w:rPr>
            </w:pPr>
          </w:p>
          <w:p w14:paraId="35CA2474" w14:textId="77777777" w:rsidR="00F60D6F" w:rsidRPr="00A157E0" w:rsidRDefault="00F60D6F" w:rsidP="00F60D6F">
            <w:pPr>
              <w:jc w:val="center"/>
              <w:rPr>
                <w:color w:val="000000" w:themeColor="text1"/>
                <w:sz w:val="20"/>
              </w:rPr>
            </w:pPr>
          </w:p>
          <w:p w14:paraId="26D338D4" w14:textId="77777777" w:rsidR="00F60D6F" w:rsidRPr="00A157E0" w:rsidRDefault="00F60D6F" w:rsidP="00F60D6F">
            <w:pPr>
              <w:jc w:val="center"/>
              <w:rPr>
                <w:color w:val="000000" w:themeColor="text1"/>
                <w:sz w:val="20"/>
              </w:rPr>
            </w:pPr>
          </w:p>
          <w:p w14:paraId="4571F7AA" w14:textId="77777777" w:rsidR="00F60D6F" w:rsidRPr="00A157E0" w:rsidRDefault="00F60D6F" w:rsidP="00F60D6F">
            <w:pPr>
              <w:jc w:val="center"/>
              <w:rPr>
                <w:color w:val="000000" w:themeColor="text1"/>
                <w:sz w:val="20"/>
              </w:rPr>
            </w:pPr>
          </w:p>
          <w:p w14:paraId="5E1D8C49" w14:textId="77777777" w:rsidR="00F60D6F" w:rsidRPr="00A157E0" w:rsidRDefault="00F60D6F" w:rsidP="00F60D6F">
            <w:pPr>
              <w:jc w:val="center"/>
              <w:rPr>
                <w:color w:val="000000" w:themeColor="text1"/>
                <w:sz w:val="20"/>
              </w:rPr>
            </w:pPr>
          </w:p>
          <w:p w14:paraId="4EE00BFE" w14:textId="77777777" w:rsidR="00F60D6F" w:rsidRPr="00A157E0" w:rsidRDefault="00F60D6F" w:rsidP="00F60D6F">
            <w:pPr>
              <w:jc w:val="center"/>
              <w:rPr>
                <w:color w:val="000000" w:themeColor="text1"/>
                <w:sz w:val="20"/>
              </w:rPr>
            </w:pPr>
          </w:p>
          <w:p w14:paraId="165742BF" w14:textId="77777777" w:rsidR="00F60D6F" w:rsidRPr="00A157E0" w:rsidRDefault="00F60D6F" w:rsidP="00F60D6F">
            <w:pPr>
              <w:jc w:val="center"/>
              <w:rPr>
                <w:color w:val="000000" w:themeColor="text1"/>
                <w:sz w:val="20"/>
              </w:rPr>
            </w:pPr>
          </w:p>
          <w:p w14:paraId="63A1D54D" w14:textId="77777777" w:rsidR="00F60D6F" w:rsidRPr="00A157E0" w:rsidRDefault="00F60D6F" w:rsidP="00F60D6F">
            <w:pPr>
              <w:jc w:val="center"/>
              <w:rPr>
                <w:color w:val="000000" w:themeColor="text1"/>
                <w:sz w:val="20"/>
              </w:rPr>
            </w:pPr>
          </w:p>
          <w:p w14:paraId="2E3C04C2" w14:textId="77777777" w:rsidR="00F60D6F" w:rsidRPr="00A157E0" w:rsidRDefault="00F60D6F" w:rsidP="00F60D6F">
            <w:pPr>
              <w:jc w:val="center"/>
              <w:rPr>
                <w:color w:val="000000" w:themeColor="text1"/>
                <w:sz w:val="20"/>
              </w:rPr>
            </w:pPr>
          </w:p>
          <w:p w14:paraId="0609A9CD" w14:textId="38ABB498" w:rsidR="00F60D6F" w:rsidRPr="00A157E0" w:rsidRDefault="00F60D6F" w:rsidP="00F60D6F">
            <w:pPr>
              <w:jc w:val="center"/>
              <w:rPr>
                <w:color w:val="000000" w:themeColor="text1"/>
                <w:sz w:val="20"/>
              </w:rPr>
            </w:pPr>
          </w:p>
        </w:tc>
        <w:tc>
          <w:tcPr>
            <w:tcW w:w="2835" w:type="dxa"/>
          </w:tcPr>
          <w:p w14:paraId="3BC3D9DE" w14:textId="2F45F7DF" w:rsidR="006E51F8" w:rsidRPr="00A157E0" w:rsidRDefault="00F60D6F" w:rsidP="006E51F8">
            <w:pPr>
              <w:tabs>
                <w:tab w:val="left" w:pos="5400"/>
              </w:tabs>
              <w:rPr>
                <w:i/>
                <w:color w:val="000000" w:themeColor="text1"/>
                <w:sz w:val="20"/>
              </w:rPr>
            </w:pPr>
            <w:r w:rsidRPr="00A157E0">
              <w:rPr>
                <w:i/>
                <w:color w:val="000000" w:themeColor="text1"/>
                <w:sz w:val="20"/>
              </w:rPr>
              <w:t>“Between 1993 and 1997, 80,996 men and 79,729 women were invited to participate in the Diet, Cancer and Health study. Inhabitants of Aarhus and Copenhagen and surrounding cities were invited if between 50 and 64 years of age, born in Denmark and without a diagnosis of cancer registered in the Danish Cancer Registry .. Approximately five years later (mean 5.4 years) between 1999 and 2003 participants still alive and residing in Denmark were invited for a second  examination”</w:t>
            </w:r>
          </w:p>
        </w:tc>
      </w:tr>
      <w:bookmarkEnd w:id="26"/>
      <w:bookmarkEnd w:id="27"/>
      <w:tr w:rsidR="00191A23" w:rsidRPr="00BE337C" w14:paraId="17A8B00E" w14:textId="77777777" w:rsidTr="00E341E9">
        <w:tc>
          <w:tcPr>
            <w:tcW w:w="1951" w:type="dxa"/>
            <w:vMerge w:val="restart"/>
          </w:tcPr>
          <w:p w14:paraId="3ADF3BA8" w14:textId="0263072B" w:rsidR="00191A23" w:rsidRPr="00BE337C" w:rsidRDefault="00191A23" w:rsidP="0022554A">
            <w:pPr>
              <w:tabs>
                <w:tab w:val="left" w:pos="5400"/>
              </w:tabs>
              <w:rPr>
                <w:bCs/>
                <w:sz w:val="20"/>
              </w:rPr>
            </w:pPr>
            <w:r w:rsidRPr="00BE337C">
              <w:rPr>
                <w:bCs/>
                <w:sz w:val="20"/>
              </w:rPr>
              <w:t>Participants</w:t>
            </w:r>
          </w:p>
        </w:tc>
        <w:tc>
          <w:tcPr>
            <w:tcW w:w="616" w:type="dxa"/>
            <w:vMerge w:val="restart"/>
          </w:tcPr>
          <w:p w14:paraId="2100707A" w14:textId="77777777" w:rsidR="00191A23" w:rsidRPr="00BE337C" w:rsidRDefault="00191A23" w:rsidP="0022554A">
            <w:pPr>
              <w:tabs>
                <w:tab w:val="left" w:pos="5400"/>
              </w:tabs>
              <w:jc w:val="center"/>
              <w:rPr>
                <w:sz w:val="20"/>
              </w:rPr>
            </w:pPr>
            <w:r w:rsidRPr="00BE337C">
              <w:rPr>
                <w:sz w:val="20"/>
              </w:rPr>
              <w:t>6</w:t>
            </w:r>
          </w:p>
        </w:tc>
        <w:tc>
          <w:tcPr>
            <w:tcW w:w="8031" w:type="dxa"/>
          </w:tcPr>
          <w:p w14:paraId="28E7C6FF" w14:textId="77777777" w:rsidR="00191A23" w:rsidRPr="00BE337C" w:rsidRDefault="00191A23" w:rsidP="0022554A">
            <w:pPr>
              <w:tabs>
                <w:tab w:val="left" w:pos="5400"/>
              </w:tabs>
              <w:rPr>
                <w:sz w:val="20"/>
              </w:rPr>
            </w:pPr>
            <w:r w:rsidRPr="00BE337C">
              <w:rPr>
                <w:sz w:val="20"/>
              </w:rPr>
              <w:t>(</w:t>
            </w:r>
            <w:r w:rsidRPr="00BE337C">
              <w:rPr>
                <w:i/>
                <w:sz w:val="20"/>
              </w:rPr>
              <w:t>a</w:t>
            </w:r>
            <w:r w:rsidRPr="00BE337C">
              <w:rPr>
                <w:sz w:val="20"/>
              </w:rPr>
              <w:t xml:space="preserve">) </w:t>
            </w:r>
            <w:r w:rsidRPr="00784CAF">
              <w:rPr>
                <w:b/>
                <w:i/>
                <w:sz w:val="20"/>
                <w:u w:val="single"/>
              </w:rPr>
              <w:t>Cohort study</w:t>
            </w:r>
            <w:r w:rsidRPr="00BE337C">
              <w:rPr>
                <w:sz w:val="20"/>
              </w:rPr>
              <w:t>—Give the eligibility criteria, and the sources and methods of selection of participants. Describe methods of follow-up</w:t>
            </w:r>
          </w:p>
          <w:p w14:paraId="5EC9F3D6" w14:textId="77777777" w:rsidR="00191A23" w:rsidRPr="00BE337C" w:rsidRDefault="00191A23" w:rsidP="0022554A">
            <w:pPr>
              <w:tabs>
                <w:tab w:val="left" w:pos="5400"/>
              </w:tabs>
              <w:rPr>
                <w:sz w:val="20"/>
              </w:rPr>
            </w:pPr>
            <w:r w:rsidRPr="00BE337C">
              <w:rPr>
                <w:i/>
                <w:sz w:val="20"/>
              </w:rPr>
              <w:t>Case-control study</w:t>
            </w:r>
            <w:r w:rsidRPr="00BE337C">
              <w:rPr>
                <w:sz w:val="20"/>
              </w:rPr>
              <w:t>—Give the eligibility criteria, and the sources and methods of case ascertainment and control selection. Give the rationale for the choice of cases and controls</w:t>
            </w:r>
          </w:p>
          <w:p w14:paraId="049C325C" w14:textId="77777777" w:rsidR="00191A23" w:rsidRPr="00BE337C" w:rsidRDefault="00191A23" w:rsidP="0022554A">
            <w:pPr>
              <w:tabs>
                <w:tab w:val="left" w:pos="5400"/>
              </w:tabs>
              <w:rPr>
                <w:sz w:val="20"/>
              </w:rPr>
            </w:pPr>
            <w:r w:rsidRPr="00BE337C">
              <w:rPr>
                <w:i/>
                <w:sz w:val="20"/>
              </w:rPr>
              <w:t>Cross-sectional study</w:t>
            </w:r>
            <w:r w:rsidRPr="00BE337C">
              <w:rPr>
                <w:sz w:val="20"/>
              </w:rPr>
              <w:t>—Give the eligibility criteria, and the sources and methods of selection of participants</w:t>
            </w:r>
          </w:p>
        </w:tc>
        <w:tc>
          <w:tcPr>
            <w:tcW w:w="1559" w:type="dxa"/>
          </w:tcPr>
          <w:p w14:paraId="7EC535FD" w14:textId="5953AC2E" w:rsidR="00AB320A" w:rsidRPr="00A157E0" w:rsidRDefault="00AB320A" w:rsidP="002031B3">
            <w:pPr>
              <w:rPr>
                <w:color w:val="000000" w:themeColor="text1"/>
                <w:sz w:val="20"/>
              </w:rPr>
            </w:pPr>
            <w:r>
              <w:rPr>
                <w:color w:val="000000" w:themeColor="text1"/>
                <w:sz w:val="20"/>
              </w:rPr>
              <w:t>1</w:t>
            </w:r>
            <w:r w:rsidRPr="000750F7">
              <w:rPr>
                <w:color w:val="000000" w:themeColor="text1"/>
                <w:sz w:val="20"/>
                <w:vertAlign w:val="superscript"/>
              </w:rPr>
              <w:t>st</w:t>
            </w:r>
            <w:r>
              <w:rPr>
                <w:color w:val="000000" w:themeColor="text1"/>
                <w:sz w:val="20"/>
              </w:rPr>
              <w:t xml:space="preserve"> and 2</w:t>
            </w:r>
            <w:r w:rsidRPr="000750F7">
              <w:rPr>
                <w:color w:val="000000" w:themeColor="text1"/>
                <w:sz w:val="20"/>
                <w:vertAlign w:val="superscript"/>
              </w:rPr>
              <w:t>nd</w:t>
            </w:r>
            <w:r>
              <w:rPr>
                <w:color w:val="000000" w:themeColor="text1"/>
                <w:sz w:val="20"/>
              </w:rPr>
              <w:t xml:space="preserve"> paragr</w:t>
            </w:r>
            <w:r>
              <w:rPr>
                <w:color w:val="000000" w:themeColor="text1"/>
                <w:sz w:val="20"/>
              </w:rPr>
              <w:t>aph of the Participants section</w:t>
            </w:r>
          </w:p>
          <w:p w14:paraId="7744B030" w14:textId="0D11CBD4" w:rsidR="00191A23" w:rsidRPr="00A157E0" w:rsidRDefault="00191A23" w:rsidP="00784CAF">
            <w:pPr>
              <w:tabs>
                <w:tab w:val="left" w:pos="5400"/>
              </w:tabs>
              <w:jc w:val="center"/>
              <w:rPr>
                <w:color w:val="000000" w:themeColor="text1"/>
                <w:sz w:val="20"/>
              </w:rPr>
            </w:pPr>
          </w:p>
        </w:tc>
        <w:tc>
          <w:tcPr>
            <w:tcW w:w="2835" w:type="dxa"/>
          </w:tcPr>
          <w:p w14:paraId="19C7262E" w14:textId="2FF33DE2" w:rsidR="0007609B" w:rsidRPr="00A157E0" w:rsidRDefault="00784CAF" w:rsidP="0022554A">
            <w:pPr>
              <w:tabs>
                <w:tab w:val="left" w:pos="5400"/>
              </w:tabs>
              <w:rPr>
                <w:i/>
                <w:color w:val="000000" w:themeColor="text1"/>
                <w:sz w:val="20"/>
              </w:rPr>
            </w:pPr>
            <w:r w:rsidRPr="00A157E0">
              <w:rPr>
                <w:i/>
                <w:color w:val="000000" w:themeColor="text1"/>
                <w:sz w:val="20"/>
              </w:rPr>
              <w:t xml:space="preserve">“Inhabitants of Aarhus and Copenhagen and surrounding cities were invited if between 50 and 64 years of age, born in Denmark and without a diagnosis of cancer registered in the Danish Cancer Registry .. </w:t>
            </w:r>
            <w:r w:rsidRPr="00A157E0">
              <w:rPr>
                <w:i/>
                <w:color w:val="000000" w:themeColor="text1"/>
                <w:sz w:val="20"/>
              </w:rPr>
              <w:lastRenderedPageBreak/>
              <w:t xml:space="preserve">Approximately five years later (mean 5.4 years) between 1999 and 2003 participants </w:t>
            </w:r>
            <w:r w:rsidRPr="00A157E0">
              <w:rPr>
                <w:i/>
                <w:color w:val="000000" w:themeColor="text1"/>
                <w:sz w:val="20"/>
                <w:u w:val="single"/>
              </w:rPr>
              <w:t>still alive and residing in Denmark</w:t>
            </w:r>
            <w:r w:rsidRPr="00A157E0">
              <w:rPr>
                <w:i/>
                <w:color w:val="000000" w:themeColor="text1"/>
                <w:sz w:val="20"/>
              </w:rPr>
              <w:t xml:space="preserve"> were invited for a second examination and 45,264 or 79.3% of the original cohort participated.”</w:t>
            </w:r>
          </w:p>
          <w:p w14:paraId="0D4D417D" w14:textId="77777777" w:rsidR="00784CAF" w:rsidRPr="00A157E0" w:rsidRDefault="00784CAF" w:rsidP="0022554A">
            <w:pPr>
              <w:tabs>
                <w:tab w:val="left" w:pos="5400"/>
              </w:tabs>
              <w:rPr>
                <w:color w:val="000000" w:themeColor="text1"/>
                <w:sz w:val="20"/>
              </w:rPr>
            </w:pPr>
          </w:p>
          <w:p w14:paraId="21280731" w14:textId="7015BEFF" w:rsidR="00784CAF" w:rsidRPr="00A157E0" w:rsidRDefault="00784CAF" w:rsidP="0022554A">
            <w:pPr>
              <w:tabs>
                <w:tab w:val="left" w:pos="5400"/>
              </w:tabs>
              <w:rPr>
                <w:color w:val="000000" w:themeColor="text1"/>
                <w:sz w:val="20"/>
              </w:rPr>
            </w:pPr>
          </w:p>
        </w:tc>
      </w:tr>
      <w:tr w:rsidR="00191A23" w:rsidRPr="00BE337C" w14:paraId="30B4C7C7" w14:textId="77777777" w:rsidTr="00E341E9">
        <w:tc>
          <w:tcPr>
            <w:tcW w:w="1951" w:type="dxa"/>
            <w:vMerge/>
          </w:tcPr>
          <w:p w14:paraId="3D76C6FA" w14:textId="77777777" w:rsidR="00191A23" w:rsidRPr="00BE337C" w:rsidRDefault="00191A23" w:rsidP="0022554A">
            <w:pPr>
              <w:tabs>
                <w:tab w:val="left" w:pos="5400"/>
              </w:tabs>
              <w:rPr>
                <w:bCs/>
                <w:sz w:val="20"/>
              </w:rPr>
            </w:pPr>
            <w:bookmarkStart w:id="28" w:name="bold14" w:colFirst="0" w:colLast="0"/>
            <w:bookmarkStart w:id="29" w:name="italic15" w:colFirst="0" w:colLast="0"/>
          </w:p>
        </w:tc>
        <w:tc>
          <w:tcPr>
            <w:tcW w:w="616" w:type="dxa"/>
            <w:vMerge/>
          </w:tcPr>
          <w:p w14:paraId="10BC4003" w14:textId="77777777" w:rsidR="00191A23" w:rsidRPr="00BE337C" w:rsidRDefault="00191A23" w:rsidP="0022554A">
            <w:pPr>
              <w:tabs>
                <w:tab w:val="left" w:pos="5400"/>
              </w:tabs>
              <w:jc w:val="center"/>
              <w:rPr>
                <w:sz w:val="20"/>
              </w:rPr>
            </w:pPr>
          </w:p>
        </w:tc>
        <w:tc>
          <w:tcPr>
            <w:tcW w:w="8031" w:type="dxa"/>
          </w:tcPr>
          <w:p w14:paraId="20F068BE" w14:textId="77777777" w:rsidR="00191A23" w:rsidRPr="00BE337C" w:rsidRDefault="00191A23" w:rsidP="0022554A">
            <w:pPr>
              <w:tabs>
                <w:tab w:val="left" w:pos="5400"/>
              </w:tabs>
              <w:rPr>
                <w:sz w:val="20"/>
              </w:rPr>
            </w:pPr>
            <w:r w:rsidRPr="00BE337C">
              <w:rPr>
                <w:sz w:val="20"/>
              </w:rPr>
              <w:t>(</w:t>
            </w:r>
            <w:r w:rsidRPr="00BE337C">
              <w:rPr>
                <w:i/>
                <w:sz w:val="20"/>
              </w:rPr>
              <w:t>b</w:t>
            </w:r>
            <w:r w:rsidRPr="00BE337C">
              <w:rPr>
                <w:sz w:val="20"/>
              </w:rPr>
              <w:t>)</w:t>
            </w:r>
            <w:r w:rsidRPr="00BE337C">
              <w:rPr>
                <w:b/>
                <w:bCs/>
                <w:sz w:val="20"/>
              </w:rPr>
              <w:t xml:space="preserve"> </w:t>
            </w:r>
            <w:r w:rsidRPr="00784CAF">
              <w:rPr>
                <w:b/>
                <w:bCs/>
                <w:i/>
                <w:sz w:val="20"/>
                <w:u w:val="single"/>
              </w:rPr>
              <w:t>Cohort study</w:t>
            </w:r>
            <w:r w:rsidRPr="00BE337C">
              <w:rPr>
                <w:sz w:val="20"/>
              </w:rPr>
              <w:t>—For matched studies, give matching criteria and number of exposed and unexposed</w:t>
            </w:r>
          </w:p>
          <w:p w14:paraId="41EEF699" w14:textId="77777777" w:rsidR="00191A23" w:rsidRPr="00BE337C" w:rsidRDefault="00191A23" w:rsidP="0022554A">
            <w:pPr>
              <w:tabs>
                <w:tab w:val="left" w:pos="5400"/>
              </w:tabs>
              <w:rPr>
                <w:i/>
                <w:sz w:val="20"/>
              </w:rPr>
            </w:pPr>
            <w:r w:rsidRPr="00BE337C">
              <w:rPr>
                <w:bCs/>
                <w:i/>
                <w:sz w:val="20"/>
              </w:rPr>
              <w:t>Case-control study</w:t>
            </w:r>
            <w:r w:rsidRPr="00BE337C">
              <w:rPr>
                <w:sz w:val="20"/>
              </w:rPr>
              <w:t>—For matched studies, give matching criteria and the number of controls per case</w:t>
            </w:r>
          </w:p>
        </w:tc>
        <w:tc>
          <w:tcPr>
            <w:tcW w:w="1559" w:type="dxa"/>
          </w:tcPr>
          <w:p w14:paraId="0777208E" w14:textId="77777777" w:rsidR="00191A23" w:rsidRPr="00A157E0" w:rsidRDefault="00191A23" w:rsidP="0022554A">
            <w:pPr>
              <w:tabs>
                <w:tab w:val="left" w:pos="5400"/>
              </w:tabs>
              <w:rPr>
                <w:color w:val="FF0000"/>
                <w:sz w:val="20"/>
              </w:rPr>
            </w:pPr>
          </w:p>
        </w:tc>
        <w:tc>
          <w:tcPr>
            <w:tcW w:w="2835" w:type="dxa"/>
          </w:tcPr>
          <w:p w14:paraId="00289A51" w14:textId="5BE047B7" w:rsidR="00191A23" w:rsidRPr="004F2E25" w:rsidRDefault="00023870" w:rsidP="0022554A">
            <w:pPr>
              <w:tabs>
                <w:tab w:val="left" w:pos="5400"/>
              </w:tabs>
              <w:rPr>
                <w:color w:val="FF0000"/>
                <w:sz w:val="20"/>
              </w:rPr>
            </w:pPr>
            <w:r w:rsidRPr="00A157E0">
              <w:rPr>
                <w:color w:val="000000" w:themeColor="text1"/>
                <w:sz w:val="20"/>
              </w:rPr>
              <w:t>Not applicable</w:t>
            </w:r>
          </w:p>
        </w:tc>
      </w:tr>
      <w:tr w:rsidR="00191A23" w:rsidRPr="00BE337C" w14:paraId="756A0539" w14:textId="77777777" w:rsidTr="00E341E9">
        <w:tc>
          <w:tcPr>
            <w:tcW w:w="1951" w:type="dxa"/>
          </w:tcPr>
          <w:p w14:paraId="2260F989" w14:textId="77777777" w:rsidR="00191A23" w:rsidRPr="00BE337C" w:rsidRDefault="00191A23" w:rsidP="0022554A">
            <w:pPr>
              <w:tabs>
                <w:tab w:val="left" w:pos="5400"/>
              </w:tabs>
              <w:rPr>
                <w:bCs/>
                <w:sz w:val="20"/>
              </w:rPr>
            </w:pPr>
            <w:bookmarkStart w:id="30" w:name="bold16" w:colFirst="0" w:colLast="0"/>
            <w:bookmarkStart w:id="31" w:name="italic17" w:colFirst="0" w:colLast="0"/>
            <w:bookmarkEnd w:id="28"/>
            <w:bookmarkEnd w:id="29"/>
            <w:r w:rsidRPr="00BE337C">
              <w:rPr>
                <w:bCs/>
                <w:sz w:val="20"/>
              </w:rPr>
              <w:t>Variables</w:t>
            </w:r>
          </w:p>
        </w:tc>
        <w:tc>
          <w:tcPr>
            <w:tcW w:w="616" w:type="dxa"/>
          </w:tcPr>
          <w:p w14:paraId="7D51AF45" w14:textId="77777777" w:rsidR="00191A23" w:rsidRPr="00BE337C" w:rsidRDefault="00191A23" w:rsidP="0022554A">
            <w:pPr>
              <w:tabs>
                <w:tab w:val="left" w:pos="5400"/>
              </w:tabs>
              <w:jc w:val="center"/>
              <w:rPr>
                <w:sz w:val="20"/>
              </w:rPr>
            </w:pPr>
            <w:r w:rsidRPr="00BE337C">
              <w:rPr>
                <w:sz w:val="20"/>
              </w:rPr>
              <w:t>7</w:t>
            </w:r>
          </w:p>
        </w:tc>
        <w:tc>
          <w:tcPr>
            <w:tcW w:w="8031" w:type="dxa"/>
          </w:tcPr>
          <w:p w14:paraId="41BDD43D" w14:textId="77777777" w:rsidR="00191A23" w:rsidRPr="00BE337C" w:rsidRDefault="00191A23" w:rsidP="0022554A">
            <w:pPr>
              <w:tabs>
                <w:tab w:val="left" w:pos="5400"/>
              </w:tabs>
              <w:rPr>
                <w:sz w:val="20"/>
              </w:rPr>
            </w:pPr>
            <w:r w:rsidRPr="00BE337C">
              <w:rPr>
                <w:sz w:val="20"/>
              </w:rPr>
              <w:t>Clearly define all outcomes, exposures, predictors, potential confounders, and effect modifiers. Give diagnostic criteria, if applicable</w:t>
            </w:r>
          </w:p>
        </w:tc>
        <w:tc>
          <w:tcPr>
            <w:tcW w:w="1559" w:type="dxa"/>
          </w:tcPr>
          <w:p w14:paraId="62CD67DC" w14:textId="294327F6" w:rsidR="00BF57F3" w:rsidRPr="00A157E0" w:rsidRDefault="00AB320A" w:rsidP="00023870">
            <w:pPr>
              <w:tabs>
                <w:tab w:val="left" w:pos="5400"/>
              </w:tabs>
              <w:rPr>
                <w:color w:val="000000" w:themeColor="text1"/>
                <w:sz w:val="20"/>
              </w:rPr>
            </w:pPr>
            <w:r>
              <w:rPr>
                <w:color w:val="000000" w:themeColor="text1"/>
                <w:sz w:val="20"/>
              </w:rPr>
              <w:t>- 1</w:t>
            </w:r>
            <w:r w:rsidRPr="00AB320A">
              <w:rPr>
                <w:color w:val="000000" w:themeColor="text1"/>
                <w:sz w:val="20"/>
                <w:vertAlign w:val="superscript"/>
              </w:rPr>
              <w:t>st</w:t>
            </w:r>
            <w:r>
              <w:rPr>
                <w:color w:val="000000" w:themeColor="text1"/>
                <w:sz w:val="20"/>
              </w:rPr>
              <w:t xml:space="preserve"> paragraph of the Follow-up and identification of T2D cases section </w:t>
            </w:r>
            <w:r w:rsidR="00023870" w:rsidRPr="00A157E0">
              <w:rPr>
                <w:color w:val="000000" w:themeColor="text1"/>
                <w:sz w:val="20"/>
              </w:rPr>
              <w:t>(outcome)</w:t>
            </w:r>
          </w:p>
          <w:p w14:paraId="7C654791" w14:textId="77777777" w:rsidR="00023870" w:rsidRPr="00A157E0" w:rsidRDefault="00023870" w:rsidP="00023870">
            <w:pPr>
              <w:tabs>
                <w:tab w:val="left" w:pos="5400"/>
              </w:tabs>
              <w:rPr>
                <w:color w:val="FF0000"/>
                <w:sz w:val="20"/>
              </w:rPr>
            </w:pPr>
          </w:p>
          <w:p w14:paraId="7800A37F" w14:textId="77777777" w:rsidR="00023870" w:rsidRPr="00A157E0" w:rsidRDefault="00023870" w:rsidP="00023870">
            <w:pPr>
              <w:tabs>
                <w:tab w:val="left" w:pos="5400"/>
              </w:tabs>
              <w:rPr>
                <w:color w:val="FF0000"/>
                <w:sz w:val="20"/>
              </w:rPr>
            </w:pPr>
          </w:p>
          <w:p w14:paraId="50AC6EEF" w14:textId="77777777" w:rsidR="00023870" w:rsidRPr="00A157E0" w:rsidRDefault="00023870" w:rsidP="00023870">
            <w:pPr>
              <w:tabs>
                <w:tab w:val="left" w:pos="5400"/>
              </w:tabs>
              <w:rPr>
                <w:color w:val="FF0000"/>
                <w:sz w:val="20"/>
              </w:rPr>
            </w:pPr>
          </w:p>
          <w:p w14:paraId="2393F3E2" w14:textId="77777777" w:rsidR="00023870" w:rsidRPr="00A157E0" w:rsidRDefault="00023870" w:rsidP="00023870">
            <w:pPr>
              <w:tabs>
                <w:tab w:val="left" w:pos="5400"/>
              </w:tabs>
              <w:rPr>
                <w:color w:val="FF0000"/>
                <w:sz w:val="20"/>
              </w:rPr>
            </w:pPr>
          </w:p>
          <w:p w14:paraId="19FC6B7A" w14:textId="77777777" w:rsidR="00023870" w:rsidRPr="00A157E0" w:rsidRDefault="00023870" w:rsidP="00023870">
            <w:pPr>
              <w:tabs>
                <w:tab w:val="left" w:pos="5400"/>
              </w:tabs>
              <w:rPr>
                <w:color w:val="FF0000"/>
                <w:sz w:val="20"/>
              </w:rPr>
            </w:pPr>
          </w:p>
          <w:p w14:paraId="203B3B11" w14:textId="77777777" w:rsidR="00023870" w:rsidRPr="00A157E0" w:rsidRDefault="00023870" w:rsidP="00023870">
            <w:pPr>
              <w:tabs>
                <w:tab w:val="left" w:pos="5400"/>
              </w:tabs>
              <w:rPr>
                <w:color w:val="FF0000"/>
                <w:sz w:val="20"/>
              </w:rPr>
            </w:pPr>
          </w:p>
          <w:p w14:paraId="344BE3DB" w14:textId="77777777" w:rsidR="00023870" w:rsidRPr="00A157E0" w:rsidRDefault="00023870" w:rsidP="00023870">
            <w:pPr>
              <w:tabs>
                <w:tab w:val="left" w:pos="5400"/>
              </w:tabs>
              <w:rPr>
                <w:color w:val="FF0000"/>
                <w:sz w:val="20"/>
              </w:rPr>
            </w:pPr>
          </w:p>
          <w:p w14:paraId="7EC8B2F4" w14:textId="77777777" w:rsidR="00023870" w:rsidRPr="00A157E0" w:rsidRDefault="00023870" w:rsidP="00023870">
            <w:pPr>
              <w:tabs>
                <w:tab w:val="left" w:pos="5400"/>
              </w:tabs>
              <w:rPr>
                <w:color w:val="FF0000"/>
                <w:sz w:val="20"/>
              </w:rPr>
            </w:pPr>
          </w:p>
          <w:p w14:paraId="56252A26" w14:textId="77777777" w:rsidR="00023870" w:rsidRPr="00A157E0" w:rsidRDefault="00023870" w:rsidP="00023870">
            <w:pPr>
              <w:tabs>
                <w:tab w:val="left" w:pos="5400"/>
              </w:tabs>
              <w:rPr>
                <w:color w:val="FF0000"/>
                <w:sz w:val="20"/>
              </w:rPr>
            </w:pPr>
          </w:p>
          <w:p w14:paraId="59E6635D" w14:textId="77777777" w:rsidR="00023870" w:rsidRPr="00A157E0" w:rsidRDefault="00023870" w:rsidP="00023870">
            <w:pPr>
              <w:tabs>
                <w:tab w:val="left" w:pos="5400"/>
              </w:tabs>
              <w:rPr>
                <w:color w:val="FF0000"/>
                <w:sz w:val="20"/>
              </w:rPr>
            </w:pPr>
          </w:p>
          <w:p w14:paraId="69C08CBD" w14:textId="77777777" w:rsidR="00023870" w:rsidRPr="00A157E0" w:rsidRDefault="00023870" w:rsidP="00023870">
            <w:pPr>
              <w:tabs>
                <w:tab w:val="left" w:pos="5400"/>
              </w:tabs>
              <w:rPr>
                <w:color w:val="FF0000"/>
                <w:sz w:val="20"/>
              </w:rPr>
            </w:pPr>
          </w:p>
          <w:p w14:paraId="35CF61EE" w14:textId="77777777" w:rsidR="00023870" w:rsidRPr="00A157E0" w:rsidRDefault="00023870" w:rsidP="00023870">
            <w:pPr>
              <w:tabs>
                <w:tab w:val="left" w:pos="5400"/>
              </w:tabs>
              <w:rPr>
                <w:color w:val="FF0000"/>
                <w:sz w:val="20"/>
              </w:rPr>
            </w:pPr>
          </w:p>
          <w:p w14:paraId="4752D308" w14:textId="77777777" w:rsidR="00023870" w:rsidRPr="00A157E0" w:rsidRDefault="00023870" w:rsidP="00023870">
            <w:pPr>
              <w:tabs>
                <w:tab w:val="left" w:pos="5400"/>
              </w:tabs>
              <w:rPr>
                <w:color w:val="FF0000"/>
                <w:sz w:val="20"/>
              </w:rPr>
            </w:pPr>
          </w:p>
          <w:p w14:paraId="4768310E" w14:textId="77777777" w:rsidR="00023870" w:rsidRPr="00A157E0" w:rsidRDefault="00023870" w:rsidP="00023870">
            <w:pPr>
              <w:tabs>
                <w:tab w:val="left" w:pos="5400"/>
              </w:tabs>
              <w:rPr>
                <w:color w:val="FF0000"/>
                <w:sz w:val="20"/>
              </w:rPr>
            </w:pPr>
          </w:p>
          <w:p w14:paraId="5AD191E1" w14:textId="77777777" w:rsidR="00023870" w:rsidRPr="00A157E0" w:rsidRDefault="00023870" w:rsidP="00023870">
            <w:pPr>
              <w:tabs>
                <w:tab w:val="left" w:pos="5400"/>
              </w:tabs>
              <w:rPr>
                <w:color w:val="FF0000"/>
                <w:sz w:val="20"/>
              </w:rPr>
            </w:pPr>
          </w:p>
          <w:p w14:paraId="61016177" w14:textId="77777777" w:rsidR="00023870" w:rsidRPr="00A157E0" w:rsidRDefault="00023870" w:rsidP="00023870">
            <w:pPr>
              <w:tabs>
                <w:tab w:val="left" w:pos="5400"/>
              </w:tabs>
              <w:rPr>
                <w:color w:val="FF0000"/>
                <w:sz w:val="20"/>
              </w:rPr>
            </w:pPr>
          </w:p>
          <w:p w14:paraId="71597129" w14:textId="77777777" w:rsidR="00023870" w:rsidRPr="00A157E0" w:rsidRDefault="00023870" w:rsidP="00023870">
            <w:pPr>
              <w:tabs>
                <w:tab w:val="left" w:pos="5400"/>
              </w:tabs>
              <w:rPr>
                <w:color w:val="FF0000"/>
                <w:sz w:val="20"/>
              </w:rPr>
            </w:pPr>
          </w:p>
          <w:p w14:paraId="013799FD" w14:textId="77777777" w:rsidR="00023870" w:rsidRPr="00A157E0" w:rsidRDefault="00023870" w:rsidP="00023870">
            <w:pPr>
              <w:tabs>
                <w:tab w:val="left" w:pos="5400"/>
              </w:tabs>
              <w:rPr>
                <w:color w:val="FF0000"/>
                <w:sz w:val="20"/>
              </w:rPr>
            </w:pPr>
          </w:p>
          <w:p w14:paraId="7322D895" w14:textId="77777777" w:rsidR="00023870" w:rsidRPr="00A157E0" w:rsidRDefault="00023870" w:rsidP="00023870">
            <w:pPr>
              <w:tabs>
                <w:tab w:val="left" w:pos="5400"/>
              </w:tabs>
              <w:rPr>
                <w:color w:val="FF0000"/>
                <w:sz w:val="20"/>
              </w:rPr>
            </w:pPr>
          </w:p>
          <w:p w14:paraId="72FDB441" w14:textId="77777777" w:rsidR="00023870" w:rsidRPr="00A157E0" w:rsidRDefault="00023870" w:rsidP="00023870">
            <w:pPr>
              <w:tabs>
                <w:tab w:val="left" w:pos="5400"/>
              </w:tabs>
              <w:rPr>
                <w:color w:val="FF0000"/>
                <w:sz w:val="20"/>
              </w:rPr>
            </w:pPr>
          </w:p>
          <w:p w14:paraId="4D305013" w14:textId="77777777" w:rsidR="002E6994" w:rsidRDefault="002E6994" w:rsidP="00023870">
            <w:pPr>
              <w:tabs>
                <w:tab w:val="left" w:pos="5400"/>
              </w:tabs>
              <w:rPr>
                <w:color w:val="000000" w:themeColor="text1"/>
                <w:sz w:val="20"/>
              </w:rPr>
            </w:pPr>
          </w:p>
          <w:p w14:paraId="3DBB6FE4" w14:textId="34992022" w:rsidR="00023870" w:rsidRPr="00A157E0" w:rsidRDefault="00A157E0" w:rsidP="00023870">
            <w:pPr>
              <w:tabs>
                <w:tab w:val="left" w:pos="5400"/>
              </w:tabs>
              <w:rPr>
                <w:color w:val="000000" w:themeColor="text1"/>
                <w:sz w:val="20"/>
              </w:rPr>
            </w:pPr>
            <w:r w:rsidRPr="00A157E0">
              <w:rPr>
                <w:color w:val="000000" w:themeColor="text1"/>
                <w:sz w:val="20"/>
              </w:rPr>
              <w:t xml:space="preserve">- </w:t>
            </w:r>
            <w:r w:rsidR="00AB320A">
              <w:rPr>
                <w:color w:val="000000" w:themeColor="text1"/>
                <w:sz w:val="20"/>
              </w:rPr>
              <w:t>1</w:t>
            </w:r>
            <w:r w:rsidR="00AB320A" w:rsidRPr="00AB320A">
              <w:rPr>
                <w:color w:val="000000" w:themeColor="text1"/>
                <w:sz w:val="20"/>
                <w:vertAlign w:val="superscript"/>
              </w:rPr>
              <w:t>st</w:t>
            </w:r>
            <w:r w:rsidR="00AB320A">
              <w:rPr>
                <w:color w:val="000000" w:themeColor="text1"/>
                <w:sz w:val="20"/>
              </w:rPr>
              <w:t>-5</w:t>
            </w:r>
            <w:r w:rsidR="00AB320A" w:rsidRPr="00AB320A">
              <w:rPr>
                <w:color w:val="000000" w:themeColor="text1"/>
                <w:sz w:val="20"/>
                <w:vertAlign w:val="superscript"/>
              </w:rPr>
              <w:t>th</w:t>
            </w:r>
            <w:r w:rsidR="002E6994">
              <w:rPr>
                <w:color w:val="000000" w:themeColor="text1"/>
                <w:sz w:val="20"/>
                <w:vertAlign w:val="superscript"/>
              </w:rPr>
              <w:t xml:space="preserve"> </w:t>
            </w:r>
            <w:r w:rsidR="002E6994">
              <w:rPr>
                <w:color w:val="000000" w:themeColor="text1"/>
                <w:sz w:val="20"/>
              </w:rPr>
              <w:t xml:space="preserve"> paragraph of the Assessment of physical activity section </w:t>
            </w:r>
            <w:r w:rsidR="00AB320A">
              <w:rPr>
                <w:color w:val="000000" w:themeColor="text1"/>
                <w:sz w:val="20"/>
              </w:rPr>
              <w:t xml:space="preserve"> </w:t>
            </w:r>
          </w:p>
          <w:p w14:paraId="237B69B5" w14:textId="5F694339" w:rsidR="00F47137" w:rsidRPr="00A157E0" w:rsidRDefault="00A157E0" w:rsidP="00023870">
            <w:pPr>
              <w:tabs>
                <w:tab w:val="left" w:pos="5400"/>
              </w:tabs>
              <w:rPr>
                <w:color w:val="000000" w:themeColor="text1"/>
                <w:sz w:val="20"/>
              </w:rPr>
            </w:pPr>
            <w:r>
              <w:rPr>
                <w:color w:val="000000" w:themeColor="text1"/>
                <w:sz w:val="20"/>
              </w:rPr>
              <w:t>(exposure</w:t>
            </w:r>
            <w:r w:rsidR="00F47137" w:rsidRPr="00A157E0">
              <w:rPr>
                <w:color w:val="000000" w:themeColor="text1"/>
                <w:sz w:val="20"/>
              </w:rPr>
              <w:t>)</w:t>
            </w:r>
          </w:p>
          <w:p w14:paraId="5727BBC7" w14:textId="77777777" w:rsidR="00F47137" w:rsidRPr="00A157E0" w:rsidRDefault="00F47137" w:rsidP="00023870">
            <w:pPr>
              <w:tabs>
                <w:tab w:val="left" w:pos="5400"/>
              </w:tabs>
              <w:rPr>
                <w:color w:val="FF0000"/>
                <w:sz w:val="20"/>
              </w:rPr>
            </w:pPr>
          </w:p>
          <w:p w14:paraId="2954C3F1" w14:textId="77777777" w:rsidR="00F47137" w:rsidRPr="00A157E0" w:rsidRDefault="00F47137" w:rsidP="00023870">
            <w:pPr>
              <w:tabs>
                <w:tab w:val="left" w:pos="5400"/>
              </w:tabs>
              <w:rPr>
                <w:color w:val="FF0000"/>
                <w:sz w:val="20"/>
              </w:rPr>
            </w:pPr>
          </w:p>
          <w:p w14:paraId="66786203" w14:textId="77777777" w:rsidR="00F47137" w:rsidRPr="00A157E0" w:rsidRDefault="00F47137" w:rsidP="00023870">
            <w:pPr>
              <w:tabs>
                <w:tab w:val="left" w:pos="5400"/>
              </w:tabs>
              <w:rPr>
                <w:color w:val="FF0000"/>
                <w:sz w:val="20"/>
              </w:rPr>
            </w:pPr>
          </w:p>
          <w:p w14:paraId="20ADBF8B" w14:textId="77777777" w:rsidR="00F47137" w:rsidRPr="00A157E0" w:rsidRDefault="00F47137" w:rsidP="00023870">
            <w:pPr>
              <w:tabs>
                <w:tab w:val="left" w:pos="5400"/>
              </w:tabs>
              <w:rPr>
                <w:color w:val="FF0000"/>
                <w:sz w:val="20"/>
              </w:rPr>
            </w:pPr>
          </w:p>
          <w:p w14:paraId="34BE96CE" w14:textId="77777777" w:rsidR="00F47137" w:rsidRPr="00A157E0" w:rsidRDefault="00F47137" w:rsidP="00023870">
            <w:pPr>
              <w:tabs>
                <w:tab w:val="left" w:pos="5400"/>
              </w:tabs>
              <w:rPr>
                <w:color w:val="FF0000"/>
                <w:sz w:val="20"/>
              </w:rPr>
            </w:pPr>
          </w:p>
          <w:p w14:paraId="14E8BB82" w14:textId="77777777" w:rsidR="00F47137" w:rsidRPr="00A157E0" w:rsidRDefault="00F47137" w:rsidP="00023870">
            <w:pPr>
              <w:tabs>
                <w:tab w:val="left" w:pos="5400"/>
              </w:tabs>
              <w:rPr>
                <w:color w:val="FF0000"/>
                <w:sz w:val="20"/>
              </w:rPr>
            </w:pPr>
          </w:p>
          <w:p w14:paraId="2229AC27" w14:textId="77777777" w:rsidR="00F47137" w:rsidRPr="00A157E0" w:rsidRDefault="00F47137" w:rsidP="00023870">
            <w:pPr>
              <w:tabs>
                <w:tab w:val="left" w:pos="5400"/>
              </w:tabs>
              <w:rPr>
                <w:color w:val="FF0000"/>
                <w:sz w:val="20"/>
              </w:rPr>
            </w:pPr>
          </w:p>
          <w:p w14:paraId="058A3830" w14:textId="77777777" w:rsidR="00F47137" w:rsidRPr="00A157E0" w:rsidRDefault="00F47137" w:rsidP="00023870">
            <w:pPr>
              <w:tabs>
                <w:tab w:val="left" w:pos="5400"/>
              </w:tabs>
              <w:rPr>
                <w:color w:val="FF0000"/>
                <w:sz w:val="20"/>
              </w:rPr>
            </w:pPr>
          </w:p>
          <w:p w14:paraId="0C1E82BD" w14:textId="77777777" w:rsidR="00F47137" w:rsidRPr="00A157E0" w:rsidRDefault="00F47137" w:rsidP="00023870">
            <w:pPr>
              <w:tabs>
                <w:tab w:val="left" w:pos="5400"/>
              </w:tabs>
              <w:rPr>
                <w:color w:val="FF0000"/>
                <w:sz w:val="20"/>
              </w:rPr>
            </w:pPr>
          </w:p>
          <w:p w14:paraId="71E8177B" w14:textId="77777777" w:rsidR="00F47137" w:rsidRPr="00A157E0" w:rsidRDefault="00F47137" w:rsidP="00023870">
            <w:pPr>
              <w:tabs>
                <w:tab w:val="left" w:pos="5400"/>
              </w:tabs>
              <w:rPr>
                <w:color w:val="FF0000"/>
                <w:sz w:val="20"/>
              </w:rPr>
            </w:pPr>
          </w:p>
          <w:p w14:paraId="71DD2899" w14:textId="77777777" w:rsidR="00F47137" w:rsidRPr="00A157E0" w:rsidRDefault="00F47137" w:rsidP="00023870">
            <w:pPr>
              <w:tabs>
                <w:tab w:val="left" w:pos="5400"/>
              </w:tabs>
              <w:rPr>
                <w:color w:val="FF0000"/>
                <w:sz w:val="20"/>
              </w:rPr>
            </w:pPr>
          </w:p>
          <w:p w14:paraId="6A473459" w14:textId="77777777" w:rsidR="00F47137" w:rsidRPr="00A157E0" w:rsidRDefault="00F47137" w:rsidP="00023870">
            <w:pPr>
              <w:tabs>
                <w:tab w:val="left" w:pos="5400"/>
              </w:tabs>
              <w:rPr>
                <w:color w:val="FF0000"/>
                <w:sz w:val="20"/>
              </w:rPr>
            </w:pPr>
          </w:p>
          <w:p w14:paraId="50F51CFF" w14:textId="77777777" w:rsidR="00F47137" w:rsidRPr="00A157E0" w:rsidRDefault="00F47137" w:rsidP="00023870">
            <w:pPr>
              <w:tabs>
                <w:tab w:val="left" w:pos="5400"/>
              </w:tabs>
              <w:rPr>
                <w:color w:val="FF0000"/>
                <w:sz w:val="20"/>
              </w:rPr>
            </w:pPr>
          </w:p>
          <w:p w14:paraId="709501A3" w14:textId="77777777" w:rsidR="00F47137" w:rsidRPr="00A157E0" w:rsidRDefault="00F47137" w:rsidP="00023870">
            <w:pPr>
              <w:tabs>
                <w:tab w:val="left" w:pos="5400"/>
              </w:tabs>
              <w:rPr>
                <w:color w:val="FF0000"/>
                <w:sz w:val="20"/>
              </w:rPr>
            </w:pPr>
          </w:p>
          <w:p w14:paraId="7C104445" w14:textId="77777777" w:rsidR="00F47137" w:rsidRPr="00A157E0" w:rsidRDefault="00F47137" w:rsidP="00023870">
            <w:pPr>
              <w:tabs>
                <w:tab w:val="left" w:pos="5400"/>
              </w:tabs>
              <w:rPr>
                <w:color w:val="FF0000"/>
                <w:sz w:val="20"/>
              </w:rPr>
            </w:pPr>
          </w:p>
          <w:p w14:paraId="5B256CE7" w14:textId="77777777" w:rsidR="00F47137" w:rsidRPr="00A157E0" w:rsidRDefault="00F47137" w:rsidP="00023870">
            <w:pPr>
              <w:tabs>
                <w:tab w:val="left" w:pos="5400"/>
              </w:tabs>
              <w:rPr>
                <w:color w:val="FF0000"/>
                <w:sz w:val="20"/>
              </w:rPr>
            </w:pPr>
          </w:p>
          <w:p w14:paraId="054D99BE" w14:textId="77777777" w:rsidR="00F47137" w:rsidRPr="00A157E0" w:rsidRDefault="00F47137" w:rsidP="00023870">
            <w:pPr>
              <w:tabs>
                <w:tab w:val="left" w:pos="5400"/>
              </w:tabs>
              <w:rPr>
                <w:color w:val="FF0000"/>
                <w:sz w:val="20"/>
              </w:rPr>
            </w:pPr>
          </w:p>
          <w:p w14:paraId="2D621425" w14:textId="77777777" w:rsidR="00F47137" w:rsidRPr="00A157E0" w:rsidRDefault="00F47137" w:rsidP="00023870">
            <w:pPr>
              <w:tabs>
                <w:tab w:val="left" w:pos="5400"/>
              </w:tabs>
              <w:rPr>
                <w:color w:val="FF0000"/>
                <w:sz w:val="20"/>
              </w:rPr>
            </w:pPr>
          </w:p>
          <w:p w14:paraId="2CD54C60" w14:textId="77777777" w:rsidR="00F47137" w:rsidRPr="00A157E0" w:rsidRDefault="00F47137" w:rsidP="00023870">
            <w:pPr>
              <w:tabs>
                <w:tab w:val="left" w:pos="5400"/>
              </w:tabs>
              <w:rPr>
                <w:color w:val="FF0000"/>
                <w:sz w:val="20"/>
              </w:rPr>
            </w:pPr>
          </w:p>
          <w:p w14:paraId="33E40751" w14:textId="77777777" w:rsidR="00F47137" w:rsidRPr="00A157E0" w:rsidRDefault="00F47137" w:rsidP="00023870">
            <w:pPr>
              <w:tabs>
                <w:tab w:val="left" w:pos="5400"/>
              </w:tabs>
              <w:rPr>
                <w:color w:val="FF0000"/>
                <w:sz w:val="20"/>
              </w:rPr>
            </w:pPr>
          </w:p>
          <w:p w14:paraId="1529F104" w14:textId="77777777" w:rsidR="00F47137" w:rsidRPr="00A157E0" w:rsidRDefault="00F47137" w:rsidP="00023870">
            <w:pPr>
              <w:tabs>
                <w:tab w:val="left" w:pos="5400"/>
              </w:tabs>
              <w:rPr>
                <w:color w:val="FF0000"/>
                <w:sz w:val="20"/>
              </w:rPr>
            </w:pPr>
          </w:p>
          <w:p w14:paraId="0D5D5144" w14:textId="77777777" w:rsidR="00F47137" w:rsidRPr="00A157E0" w:rsidRDefault="00F47137" w:rsidP="00023870">
            <w:pPr>
              <w:tabs>
                <w:tab w:val="left" w:pos="5400"/>
              </w:tabs>
              <w:rPr>
                <w:color w:val="FF0000"/>
                <w:sz w:val="20"/>
              </w:rPr>
            </w:pPr>
          </w:p>
          <w:p w14:paraId="4A3FFCB2" w14:textId="77777777" w:rsidR="00F47137" w:rsidRPr="00A157E0" w:rsidRDefault="00F47137" w:rsidP="00023870">
            <w:pPr>
              <w:tabs>
                <w:tab w:val="left" w:pos="5400"/>
              </w:tabs>
              <w:rPr>
                <w:color w:val="FF0000"/>
                <w:sz w:val="20"/>
              </w:rPr>
            </w:pPr>
          </w:p>
          <w:p w14:paraId="6C620809" w14:textId="77777777" w:rsidR="00F47137" w:rsidRPr="00A157E0" w:rsidRDefault="00F47137" w:rsidP="00023870">
            <w:pPr>
              <w:tabs>
                <w:tab w:val="left" w:pos="5400"/>
              </w:tabs>
              <w:rPr>
                <w:color w:val="FF0000"/>
                <w:sz w:val="20"/>
              </w:rPr>
            </w:pPr>
          </w:p>
          <w:p w14:paraId="7663C1BA" w14:textId="77777777" w:rsidR="00F47137" w:rsidRPr="00A157E0" w:rsidRDefault="00F47137" w:rsidP="00023870">
            <w:pPr>
              <w:tabs>
                <w:tab w:val="left" w:pos="5400"/>
              </w:tabs>
              <w:rPr>
                <w:color w:val="FF0000"/>
                <w:sz w:val="20"/>
              </w:rPr>
            </w:pPr>
          </w:p>
          <w:p w14:paraId="2F876B36" w14:textId="77777777" w:rsidR="00F47137" w:rsidRPr="00A157E0" w:rsidRDefault="00F47137" w:rsidP="00023870">
            <w:pPr>
              <w:tabs>
                <w:tab w:val="left" w:pos="5400"/>
              </w:tabs>
              <w:rPr>
                <w:color w:val="FF0000"/>
                <w:sz w:val="20"/>
              </w:rPr>
            </w:pPr>
          </w:p>
          <w:p w14:paraId="5E6AC6F7" w14:textId="77777777" w:rsidR="00F47137" w:rsidRPr="00A157E0" w:rsidRDefault="00F47137" w:rsidP="00023870">
            <w:pPr>
              <w:tabs>
                <w:tab w:val="left" w:pos="5400"/>
              </w:tabs>
              <w:rPr>
                <w:color w:val="FF0000"/>
                <w:sz w:val="20"/>
              </w:rPr>
            </w:pPr>
          </w:p>
          <w:p w14:paraId="44FE6BE2" w14:textId="77777777" w:rsidR="00F47137" w:rsidRPr="00A157E0" w:rsidRDefault="00F47137" w:rsidP="00023870">
            <w:pPr>
              <w:tabs>
                <w:tab w:val="left" w:pos="5400"/>
              </w:tabs>
              <w:rPr>
                <w:color w:val="FF0000"/>
                <w:sz w:val="20"/>
              </w:rPr>
            </w:pPr>
          </w:p>
          <w:p w14:paraId="6A9664C6" w14:textId="77777777" w:rsidR="00F47137" w:rsidRPr="00A157E0" w:rsidRDefault="00F47137" w:rsidP="00023870">
            <w:pPr>
              <w:tabs>
                <w:tab w:val="left" w:pos="5400"/>
              </w:tabs>
              <w:rPr>
                <w:color w:val="FF0000"/>
                <w:sz w:val="20"/>
              </w:rPr>
            </w:pPr>
          </w:p>
          <w:p w14:paraId="02861B51" w14:textId="77777777" w:rsidR="00F47137" w:rsidRPr="00A157E0" w:rsidRDefault="00F47137" w:rsidP="00023870">
            <w:pPr>
              <w:tabs>
                <w:tab w:val="left" w:pos="5400"/>
              </w:tabs>
              <w:rPr>
                <w:color w:val="FF0000"/>
                <w:sz w:val="20"/>
              </w:rPr>
            </w:pPr>
          </w:p>
          <w:p w14:paraId="406CCE67" w14:textId="399B21FF" w:rsidR="00F47137" w:rsidRPr="00572E30" w:rsidRDefault="00572E30" w:rsidP="00023870">
            <w:pPr>
              <w:tabs>
                <w:tab w:val="left" w:pos="5400"/>
              </w:tabs>
              <w:rPr>
                <w:color w:val="000000" w:themeColor="text1"/>
                <w:sz w:val="20"/>
              </w:rPr>
            </w:pPr>
            <w:r>
              <w:rPr>
                <w:color w:val="000000" w:themeColor="text1"/>
                <w:sz w:val="20"/>
              </w:rPr>
              <w:t xml:space="preserve">- </w:t>
            </w:r>
            <w:r w:rsidR="002E6994">
              <w:rPr>
                <w:color w:val="000000" w:themeColor="text1"/>
                <w:sz w:val="20"/>
              </w:rPr>
              <w:t>6</w:t>
            </w:r>
            <w:r w:rsidR="002E6994" w:rsidRPr="002E6994">
              <w:rPr>
                <w:color w:val="000000" w:themeColor="text1"/>
                <w:sz w:val="20"/>
                <w:vertAlign w:val="superscript"/>
              </w:rPr>
              <w:t>th</w:t>
            </w:r>
            <w:r w:rsidR="002E6994">
              <w:rPr>
                <w:color w:val="000000" w:themeColor="text1"/>
                <w:sz w:val="20"/>
              </w:rPr>
              <w:t xml:space="preserve"> paragraph of the Statistical methods section</w:t>
            </w:r>
            <w:r w:rsidR="00F47137" w:rsidRPr="00572E30">
              <w:rPr>
                <w:color w:val="000000" w:themeColor="text1"/>
                <w:sz w:val="20"/>
              </w:rPr>
              <w:t xml:space="preserve"> (confounders)</w:t>
            </w:r>
          </w:p>
          <w:p w14:paraId="6601554E" w14:textId="77777777" w:rsidR="00F47137" w:rsidRPr="00A157E0" w:rsidRDefault="00F47137" w:rsidP="00023870">
            <w:pPr>
              <w:tabs>
                <w:tab w:val="left" w:pos="5400"/>
              </w:tabs>
              <w:rPr>
                <w:color w:val="FF0000"/>
                <w:sz w:val="20"/>
              </w:rPr>
            </w:pPr>
          </w:p>
          <w:p w14:paraId="700D796E" w14:textId="77777777" w:rsidR="00F47137" w:rsidRPr="00A157E0" w:rsidRDefault="00F47137" w:rsidP="00023870">
            <w:pPr>
              <w:tabs>
                <w:tab w:val="left" w:pos="5400"/>
              </w:tabs>
              <w:rPr>
                <w:color w:val="FF0000"/>
                <w:sz w:val="20"/>
              </w:rPr>
            </w:pPr>
          </w:p>
          <w:p w14:paraId="25F1B70A" w14:textId="77777777" w:rsidR="00F47137" w:rsidRPr="00A157E0" w:rsidRDefault="00F47137" w:rsidP="00023870">
            <w:pPr>
              <w:tabs>
                <w:tab w:val="left" w:pos="5400"/>
              </w:tabs>
              <w:rPr>
                <w:color w:val="FF0000"/>
                <w:sz w:val="20"/>
              </w:rPr>
            </w:pPr>
          </w:p>
          <w:p w14:paraId="138A2AF7" w14:textId="77777777" w:rsidR="00F47137" w:rsidRPr="00A157E0" w:rsidRDefault="00F47137" w:rsidP="00023870">
            <w:pPr>
              <w:tabs>
                <w:tab w:val="left" w:pos="5400"/>
              </w:tabs>
              <w:rPr>
                <w:color w:val="FF0000"/>
                <w:sz w:val="20"/>
              </w:rPr>
            </w:pPr>
          </w:p>
          <w:p w14:paraId="2A8410D6" w14:textId="650F4DA7" w:rsidR="00F47137" w:rsidRPr="00A157E0" w:rsidRDefault="00F47137" w:rsidP="00023870">
            <w:pPr>
              <w:tabs>
                <w:tab w:val="left" w:pos="5400"/>
              </w:tabs>
              <w:rPr>
                <w:color w:val="FF0000"/>
                <w:sz w:val="20"/>
              </w:rPr>
            </w:pPr>
          </w:p>
        </w:tc>
        <w:tc>
          <w:tcPr>
            <w:tcW w:w="2835" w:type="dxa"/>
          </w:tcPr>
          <w:p w14:paraId="74C634F8" w14:textId="77777777" w:rsidR="00BF57F3" w:rsidRPr="00A157E0" w:rsidRDefault="00023870" w:rsidP="00B92DDE">
            <w:pPr>
              <w:tabs>
                <w:tab w:val="left" w:pos="5400"/>
              </w:tabs>
              <w:rPr>
                <w:i/>
                <w:color w:val="000000" w:themeColor="text1"/>
                <w:sz w:val="20"/>
              </w:rPr>
            </w:pPr>
            <w:r w:rsidRPr="00A157E0">
              <w:rPr>
                <w:i/>
                <w:color w:val="000000" w:themeColor="text1"/>
                <w:sz w:val="20"/>
              </w:rPr>
              <w:lastRenderedPageBreak/>
              <w:t xml:space="preserve">“Cases of diabetes were identified based on registration in the Danish NDR. Established in 2006, NDR identifies cases based on data from other Danish medical registries. If one of six specific criteria in one of three registries is met, this person is included. These criteria are; a diagnosis of diabetes according to the National Patient Registry; registration of diabetic chiropody, i.e. treatment of feet when also registered as a diabetic patient, in the National Health Service Register; five annual blood glucose </w:t>
            </w:r>
            <w:r w:rsidRPr="00A157E0">
              <w:rPr>
                <w:i/>
                <w:color w:val="000000" w:themeColor="text1"/>
                <w:sz w:val="20"/>
              </w:rPr>
              <w:lastRenderedPageBreak/>
              <w:t>measurements, or two blood glucose measurements per year for five consecutive years, according to the National Health Service Register; and, lastly purchase of anti-diabetic drugs or prescribed insulin, registered in the Danish National Prescription Registry”</w:t>
            </w:r>
          </w:p>
          <w:p w14:paraId="6DF888F6" w14:textId="77777777" w:rsidR="00023870" w:rsidRPr="00A157E0" w:rsidRDefault="00023870" w:rsidP="00B92DDE">
            <w:pPr>
              <w:tabs>
                <w:tab w:val="left" w:pos="5400"/>
              </w:tabs>
              <w:rPr>
                <w:i/>
                <w:color w:val="000000" w:themeColor="text1"/>
                <w:sz w:val="20"/>
              </w:rPr>
            </w:pPr>
          </w:p>
          <w:p w14:paraId="39D2F196" w14:textId="77777777" w:rsidR="00023870" w:rsidRPr="00A157E0" w:rsidRDefault="00023870" w:rsidP="00023870">
            <w:pPr>
              <w:tabs>
                <w:tab w:val="left" w:pos="5400"/>
              </w:tabs>
              <w:rPr>
                <w:i/>
                <w:color w:val="000000" w:themeColor="text1"/>
                <w:sz w:val="20"/>
              </w:rPr>
            </w:pPr>
            <w:r w:rsidRPr="00A157E0">
              <w:rPr>
                <w:i/>
                <w:color w:val="000000" w:themeColor="text1"/>
                <w:sz w:val="20"/>
              </w:rPr>
              <w:t>“In the lifestyle questionnaires, physical activity was enquired for both summer and winter, except for physical activity at work and for stair climbing. Participants were asked to report total hours/week of physical activity, although at the second examination frequency of the activity was specified, as well as duration per time the activity was performed. This information was used to calculate total hours/week for each activity..</w:t>
            </w:r>
            <w:r w:rsidRPr="00A157E0">
              <w:rPr>
                <w:color w:val="000000" w:themeColor="text1"/>
              </w:rPr>
              <w:t xml:space="preserve"> </w:t>
            </w:r>
            <w:r w:rsidRPr="00A157E0">
              <w:rPr>
                <w:i/>
                <w:color w:val="000000" w:themeColor="text1"/>
                <w:sz w:val="20"/>
              </w:rPr>
              <w:t>Total cycling was categorized in 0, 1-60, 61-150, 151-300 and &gt;300 minutes/week. ..</w:t>
            </w:r>
            <w:r w:rsidRPr="00A157E0">
              <w:rPr>
                <w:color w:val="000000" w:themeColor="text1"/>
              </w:rPr>
              <w:t xml:space="preserve"> </w:t>
            </w:r>
            <w:r w:rsidRPr="00A157E0">
              <w:rPr>
                <w:i/>
                <w:color w:val="000000" w:themeColor="text1"/>
                <w:sz w:val="20"/>
              </w:rPr>
              <w:t xml:space="preserve">Subjects were also categorized according to seasonal cycling as; non-cyclist, cyclists only summer or winter, or cyclist summer and winter.. </w:t>
            </w:r>
            <w:r w:rsidRPr="00A157E0">
              <w:rPr>
                <w:i/>
                <w:color w:val="000000" w:themeColor="text1"/>
                <w:sz w:val="20"/>
              </w:rPr>
              <w:lastRenderedPageBreak/>
              <w:t>Participants were then grouped according to those who did no cycling, ceased to-, initiated- or continued cycling in the period between baseline and the second examination.. Commuter cycling was categorized similarly as total cycling, although because there were few incident T2D cases in the two highest categories these were merged to &gt;150 minutes/week.”</w:t>
            </w:r>
          </w:p>
          <w:p w14:paraId="153EC188" w14:textId="77777777" w:rsidR="00F47137" w:rsidRPr="00A157E0" w:rsidRDefault="00F47137" w:rsidP="00023870">
            <w:pPr>
              <w:tabs>
                <w:tab w:val="left" w:pos="5400"/>
              </w:tabs>
              <w:rPr>
                <w:i/>
                <w:color w:val="000000" w:themeColor="text1"/>
                <w:sz w:val="20"/>
              </w:rPr>
            </w:pPr>
          </w:p>
          <w:p w14:paraId="0D1748F3" w14:textId="77777777" w:rsidR="00F47137" w:rsidRPr="00A157E0" w:rsidRDefault="00F47137" w:rsidP="00F47137">
            <w:pPr>
              <w:tabs>
                <w:tab w:val="left" w:pos="5400"/>
              </w:tabs>
              <w:rPr>
                <w:i/>
                <w:color w:val="000000" w:themeColor="text1"/>
                <w:sz w:val="20"/>
              </w:rPr>
            </w:pPr>
            <w:r w:rsidRPr="00A157E0">
              <w:rPr>
                <w:i/>
                <w:color w:val="000000" w:themeColor="text1"/>
                <w:sz w:val="20"/>
              </w:rPr>
              <w:t>“Confounders included in the cox models were selected based on knowledge a priori. For each analysis an age-adjusted and a multivariable adjusted model was computed .. the following variables were adjusted for ..”</w:t>
            </w:r>
          </w:p>
          <w:p w14:paraId="4D958DE0" w14:textId="77777777" w:rsidR="00F47137" w:rsidRPr="00A157E0" w:rsidRDefault="00F47137" w:rsidP="00F47137">
            <w:pPr>
              <w:tabs>
                <w:tab w:val="left" w:pos="5400"/>
              </w:tabs>
              <w:rPr>
                <w:i/>
                <w:color w:val="000000" w:themeColor="text1"/>
                <w:sz w:val="20"/>
              </w:rPr>
            </w:pPr>
          </w:p>
          <w:p w14:paraId="2786B211" w14:textId="01056B46" w:rsidR="00F47137" w:rsidRPr="00A157E0" w:rsidRDefault="00F47137" w:rsidP="00F47137">
            <w:pPr>
              <w:tabs>
                <w:tab w:val="left" w:pos="5400"/>
              </w:tabs>
              <w:rPr>
                <w:color w:val="000000" w:themeColor="text1"/>
                <w:sz w:val="20"/>
              </w:rPr>
            </w:pPr>
            <w:r w:rsidRPr="00A157E0">
              <w:rPr>
                <w:color w:val="000000" w:themeColor="text1"/>
                <w:sz w:val="20"/>
              </w:rPr>
              <w:t>We identified no effect modifiers</w:t>
            </w:r>
          </w:p>
        </w:tc>
      </w:tr>
      <w:tr w:rsidR="00191A23" w:rsidRPr="00BE337C" w14:paraId="2727C156" w14:textId="77777777" w:rsidTr="00E341E9">
        <w:trPr>
          <w:trHeight w:val="294"/>
        </w:trPr>
        <w:tc>
          <w:tcPr>
            <w:tcW w:w="1951" w:type="dxa"/>
          </w:tcPr>
          <w:p w14:paraId="7F574DBF" w14:textId="192448A6" w:rsidR="00191A23" w:rsidRPr="00BE337C" w:rsidRDefault="00191A23" w:rsidP="0022554A">
            <w:pPr>
              <w:tabs>
                <w:tab w:val="left" w:pos="5400"/>
              </w:tabs>
              <w:rPr>
                <w:bCs/>
                <w:sz w:val="20"/>
              </w:rPr>
            </w:pPr>
            <w:bookmarkStart w:id="32" w:name="bold17"/>
            <w:bookmarkStart w:id="33" w:name="italic18"/>
            <w:bookmarkEnd w:id="30"/>
            <w:bookmarkEnd w:id="31"/>
            <w:r w:rsidRPr="00BE337C">
              <w:rPr>
                <w:bCs/>
                <w:sz w:val="20"/>
              </w:rPr>
              <w:lastRenderedPageBreak/>
              <w:t>Data sources/</w:t>
            </w:r>
            <w:bookmarkStart w:id="34" w:name="bold18"/>
            <w:bookmarkStart w:id="35" w:name="italic19"/>
            <w:bookmarkEnd w:id="32"/>
            <w:bookmarkEnd w:id="33"/>
            <w:r w:rsidRPr="00BE337C">
              <w:rPr>
                <w:bCs/>
                <w:sz w:val="20"/>
              </w:rPr>
              <w:t xml:space="preserve"> measurement</w:t>
            </w:r>
            <w:bookmarkEnd w:id="34"/>
            <w:bookmarkEnd w:id="35"/>
          </w:p>
        </w:tc>
        <w:tc>
          <w:tcPr>
            <w:tcW w:w="616" w:type="dxa"/>
          </w:tcPr>
          <w:p w14:paraId="534E83E8" w14:textId="77777777" w:rsidR="00191A23" w:rsidRPr="00BE337C" w:rsidRDefault="00191A23" w:rsidP="0022554A">
            <w:pPr>
              <w:tabs>
                <w:tab w:val="left" w:pos="5400"/>
              </w:tabs>
              <w:jc w:val="center"/>
              <w:rPr>
                <w:sz w:val="20"/>
              </w:rPr>
            </w:pPr>
            <w:r w:rsidRPr="00BE337C">
              <w:rPr>
                <w:sz w:val="20"/>
              </w:rPr>
              <w:t>8</w:t>
            </w:r>
            <w:bookmarkStart w:id="36" w:name="bold19"/>
            <w:r w:rsidRPr="00BE337C">
              <w:rPr>
                <w:bCs/>
                <w:sz w:val="20"/>
              </w:rPr>
              <w:t>*</w:t>
            </w:r>
            <w:bookmarkEnd w:id="36"/>
          </w:p>
        </w:tc>
        <w:tc>
          <w:tcPr>
            <w:tcW w:w="8031" w:type="dxa"/>
          </w:tcPr>
          <w:p w14:paraId="06274E4D" w14:textId="77777777" w:rsidR="00191A23" w:rsidRPr="00BE337C" w:rsidRDefault="00191A23" w:rsidP="0022554A">
            <w:pPr>
              <w:tabs>
                <w:tab w:val="left" w:pos="5400"/>
              </w:tabs>
              <w:rPr>
                <w:sz w:val="20"/>
              </w:rPr>
            </w:pPr>
            <w:r w:rsidRPr="00BE337C">
              <w:rPr>
                <w:i/>
                <w:sz w:val="20"/>
              </w:rPr>
              <w:t xml:space="preserve"> </w:t>
            </w:r>
            <w:r w:rsidRPr="00BE337C">
              <w:rPr>
                <w:sz w:val="20"/>
              </w:rPr>
              <w:t>For each variable of interest, give sources of data and details of methods of assessment (measurement). Describe comparability of assessment methods if there is more than one group</w:t>
            </w:r>
          </w:p>
        </w:tc>
        <w:tc>
          <w:tcPr>
            <w:tcW w:w="1559" w:type="dxa"/>
          </w:tcPr>
          <w:p w14:paraId="2CF38C7B" w14:textId="298139F5" w:rsidR="00191A23" w:rsidRPr="00F43D8A" w:rsidRDefault="004A0457" w:rsidP="002031B3">
            <w:pPr>
              <w:tabs>
                <w:tab w:val="left" w:pos="5400"/>
              </w:tabs>
              <w:rPr>
                <w:color w:val="000000" w:themeColor="text1"/>
                <w:sz w:val="20"/>
              </w:rPr>
            </w:pPr>
            <w:r>
              <w:rPr>
                <w:color w:val="000000" w:themeColor="text1"/>
                <w:sz w:val="20"/>
              </w:rPr>
              <w:t>1</w:t>
            </w:r>
            <w:r w:rsidRPr="004A0457">
              <w:rPr>
                <w:color w:val="000000" w:themeColor="text1"/>
                <w:sz w:val="20"/>
                <w:vertAlign w:val="superscript"/>
              </w:rPr>
              <w:t>st</w:t>
            </w:r>
            <w:r>
              <w:rPr>
                <w:color w:val="000000" w:themeColor="text1"/>
                <w:sz w:val="20"/>
              </w:rPr>
              <w:t xml:space="preserve"> and 2</w:t>
            </w:r>
            <w:r w:rsidRPr="004A0457">
              <w:rPr>
                <w:color w:val="000000" w:themeColor="text1"/>
                <w:sz w:val="20"/>
                <w:vertAlign w:val="superscript"/>
              </w:rPr>
              <w:t>nd</w:t>
            </w:r>
            <w:r>
              <w:rPr>
                <w:color w:val="000000" w:themeColor="text1"/>
                <w:sz w:val="20"/>
              </w:rPr>
              <w:t xml:space="preserve"> paragraph of the Data collection section</w:t>
            </w:r>
          </w:p>
        </w:tc>
        <w:tc>
          <w:tcPr>
            <w:tcW w:w="2835" w:type="dxa"/>
          </w:tcPr>
          <w:p w14:paraId="2F512C6D" w14:textId="77777777" w:rsidR="009C4332" w:rsidRPr="00F43D8A" w:rsidRDefault="009C4332" w:rsidP="009C4332">
            <w:pPr>
              <w:tabs>
                <w:tab w:val="left" w:pos="5400"/>
              </w:tabs>
              <w:rPr>
                <w:i/>
                <w:color w:val="000000" w:themeColor="text1"/>
                <w:sz w:val="20"/>
              </w:rPr>
            </w:pPr>
            <w:r w:rsidRPr="00F43D8A">
              <w:rPr>
                <w:i/>
                <w:color w:val="000000" w:themeColor="text1"/>
                <w:sz w:val="20"/>
              </w:rPr>
              <w:t xml:space="preserve">“At baseline a validated semi-quantitative food frequency questionnaire, which was developed to be compatible with the Danish diet [16-19], was sent by mail and filled out before a visit to the study clinic. At the clinic an additional </w:t>
            </w:r>
            <w:r w:rsidRPr="00F43D8A">
              <w:rPr>
                <w:i/>
                <w:color w:val="000000" w:themeColor="text1"/>
                <w:sz w:val="20"/>
              </w:rPr>
              <w:lastRenderedPageBreak/>
              <w:t>questionnaire was completed, containing lifestyle questions in general, addressing habits pertaining to e.g. physical activity, smoking and alcohol. Furthermore, a lab technician measured anthropometrics, including weight, height and waist circumference, and biological material was collected [15].</w:t>
            </w:r>
          </w:p>
          <w:p w14:paraId="1661207B" w14:textId="5068271D" w:rsidR="00FF4DA0" w:rsidRPr="00F43D8A" w:rsidRDefault="009C4332" w:rsidP="009C4332">
            <w:pPr>
              <w:tabs>
                <w:tab w:val="left" w:pos="5400"/>
              </w:tabs>
              <w:rPr>
                <w:color w:val="000000" w:themeColor="text1"/>
                <w:sz w:val="20"/>
              </w:rPr>
            </w:pPr>
            <w:r w:rsidRPr="00F43D8A">
              <w:rPr>
                <w:i/>
                <w:color w:val="000000" w:themeColor="text1"/>
                <w:sz w:val="20"/>
              </w:rPr>
              <w:t>At the second examination a similar dietary survey, which also included questions on foods that since baseline had been introduced to the Danish diet, was sent by mail and completed in the participants’ home. An updated lifestyle questionnaire was also sent to the participants, e.g. introducing questions on social network and self-rated health from the Medical Outcomes Study 36-item short-form survey. Enquiry of weight according to self-report was included in the lifestyle questionnaire. A tape measure was sent also to self-assess waist circumference”</w:t>
            </w:r>
          </w:p>
        </w:tc>
      </w:tr>
      <w:tr w:rsidR="00191A23" w:rsidRPr="00BE337C" w14:paraId="0DDF0CA1" w14:textId="77777777" w:rsidTr="00E341E9">
        <w:tc>
          <w:tcPr>
            <w:tcW w:w="1951" w:type="dxa"/>
          </w:tcPr>
          <w:p w14:paraId="3B30D1FD" w14:textId="77777777" w:rsidR="00191A23" w:rsidRPr="00BE337C" w:rsidRDefault="00191A23" w:rsidP="0022554A">
            <w:pPr>
              <w:tabs>
                <w:tab w:val="left" w:pos="5400"/>
              </w:tabs>
              <w:rPr>
                <w:bCs/>
                <w:color w:val="000000"/>
                <w:sz w:val="20"/>
              </w:rPr>
            </w:pPr>
            <w:bookmarkStart w:id="37" w:name="bold20" w:colFirst="0" w:colLast="0"/>
            <w:bookmarkStart w:id="38" w:name="italic20" w:colFirst="0" w:colLast="0"/>
            <w:r w:rsidRPr="00BE337C">
              <w:rPr>
                <w:bCs/>
                <w:color w:val="000000"/>
                <w:sz w:val="20"/>
              </w:rPr>
              <w:lastRenderedPageBreak/>
              <w:t>Bias</w:t>
            </w:r>
          </w:p>
        </w:tc>
        <w:tc>
          <w:tcPr>
            <w:tcW w:w="616" w:type="dxa"/>
          </w:tcPr>
          <w:p w14:paraId="5AF4B744" w14:textId="77777777" w:rsidR="00191A23" w:rsidRPr="00BE337C" w:rsidRDefault="00191A23" w:rsidP="0022554A">
            <w:pPr>
              <w:tabs>
                <w:tab w:val="left" w:pos="5400"/>
              </w:tabs>
              <w:jc w:val="center"/>
              <w:rPr>
                <w:sz w:val="20"/>
              </w:rPr>
            </w:pPr>
            <w:r w:rsidRPr="00BE337C">
              <w:rPr>
                <w:sz w:val="20"/>
              </w:rPr>
              <w:t>9</w:t>
            </w:r>
          </w:p>
        </w:tc>
        <w:tc>
          <w:tcPr>
            <w:tcW w:w="8031" w:type="dxa"/>
          </w:tcPr>
          <w:p w14:paraId="79279C2B" w14:textId="6B0D0E8D" w:rsidR="00191A23" w:rsidRPr="00BE337C" w:rsidRDefault="00191A23" w:rsidP="000601C7">
            <w:pPr>
              <w:tabs>
                <w:tab w:val="left" w:pos="1926"/>
              </w:tabs>
              <w:rPr>
                <w:color w:val="000000"/>
                <w:sz w:val="20"/>
              </w:rPr>
            </w:pPr>
            <w:r w:rsidRPr="00BE337C">
              <w:rPr>
                <w:color w:val="000000"/>
                <w:sz w:val="20"/>
              </w:rPr>
              <w:t>Describe any efforts to address potential sources of bias</w:t>
            </w:r>
            <w:r w:rsidR="000601C7" w:rsidRPr="00BE337C">
              <w:rPr>
                <w:color w:val="000000"/>
                <w:sz w:val="20"/>
              </w:rPr>
              <w:tab/>
            </w:r>
          </w:p>
        </w:tc>
        <w:tc>
          <w:tcPr>
            <w:tcW w:w="1559" w:type="dxa"/>
          </w:tcPr>
          <w:p w14:paraId="07C7A99D" w14:textId="1B1C7878" w:rsidR="002D1098" w:rsidRPr="00EB7EA4" w:rsidRDefault="00345F19" w:rsidP="002031B3">
            <w:pPr>
              <w:tabs>
                <w:tab w:val="left" w:pos="5400"/>
              </w:tabs>
              <w:rPr>
                <w:color w:val="000000" w:themeColor="text1"/>
                <w:sz w:val="20"/>
              </w:rPr>
            </w:pPr>
            <w:r w:rsidRPr="00EB7EA4">
              <w:rPr>
                <w:color w:val="000000" w:themeColor="text1"/>
                <w:sz w:val="20"/>
              </w:rPr>
              <w:t xml:space="preserve">- </w:t>
            </w:r>
            <w:r w:rsidR="00C21FB7">
              <w:rPr>
                <w:color w:val="000000" w:themeColor="text1"/>
                <w:sz w:val="20"/>
              </w:rPr>
              <w:t>6</w:t>
            </w:r>
            <w:r w:rsidR="00C21FB7" w:rsidRPr="002E6994">
              <w:rPr>
                <w:color w:val="000000" w:themeColor="text1"/>
                <w:sz w:val="20"/>
                <w:vertAlign w:val="superscript"/>
              </w:rPr>
              <w:t>th</w:t>
            </w:r>
            <w:r w:rsidR="00C21FB7">
              <w:rPr>
                <w:color w:val="000000" w:themeColor="text1"/>
                <w:sz w:val="20"/>
              </w:rPr>
              <w:t xml:space="preserve"> paragraph of the Statistical </w:t>
            </w:r>
            <w:r w:rsidR="00C21FB7">
              <w:rPr>
                <w:color w:val="000000" w:themeColor="text1"/>
                <w:sz w:val="20"/>
              </w:rPr>
              <w:lastRenderedPageBreak/>
              <w:t>methods section</w:t>
            </w:r>
          </w:p>
          <w:p w14:paraId="2FDACF2C" w14:textId="77777777" w:rsidR="006636DC" w:rsidRPr="00A157E0" w:rsidRDefault="006636DC" w:rsidP="00345F19">
            <w:pPr>
              <w:tabs>
                <w:tab w:val="left" w:pos="5400"/>
              </w:tabs>
              <w:jc w:val="center"/>
              <w:rPr>
                <w:color w:val="FF0000"/>
                <w:sz w:val="20"/>
              </w:rPr>
            </w:pPr>
          </w:p>
          <w:p w14:paraId="34BA4012" w14:textId="77777777" w:rsidR="006636DC" w:rsidRPr="00A157E0" w:rsidRDefault="006636DC" w:rsidP="00345F19">
            <w:pPr>
              <w:tabs>
                <w:tab w:val="left" w:pos="5400"/>
              </w:tabs>
              <w:jc w:val="center"/>
              <w:rPr>
                <w:color w:val="FF0000"/>
                <w:sz w:val="20"/>
              </w:rPr>
            </w:pPr>
          </w:p>
          <w:p w14:paraId="6179EA48" w14:textId="77777777" w:rsidR="006636DC" w:rsidRPr="00A157E0" w:rsidRDefault="006636DC" w:rsidP="00345F19">
            <w:pPr>
              <w:tabs>
                <w:tab w:val="left" w:pos="5400"/>
              </w:tabs>
              <w:jc w:val="center"/>
              <w:rPr>
                <w:color w:val="FF0000"/>
                <w:sz w:val="20"/>
              </w:rPr>
            </w:pPr>
          </w:p>
          <w:p w14:paraId="55A9F18F" w14:textId="23768063" w:rsidR="006636DC" w:rsidRDefault="006636DC" w:rsidP="00345F19">
            <w:pPr>
              <w:tabs>
                <w:tab w:val="left" w:pos="5400"/>
              </w:tabs>
              <w:jc w:val="center"/>
              <w:rPr>
                <w:color w:val="FF0000"/>
                <w:sz w:val="20"/>
              </w:rPr>
            </w:pPr>
          </w:p>
          <w:p w14:paraId="3F32720A" w14:textId="77777777" w:rsidR="006636DC" w:rsidRPr="00A157E0" w:rsidRDefault="006636DC" w:rsidP="00345F19">
            <w:pPr>
              <w:tabs>
                <w:tab w:val="left" w:pos="5400"/>
              </w:tabs>
              <w:jc w:val="center"/>
              <w:rPr>
                <w:color w:val="FF0000"/>
                <w:sz w:val="20"/>
              </w:rPr>
            </w:pPr>
          </w:p>
          <w:p w14:paraId="7F9F101C" w14:textId="4FB5E7EA" w:rsidR="006636DC" w:rsidRPr="00A157E0" w:rsidRDefault="00C00008" w:rsidP="002031B3">
            <w:pPr>
              <w:tabs>
                <w:tab w:val="left" w:pos="5400"/>
              </w:tabs>
              <w:rPr>
                <w:color w:val="FF0000"/>
                <w:sz w:val="20"/>
              </w:rPr>
            </w:pPr>
            <w:r w:rsidRPr="00EB1E7B">
              <w:rPr>
                <w:color w:val="000000" w:themeColor="text1"/>
                <w:sz w:val="20"/>
              </w:rPr>
              <w:t xml:space="preserve">- </w:t>
            </w:r>
            <w:r w:rsidR="00C21FB7">
              <w:rPr>
                <w:color w:val="000000" w:themeColor="text1"/>
                <w:sz w:val="20"/>
              </w:rPr>
              <w:t>7</w:t>
            </w:r>
            <w:r w:rsidR="00C21FB7" w:rsidRPr="00C21FB7">
              <w:rPr>
                <w:color w:val="000000" w:themeColor="text1"/>
                <w:sz w:val="20"/>
                <w:vertAlign w:val="superscript"/>
              </w:rPr>
              <w:t>th</w:t>
            </w:r>
            <w:r w:rsidR="00C21FB7">
              <w:rPr>
                <w:color w:val="000000" w:themeColor="text1"/>
                <w:sz w:val="20"/>
              </w:rPr>
              <w:t xml:space="preserve"> and 9</w:t>
            </w:r>
            <w:r w:rsidR="00C21FB7" w:rsidRPr="00C21FB7">
              <w:rPr>
                <w:color w:val="000000" w:themeColor="text1"/>
                <w:sz w:val="20"/>
                <w:vertAlign w:val="superscript"/>
              </w:rPr>
              <w:t>th</w:t>
            </w:r>
            <w:r w:rsidR="00C21FB7">
              <w:rPr>
                <w:color w:val="000000" w:themeColor="text1"/>
                <w:sz w:val="20"/>
              </w:rPr>
              <w:t xml:space="preserve"> paragraph of the </w:t>
            </w:r>
            <w:r w:rsidR="00E349D1">
              <w:rPr>
                <w:color w:val="000000" w:themeColor="text1"/>
                <w:sz w:val="20"/>
              </w:rPr>
              <w:t>Results</w:t>
            </w:r>
            <w:r w:rsidR="00C21FB7">
              <w:rPr>
                <w:color w:val="000000" w:themeColor="text1"/>
                <w:sz w:val="20"/>
              </w:rPr>
              <w:t xml:space="preserve"> </w:t>
            </w:r>
            <w:r w:rsidR="000E6342">
              <w:rPr>
                <w:color w:val="000000" w:themeColor="text1"/>
                <w:sz w:val="20"/>
              </w:rPr>
              <w:t>section</w:t>
            </w:r>
          </w:p>
        </w:tc>
        <w:tc>
          <w:tcPr>
            <w:tcW w:w="2835" w:type="dxa"/>
          </w:tcPr>
          <w:p w14:paraId="024F2E38" w14:textId="77777777" w:rsidR="00345F19" w:rsidRPr="00EB7EA4" w:rsidRDefault="00345F19" w:rsidP="00345F19">
            <w:pPr>
              <w:tabs>
                <w:tab w:val="left" w:pos="5400"/>
              </w:tabs>
              <w:rPr>
                <w:color w:val="000000" w:themeColor="text1"/>
                <w:sz w:val="20"/>
              </w:rPr>
            </w:pPr>
            <w:r w:rsidRPr="00EB7EA4">
              <w:rPr>
                <w:color w:val="000000" w:themeColor="text1"/>
                <w:sz w:val="20"/>
              </w:rPr>
              <w:lastRenderedPageBreak/>
              <w:t>- “Confounders included in the</w:t>
            </w:r>
          </w:p>
          <w:p w14:paraId="32ACCDAC" w14:textId="77777777" w:rsidR="00345F19" w:rsidRPr="00EB7EA4" w:rsidRDefault="00345F19" w:rsidP="00345F19">
            <w:pPr>
              <w:tabs>
                <w:tab w:val="left" w:pos="5400"/>
              </w:tabs>
              <w:rPr>
                <w:color w:val="000000" w:themeColor="text1"/>
                <w:sz w:val="20"/>
              </w:rPr>
            </w:pPr>
            <w:r w:rsidRPr="00EB7EA4">
              <w:rPr>
                <w:color w:val="000000" w:themeColor="text1"/>
                <w:sz w:val="20"/>
              </w:rPr>
              <w:t>cox models were selected based</w:t>
            </w:r>
          </w:p>
          <w:p w14:paraId="2A5B0339" w14:textId="77777777" w:rsidR="00345F19" w:rsidRPr="00EB7EA4" w:rsidRDefault="00345F19" w:rsidP="00345F19">
            <w:pPr>
              <w:tabs>
                <w:tab w:val="left" w:pos="5400"/>
              </w:tabs>
              <w:rPr>
                <w:color w:val="000000" w:themeColor="text1"/>
                <w:sz w:val="20"/>
              </w:rPr>
            </w:pPr>
            <w:r w:rsidRPr="00EB7EA4">
              <w:rPr>
                <w:color w:val="000000" w:themeColor="text1"/>
                <w:sz w:val="20"/>
              </w:rPr>
              <w:lastRenderedPageBreak/>
              <w:t>on knowledge a priori ... “</w:t>
            </w:r>
          </w:p>
          <w:p w14:paraId="009773FC" w14:textId="77777777" w:rsidR="00345F19" w:rsidRPr="00EB7EA4" w:rsidRDefault="00345F19" w:rsidP="00345F19">
            <w:pPr>
              <w:tabs>
                <w:tab w:val="left" w:pos="5400"/>
              </w:tabs>
              <w:rPr>
                <w:color w:val="000000" w:themeColor="text1"/>
                <w:sz w:val="20"/>
              </w:rPr>
            </w:pPr>
            <w:r w:rsidRPr="00EB7EA4">
              <w:rPr>
                <w:color w:val="000000" w:themeColor="text1"/>
                <w:sz w:val="20"/>
              </w:rPr>
              <w:t>(Extensive adjustment for a</w:t>
            </w:r>
          </w:p>
          <w:p w14:paraId="4D492898" w14:textId="77777777" w:rsidR="00345F19" w:rsidRPr="00EB7EA4" w:rsidRDefault="00345F19" w:rsidP="00345F19">
            <w:pPr>
              <w:tabs>
                <w:tab w:val="left" w:pos="5400"/>
              </w:tabs>
              <w:rPr>
                <w:color w:val="000000" w:themeColor="text1"/>
                <w:sz w:val="20"/>
              </w:rPr>
            </w:pPr>
            <w:r w:rsidRPr="00EB7EA4">
              <w:rPr>
                <w:color w:val="000000" w:themeColor="text1"/>
                <w:sz w:val="20"/>
              </w:rPr>
              <w:t>priori known confounders was</w:t>
            </w:r>
          </w:p>
          <w:p w14:paraId="662CAF60" w14:textId="77777777" w:rsidR="00001F17" w:rsidRPr="00EB7EA4" w:rsidRDefault="00345F19" w:rsidP="00345F19">
            <w:pPr>
              <w:tabs>
                <w:tab w:val="left" w:pos="5400"/>
              </w:tabs>
              <w:rPr>
                <w:color w:val="000000" w:themeColor="text1"/>
                <w:sz w:val="20"/>
              </w:rPr>
            </w:pPr>
            <w:r w:rsidRPr="00EB7EA4">
              <w:rPr>
                <w:color w:val="000000" w:themeColor="text1"/>
                <w:sz w:val="20"/>
              </w:rPr>
              <w:t>conducted to avoid bias due to confounding)</w:t>
            </w:r>
          </w:p>
          <w:p w14:paraId="60EA2A47" w14:textId="77777777" w:rsidR="006636DC" w:rsidRPr="004F2E25" w:rsidRDefault="006636DC" w:rsidP="00345F19">
            <w:pPr>
              <w:tabs>
                <w:tab w:val="left" w:pos="5400"/>
              </w:tabs>
              <w:rPr>
                <w:color w:val="FF0000"/>
                <w:sz w:val="20"/>
              </w:rPr>
            </w:pPr>
          </w:p>
          <w:p w14:paraId="1439F0FE" w14:textId="00128A9D" w:rsidR="006636DC" w:rsidRPr="004F2E25" w:rsidRDefault="006636DC" w:rsidP="0077524C">
            <w:pPr>
              <w:tabs>
                <w:tab w:val="left" w:pos="5400"/>
              </w:tabs>
              <w:rPr>
                <w:color w:val="FF0000"/>
                <w:sz w:val="20"/>
              </w:rPr>
            </w:pPr>
            <w:r w:rsidRPr="00EB1E7B">
              <w:rPr>
                <w:color w:val="000000" w:themeColor="text1"/>
                <w:sz w:val="20"/>
              </w:rPr>
              <w:t>We compare</w:t>
            </w:r>
            <w:r w:rsidR="00C00008" w:rsidRPr="00EB1E7B">
              <w:rPr>
                <w:color w:val="000000" w:themeColor="text1"/>
                <w:sz w:val="20"/>
              </w:rPr>
              <w:t>d those excluded because of</w:t>
            </w:r>
            <w:r w:rsidRPr="00EB1E7B">
              <w:rPr>
                <w:color w:val="000000" w:themeColor="text1"/>
                <w:sz w:val="20"/>
              </w:rPr>
              <w:t xml:space="preserve"> missing data in either </w:t>
            </w:r>
            <w:r w:rsidR="0077524C">
              <w:rPr>
                <w:color w:val="000000" w:themeColor="text1"/>
                <w:sz w:val="20"/>
              </w:rPr>
              <w:t>covariate or exposure variables</w:t>
            </w:r>
            <w:r w:rsidR="00C00008" w:rsidRPr="00EB1E7B">
              <w:rPr>
                <w:color w:val="000000" w:themeColor="text1"/>
                <w:sz w:val="20"/>
              </w:rPr>
              <w:t xml:space="preserve"> with those included</w:t>
            </w:r>
            <w:r w:rsidR="00EB1E7B">
              <w:rPr>
                <w:color w:val="000000" w:themeColor="text1"/>
                <w:sz w:val="20"/>
              </w:rPr>
              <w:t xml:space="preserve"> in the analytic sample</w:t>
            </w:r>
            <w:r w:rsidR="00C00008" w:rsidRPr="00EB1E7B">
              <w:rPr>
                <w:color w:val="000000" w:themeColor="text1"/>
                <w:sz w:val="20"/>
              </w:rPr>
              <w:t xml:space="preserve">, to </w:t>
            </w:r>
            <w:r w:rsidR="0077524C">
              <w:rPr>
                <w:color w:val="000000" w:themeColor="text1"/>
                <w:sz w:val="20"/>
              </w:rPr>
              <w:t xml:space="preserve">investigate if </w:t>
            </w:r>
            <w:r w:rsidR="00C00008" w:rsidRPr="00EB1E7B">
              <w:rPr>
                <w:color w:val="000000" w:themeColor="text1"/>
                <w:sz w:val="20"/>
              </w:rPr>
              <w:t>selection bias</w:t>
            </w:r>
            <w:r w:rsidR="0077524C">
              <w:rPr>
                <w:color w:val="000000" w:themeColor="text1"/>
                <w:sz w:val="20"/>
              </w:rPr>
              <w:t xml:space="preserve"> at this stage was present</w:t>
            </w:r>
          </w:p>
        </w:tc>
      </w:tr>
      <w:tr w:rsidR="00191A23" w:rsidRPr="00BE337C" w14:paraId="6E50E925" w14:textId="77777777" w:rsidTr="00E341E9">
        <w:tc>
          <w:tcPr>
            <w:tcW w:w="1951" w:type="dxa"/>
          </w:tcPr>
          <w:p w14:paraId="40F4337C" w14:textId="77777777" w:rsidR="00191A23" w:rsidRPr="00BE337C" w:rsidRDefault="00191A23" w:rsidP="0022554A">
            <w:pPr>
              <w:tabs>
                <w:tab w:val="left" w:pos="5400"/>
              </w:tabs>
              <w:rPr>
                <w:bCs/>
                <w:sz w:val="20"/>
              </w:rPr>
            </w:pPr>
            <w:bookmarkStart w:id="39" w:name="bold21" w:colFirst="0" w:colLast="0"/>
            <w:bookmarkStart w:id="40" w:name="italic21" w:colFirst="0" w:colLast="0"/>
            <w:bookmarkEnd w:id="37"/>
            <w:bookmarkEnd w:id="38"/>
            <w:r w:rsidRPr="00BE337C">
              <w:rPr>
                <w:bCs/>
                <w:sz w:val="20"/>
              </w:rPr>
              <w:lastRenderedPageBreak/>
              <w:t>Study size</w:t>
            </w:r>
          </w:p>
        </w:tc>
        <w:tc>
          <w:tcPr>
            <w:tcW w:w="616" w:type="dxa"/>
          </w:tcPr>
          <w:p w14:paraId="73680252" w14:textId="77777777" w:rsidR="00191A23" w:rsidRPr="00BE337C" w:rsidRDefault="00191A23" w:rsidP="0022554A">
            <w:pPr>
              <w:tabs>
                <w:tab w:val="left" w:pos="5400"/>
              </w:tabs>
              <w:jc w:val="center"/>
              <w:rPr>
                <w:sz w:val="20"/>
              </w:rPr>
            </w:pPr>
            <w:r w:rsidRPr="00BE337C">
              <w:rPr>
                <w:sz w:val="20"/>
              </w:rPr>
              <w:t>10</w:t>
            </w:r>
          </w:p>
        </w:tc>
        <w:tc>
          <w:tcPr>
            <w:tcW w:w="8031" w:type="dxa"/>
          </w:tcPr>
          <w:p w14:paraId="782E01AA" w14:textId="77777777" w:rsidR="00191A23" w:rsidRPr="00BE337C" w:rsidRDefault="00191A23" w:rsidP="0022554A">
            <w:pPr>
              <w:tabs>
                <w:tab w:val="left" w:pos="5400"/>
              </w:tabs>
              <w:rPr>
                <w:sz w:val="20"/>
              </w:rPr>
            </w:pPr>
            <w:r w:rsidRPr="00BE337C">
              <w:rPr>
                <w:sz w:val="20"/>
              </w:rPr>
              <w:t>Explain how the study size was arrived at</w:t>
            </w:r>
          </w:p>
        </w:tc>
        <w:tc>
          <w:tcPr>
            <w:tcW w:w="1559" w:type="dxa"/>
          </w:tcPr>
          <w:p w14:paraId="1802DCF5" w14:textId="7725443D" w:rsidR="00191A23" w:rsidRPr="0077524C" w:rsidRDefault="00E349D1" w:rsidP="00E349D1">
            <w:pPr>
              <w:tabs>
                <w:tab w:val="left" w:pos="5400"/>
              </w:tabs>
              <w:rPr>
                <w:color w:val="000000" w:themeColor="text1"/>
                <w:sz w:val="20"/>
              </w:rPr>
            </w:pPr>
            <w:r>
              <w:rPr>
                <w:color w:val="000000" w:themeColor="text1"/>
                <w:sz w:val="20"/>
              </w:rPr>
              <w:t>1</w:t>
            </w:r>
            <w:r w:rsidRPr="00E349D1">
              <w:rPr>
                <w:color w:val="000000" w:themeColor="text1"/>
                <w:sz w:val="20"/>
                <w:vertAlign w:val="superscript"/>
              </w:rPr>
              <w:t>st</w:t>
            </w:r>
            <w:r>
              <w:rPr>
                <w:color w:val="000000" w:themeColor="text1"/>
                <w:sz w:val="20"/>
              </w:rPr>
              <w:t xml:space="preserve"> and 2</w:t>
            </w:r>
            <w:r w:rsidRPr="00E349D1">
              <w:rPr>
                <w:color w:val="000000" w:themeColor="text1"/>
                <w:sz w:val="20"/>
                <w:vertAlign w:val="superscript"/>
              </w:rPr>
              <w:t>nd</w:t>
            </w:r>
            <w:r>
              <w:rPr>
                <w:color w:val="000000" w:themeColor="text1"/>
                <w:sz w:val="20"/>
              </w:rPr>
              <w:t xml:space="preserve"> paragraph of the Participants section</w:t>
            </w:r>
          </w:p>
        </w:tc>
        <w:tc>
          <w:tcPr>
            <w:tcW w:w="2835" w:type="dxa"/>
          </w:tcPr>
          <w:p w14:paraId="7637D30A" w14:textId="742177D7" w:rsidR="0077524C" w:rsidRPr="0077524C" w:rsidRDefault="0077524C" w:rsidP="0077524C">
            <w:pPr>
              <w:tabs>
                <w:tab w:val="left" w:pos="5400"/>
              </w:tabs>
              <w:rPr>
                <w:i/>
                <w:color w:val="000000" w:themeColor="text1"/>
                <w:sz w:val="20"/>
              </w:rPr>
            </w:pPr>
            <w:r w:rsidRPr="0077524C">
              <w:rPr>
                <w:i/>
                <w:color w:val="000000" w:themeColor="text1"/>
                <w:sz w:val="20"/>
              </w:rPr>
              <w:t xml:space="preserve">Between 1993 and 1997, 80,996 men and 79,729 women were invited to participate </w:t>
            </w:r>
            <w:r>
              <w:rPr>
                <w:i/>
                <w:color w:val="000000" w:themeColor="text1"/>
                <w:sz w:val="20"/>
              </w:rPr>
              <w:t>..</w:t>
            </w:r>
            <w:r w:rsidRPr="0077524C">
              <w:rPr>
                <w:i/>
                <w:color w:val="000000" w:themeColor="text1"/>
                <w:sz w:val="20"/>
              </w:rPr>
              <w:t xml:space="preserve"> Eligible persons were identified through the Civil Registration System and 27,178 men and 29,875 women agreed to participate in baseline examination [15]. In analysis of total cycling (combined recreational and commuter cycling) and seasonal cycling, which was reported at baseline, the following disease cases were excluded; diabetes according to the National Diabetes Registry (NDR), the National Patient Registry or self-report (n=1,395); also acute myocardial infarction </w:t>
            </w:r>
            <w:r w:rsidRPr="0077524C">
              <w:rPr>
                <w:i/>
                <w:color w:val="000000" w:themeColor="text1"/>
                <w:sz w:val="20"/>
              </w:rPr>
              <w:lastRenderedPageBreak/>
              <w:t>(n=913); stroke (n=597); and cancer (n=569). This corresponded to exclusion of 3,268 participants registered with one or more chronic diseases, leaving 53,785 eligible participants. After excluding missing data in covariates and exposure variables 52,513 participants were included in the analyses.</w:t>
            </w:r>
          </w:p>
          <w:p w14:paraId="40E362C5" w14:textId="3B091B96" w:rsidR="00191A23" w:rsidRPr="0077524C" w:rsidRDefault="0077524C" w:rsidP="0077524C">
            <w:pPr>
              <w:tabs>
                <w:tab w:val="left" w:pos="5400"/>
              </w:tabs>
              <w:rPr>
                <w:i/>
                <w:color w:val="000000" w:themeColor="text1"/>
                <w:sz w:val="20"/>
              </w:rPr>
            </w:pPr>
            <w:r w:rsidRPr="0077524C">
              <w:rPr>
                <w:i/>
                <w:color w:val="000000" w:themeColor="text1"/>
                <w:sz w:val="20"/>
              </w:rPr>
              <w:t xml:space="preserve">Approximately five years later (mean 5.4 years) between 1999 and 2003 participants still alive and residing in Denmark were invited for a second examination and 45,264 or 79.3% of the original cohort participated. In analysis of changes in total cycling from baseline to the second examination, new disease cases between the two examinations were excluded, in addition to those listed above; diabetes according to the NDR, the National Patient Registry or self-report (n=1,485); also acute myocardial infarction (n=463); stroke (n=368); and cancer (n=2,206). This corresponded to exclusion of </w:t>
            </w:r>
            <w:r w:rsidRPr="0077524C">
              <w:rPr>
                <w:i/>
                <w:color w:val="000000" w:themeColor="text1"/>
                <w:sz w:val="20"/>
              </w:rPr>
              <w:lastRenderedPageBreak/>
              <w:t>4,328 participants registered with one or more chronic diseases. When also excluding those registered with one or more chronic diseases before baseline, a total of 6,094 participants were excluded, leaving 39,170 eligible participants. When those with missing data in covariates and exposure variables were excluded, 27,712 participants were included in the analysis. For analysis of commuter cycling, which was reported at the second examination, unemployed individuals (n=1,375) and those who had retired (n=20,738) were excluded also, leaving 20,874 eligible participants. After excluding missing data in covariates and exposure variables 15,063 participants were included in the analysis (see Figure 1)”</w:t>
            </w:r>
            <w:r w:rsidR="006636DC" w:rsidRPr="0077524C">
              <w:rPr>
                <w:i/>
                <w:color w:val="000000" w:themeColor="text1"/>
                <w:sz w:val="20"/>
              </w:rPr>
              <w:t>.</w:t>
            </w:r>
          </w:p>
        </w:tc>
      </w:tr>
    </w:tbl>
    <w:p w14:paraId="310D1885" w14:textId="77777777" w:rsidR="00191A23" w:rsidRPr="00BE337C" w:rsidRDefault="00191A23">
      <w:bookmarkStart w:id="41" w:name="bold22"/>
      <w:bookmarkStart w:id="42" w:name="italic22"/>
      <w:bookmarkEnd w:id="39"/>
      <w:bookmarkEnd w:id="40"/>
      <w:r w:rsidRPr="00BE337C">
        <w:rPr>
          <w:sz w:val="16"/>
          <w:szCs w:val="16"/>
        </w:rPr>
        <w:lastRenderedPageBreak/>
        <w:t>Continued on next page</w:t>
      </w:r>
      <w:r w:rsidRPr="00BE337C">
        <w:t xml:space="preserve"> </w:t>
      </w:r>
      <w:r w:rsidRPr="00BE337C">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BE337C" w14:paraId="67A86987" w14:textId="77777777" w:rsidTr="00517788">
        <w:tc>
          <w:tcPr>
            <w:tcW w:w="1521" w:type="dxa"/>
          </w:tcPr>
          <w:p w14:paraId="5E726554" w14:textId="77777777" w:rsidR="00191A23" w:rsidRPr="00BE337C" w:rsidRDefault="00191A23" w:rsidP="00191A23">
            <w:pPr>
              <w:tabs>
                <w:tab w:val="left" w:pos="5400"/>
              </w:tabs>
              <w:rPr>
                <w:bCs/>
                <w:sz w:val="20"/>
              </w:rPr>
            </w:pPr>
            <w:r w:rsidRPr="00BE337C">
              <w:rPr>
                <w:bCs/>
                <w:sz w:val="20"/>
              </w:rPr>
              <w:lastRenderedPageBreak/>
              <w:t>Quantitative</w:t>
            </w:r>
            <w:bookmarkStart w:id="43" w:name="bold23"/>
            <w:bookmarkStart w:id="44" w:name="italic23"/>
            <w:bookmarkEnd w:id="41"/>
            <w:bookmarkEnd w:id="42"/>
            <w:r w:rsidRPr="00BE337C">
              <w:rPr>
                <w:bCs/>
                <w:sz w:val="20"/>
              </w:rPr>
              <w:t xml:space="preserve"> variables</w:t>
            </w:r>
            <w:bookmarkEnd w:id="43"/>
            <w:bookmarkEnd w:id="44"/>
          </w:p>
        </w:tc>
        <w:tc>
          <w:tcPr>
            <w:tcW w:w="749" w:type="dxa"/>
          </w:tcPr>
          <w:p w14:paraId="65A63E80" w14:textId="77777777" w:rsidR="00191A23" w:rsidRPr="00BE337C" w:rsidRDefault="00191A23" w:rsidP="00191A23">
            <w:pPr>
              <w:tabs>
                <w:tab w:val="left" w:pos="5400"/>
              </w:tabs>
              <w:jc w:val="center"/>
              <w:rPr>
                <w:sz w:val="20"/>
              </w:rPr>
            </w:pPr>
            <w:r w:rsidRPr="00BE337C">
              <w:rPr>
                <w:sz w:val="20"/>
              </w:rPr>
              <w:t>11</w:t>
            </w:r>
          </w:p>
        </w:tc>
        <w:tc>
          <w:tcPr>
            <w:tcW w:w="8328" w:type="dxa"/>
          </w:tcPr>
          <w:p w14:paraId="35B89F6C" w14:textId="77777777" w:rsidR="00191A23" w:rsidRPr="00BE337C" w:rsidRDefault="00191A23" w:rsidP="00191A23">
            <w:pPr>
              <w:tabs>
                <w:tab w:val="left" w:pos="5400"/>
              </w:tabs>
              <w:rPr>
                <w:sz w:val="20"/>
              </w:rPr>
            </w:pPr>
            <w:r w:rsidRPr="00BE337C">
              <w:rPr>
                <w:sz w:val="20"/>
              </w:rPr>
              <w:t>Explain how quantitative variables were handled in the analyses. If applicable, describe which groupings were chosen and why</w:t>
            </w:r>
          </w:p>
        </w:tc>
        <w:tc>
          <w:tcPr>
            <w:tcW w:w="1276" w:type="dxa"/>
          </w:tcPr>
          <w:p w14:paraId="056F25BD" w14:textId="27D1A873" w:rsidR="00111B44" w:rsidRPr="004F2E25" w:rsidRDefault="00E6084E" w:rsidP="00021BCF">
            <w:pPr>
              <w:tabs>
                <w:tab w:val="left" w:pos="5400"/>
              </w:tabs>
              <w:rPr>
                <w:color w:val="FF0000"/>
                <w:sz w:val="20"/>
              </w:rPr>
            </w:pPr>
            <w:r>
              <w:rPr>
                <w:color w:val="000000" w:themeColor="text1"/>
                <w:sz w:val="20"/>
              </w:rPr>
              <w:t>- 3</w:t>
            </w:r>
            <w:r w:rsidRPr="00E6084E">
              <w:rPr>
                <w:color w:val="000000" w:themeColor="text1"/>
                <w:sz w:val="20"/>
                <w:vertAlign w:val="superscript"/>
              </w:rPr>
              <w:t>rd</w:t>
            </w:r>
            <w:r>
              <w:rPr>
                <w:color w:val="000000" w:themeColor="text1"/>
                <w:sz w:val="20"/>
              </w:rPr>
              <w:t xml:space="preserve"> paragraph of the Assessment of physical activity section</w:t>
            </w:r>
          </w:p>
          <w:p w14:paraId="27CEA980" w14:textId="77777777" w:rsidR="00111B44" w:rsidRPr="004F2E25" w:rsidRDefault="00111B44" w:rsidP="00021BCF">
            <w:pPr>
              <w:tabs>
                <w:tab w:val="left" w:pos="5400"/>
              </w:tabs>
              <w:rPr>
                <w:color w:val="FF0000"/>
                <w:sz w:val="20"/>
              </w:rPr>
            </w:pPr>
          </w:p>
          <w:p w14:paraId="06C8D3CB" w14:textId="6EAC86CB" w:rsidR="00111B44" w:rsidRPr="004F2E25" w:rsidRDefault="00E6084E" w:rsidP="00021BCF">
            <w:pPr>
              <w:tabs>
                <w:tab w:val="left" w:pos="5400"/>
              </w:tabs>
              <w:rPr>
                <w:color w:val="FF0000"/>
                <w:sz w:val="20"/>
              </w:rPr>
            </w:pPr>
            <w:r>
              <w:rPr>
                <w:color w:val="000000" w:themeColor="text1"/>
                <w:sz w:val="20"/>
              </w:rPr>
              <w:t>- 6</w:t>
            </w:r>
            <w:r w:rsidRPr="00E6084E">
              <w:rPr>
                <w:color w:val="000000" w:themeColor="text1"/>
                <w:sz w:val="20"/>
                <w:vertAlign w:val="superscript"/>
              </w:rPr>
              <w:t>th</w:t>
            </w:r>
            <w:r>
              <w:rPr>
                <w:color w:val="000000" w:themeColor="text1"/>
                <w:sz w:val="20"/>
              </w:rPr>
              <w:t xml:space="preserve"> paragraph of the Statistical Methods section</w:t>
            </w:r>
          </w:p>
        </w:tc>
        <w:tc>
          <w:tcPr>
            <w:tcW w:w="3118" w:type="dxa"/>
          </w:tcPr>
          <w:p w14:paraId="488D680D" w14:textId="1C49771C" w:rsidR="00021BCF" w:rsidRPr="002E3545" w:rsidRDefault="00111B44" w:rsidP="001E106F">
            <w:pPr>
              <w:tabs>
                <w:tab w:val="left" w:pos="5400"/>
              </w:tabs>
              <w:rPr>
                <w:i/>
                <w:color w:val="000000" w:themeColor="text1"/>
                <w:sz w:val="20"/>
              </w:rPr>
            </w:pPr>
            <w:r w:rsidRPr="002E3545">
              <w:rPr>
                <w:i/>
                <w:color w:val="000000" w:themeColor="text1"/>
                <w:sz w:val="20"/>
              </w:rPr>
              <w:t>- “Total cycling was categorized in 0, 1-60, 61-150, 151-300 and &gt;300 minutes/week. When achieving &gt;150 minutes/week one successfully met international recommendations for aerobic physical activity”</w:t>
            </w:r>
          </w:p>
          <w:p w14:paraId="6342F15E" w14:textId="77777777" w:rsidR="00111B44" w:rsidRPr="004F2E25" w:rsidRDefault="00111B44" w:rsidP="001E106F">
            <w:pPr>
              <w:tabs>
                <w:tab w:val="left" w:pos="5400"/>
              </w:tabs>
              <w:rPr>
                <w:i/>
                <w:color w:val="FF0000"/>
                <w:sz w:val="20"/>
              </w:rPr>
            </w:pPr>
          </w:p>
          <w:p w14:paraId="6171D940" w14:textId="5004B3C6" w:rsidR="00111B44" w:rsidRPr="004F2E25" w:rsidRDefault="00111B44" w:rsidP="001E106F">
            <w:pPr>
              <w:tabs>
                <w:tab w:val="left" w:pos="5400"/>
              </w:tabs>
              <w:rPr>
                <w:i/>
                <w:color w:val="FF0000"/>
                <w:sz w:val="20"/>
              </w:rPr>
            </w:pPr>
            <w:r w:rsidRPr="002E3545">
              <w:rPr>
                <w:i/>
                <w:color w:val="000000" w:themeColor="text1"/>
                <w:sz w:val="20"/>
              </w:rPr>
              <w:t>- “Dietary variables on a continuous scale were categorized into quintiles, although coffee consumption was categorized into quartiles. Leisure time physical activity variables were also categorized into quintiles. Age was treated as continuous in the model, assuming a linear relationship between age and risk of T2D.”</w:t>
            </w:r>
          </w:p>
        </w:tc>
      </w:tr>
      <w:tr w:rsidR="00191A23" w:rsidRPr="00BE337C" w14:paraId="19C50371" w14:textId="77777777" w:rsidTr="00517788">
        <w:tc>
          <w:tcPr>
            <w:tcW w:w="1521" w:type="dxa"/>
            <w:vMerge w:val="restart"/>
          </w:tcPr>
          <w:p w14:paraId="42E554DB" w14:textId="2C41EC78" w:rsidR="00191A23" w:rsidRPr="00BE337C" w:rsidRDefault="00191A23" w:rsidP="00191A23">
            <w:pPr>
              <w:tabs>
                <w:tab w:val="left" w:pos="5400"/>
              </w:tabs>
              <w:rPr>
                <w:sz w:val="20"/>
              </w:rPr>
            </w:pPr>
            <w:bookmarkStart w:id="45" w:name="italic24"/>
            <w:r w:rsidRPr="00BE337C">
              <w:rPr>
                <w:sz w:val="20"/>
              </w:rPr>
              <w:t>Statistical</w:t>
            </w:r>
            <w:bookmarkStart w:id="46" w:name="italic25"/>
            <w:bookmarkEnd w:id="45"/>
            <w:r w:rsidRPr="00BE337C">
              <w:rPr>
                <w:sz w:val="20"/>
              </w:rPr>
              <w:t xml:space="preserve"> methods</w:t>
            </w:r>
            <w:bookmarkEnd w:id="46"/>
          </w:p>
        </w:tc>
        <w:tc>
          <w:tcPr>
            <w:tcW w:w="749" w:type="dxa"/>
            <w:vMerge w:val="restart"/>
          </w:tcPr>
          <w:p w14:paraId="72F53637" w14:textId="77777777" w:rsidR="00191A23" w:rsidRPr="00BE337C" w:rsidRDefault="00191A23" w:rsidP="00191A23">
            <w:pPr>
              <w:tabs>
                <w:tab w:val="left" w:pos="5400"/>
              </w:tabs>
              <w:jc w:val="center"/>
              <w:rPr>
                <w:sz w:val="20"/>
              </w:rPr>
            </w:pPr>
            <w:r w:rsidRPr="00BE337C">
              <w:rPr>
                <w:sz w:val="20"/>
              </w:rPr>
              <w:t>12</w:t>
            </w:r>
          </w:p>
        </w:tc>
        <w:tc>
          <w:tcPr>
            <w:tcW w:w="8328" w:type="dxa"/>
          </w:tcPr>
          <w:p w14:paraId="442DC1F5" w14:textId="77777777" w:rsidR="00191A23" w:rsidRPr="00BE337C" w:rsidRDefault="00191A23" w:rsidP="00191A23">
            <w:pPr>
              <w:tabs>
                <w:tab w:val="left" w:pos="5400"/>
              </w:tabs>
              <w:rPr>
                <w:sz w:val="20"/>
              </w:rPr>
            </w:pPr>
            <w:r w:rsidRPr="00BE337C">
              <w:rPr>
                <w:sz w:val="20"/>
              </w:rPr>
              <w:t>(</w:t>
            </w:r>
            <w:r w:rsidRPr="00BE337C">
              <w:rPr>
                <w:i/>
                <w:sz w:val="20"/>
              </w:rPr>
              <w:t>a</w:t>
            </w:r>
            <w:r w:rsidRPr="00BE337C">
              <w:rPr>
                <w:sz w:val="20"/>
              </w:rPr>
              <w:t>) Describe all statistical methods, including those used to control for confounding</w:t>
            </w:r>
          </w:p>
        </w:tc>
        <w:tc>
          <w:tcPr>
            <w:tcW w:w="1276" w:type="dxa"/>
          </w:tcPr>
          <w:p w14:paraId="2A76B616" w14:textId="6574F7FC" w:rsidR="00191A23" w:rsidRPr="002E3545" w:rsidRDefault="00BD24D8" w:rsidP="00191A23">
            <w:pPr>
              <w:tabs>
                <w:tab w:val="left" w:pos="5400"/>
              </w:tabs>
              <w:rPr>
                <w:color w:val="000000" w:themeColor="text1"/>
                <w:sz w:val="20"/>
              </w:rPr>
            </w:pPr>
            <w:r>
              <w:rPr>
                <w:color w:val="000000" w:themeColor="text1"/>
                <w:sz w:val="20"/>
              </w:rPr>
              <w:t>4</w:t>
            </w:r>
            <w:r w:rsidRPr="00BD24D8">
              <w:rPr>
                <w:color w:val="000000" w:themeColor="text1"/>
                <w:sz w:val="20"/>
                <w:vertAlign w:val="superscript"/>
              </w:rPr>
              <w:t>th</w:t>
            </w:r>
            <w:r>
              <w:rPr>
                <w:color w:val="000000" w:themeColor="text1"/>
                <w:sz w:val="20"/>
              </w:rPr>
              <w:t xml:space="preserve"> paragraph of the Statistical Methods section</w:t>
            </w:r>
          </w:p>
        </w:tc>
        <w:tc>
          <w:tcPr>
            <w:tcW w:w="3118" w:type="dxa"/>
          </w:tcPr>
          <w:p w14:paraId="27343AEB" w14:textId="553D23E1" w:rsidR="00191A23" w:rsidRPr="004F2E25" w:rsidRDefault="00831711" w:rsidP="00191A23">
            <w:pPr>
              <w:tabs>
                <w:tab w:val="left" w:pos="5400"/>
              </w:tabs>
              <w:rPr>
                <w:i/>
                <w:color w:val="FF0000"/>
                <w:sz w:val="20"/>
              </w:rPr>
            </w:pPr>
            <w:r w:rsidRPr="002E3545">
              <w:rPr>
                <w:i/>
                <w:color w:val="000000" w:themeColor="text1"/>
                <w:sz w:val="20"/>
              </w:rPr>
              <w:t>“Hazard ratios (HRs) with 95% CIs of developing T2D according to cycling habits were estimated using Cox Proportional Hazard Regression”</w:t>
            </w:r>
          </w:p>
        </w:tc>
      </w:tr>
      <w:tr w:rsidR="00191A23" w:rsidRPr="00BE337C" w14:paraId="5561F6E6" w14:textId="77777777" w:rsidTr="00517788">
        <w:tc>
          <w:tcPr>
            <w:tcW w:w="1521" w:type="dxa"/>
            <w:vMerge/>
          </w:tcPr>
          <w:p w14:paraId="3621D720" w14:textId="77777777" w:rsidR="00191A23" w:rsidRPr="00BE337C" w:rsidRDefault="00191A23" w:rsidP="00191A23">
            <w:pPr>
              <w:tabs>
                <w:tab w:val="left" w:pos="5400"/>
              </w:tabs>
              <w:rPr>
                <w:bCs/>
                <w:sz w:val="20"/>
              </w:rPr>
            </w:pPr>
            <w:bookmarkStart w:id="47" w:name="bold24" w:colFirst="0" w:colLast="0"/>
            <w:bookmarkStart w:id="48" w:name="italic26" w:colFirst="0" w:colLast="0"/>
          </w:p>
        </w:tc>
        <w:tc>
          <w:tcPr>
            <w:tcW w:w="749" w:type="dxa"/>
            <w:vMerge/>
          </w:tcPr>
          <w:p w14:paraId="4B46AEA1" w14:textId="77777777" w:rsidR="00191A23" w:rsidRPr="00BE337C" w:rsidRDefault="00191A23" w:rsidP="00191A23">
            <w:pPr>
              <w:tabs>
                <w:tab w:val="left" w:pos="5400"/>
              </w:tabs>
              <w:jc w:val="center"/>
              <w:rPr>
                <w:sz w:val="20"/>
              </w:rPr>
            </w:pPr>
          </w:p>
        </w:tc>
        <w:tc>
          <w:tcPr>
            <w:tcW w:w="8328" w:type="dxa"/>
          </w:tcPr>
          <w:p w14:paraId="71A645AE" w14:textId="77777777" w:rsidR="00191A23" w:rsidRPr="00BE337C" w:rsidRDefault="00191A23" w:rsidP="00191A23">
            <w:pPr>
              <w:tabs>
                <w:tab w:val="left" w:pos="5400"/>
              </w:tabs>
              <w:rPr>
                <w:sz w:val="20"/>
              </w:rPr>
            </w:pPr>
            <w:r w:rsidRPr="00BE337C">
              <w:rPr>
                <w:sz w:val="20"/>
              </w:rPr>
              <w:t>(</w:t>
            </w:r>
            <w:r w:rsidRPr="00BE337C">
              <w:rPr>
                <w:i/>
                <w:sz w:val="20"/>
              </w:rPr>
              <w:t>b</w:t>
            </w:r>
            <w:r w:rsidRPr="00BE337C">
              <w:rPr>
                <w:sz w:val="20"/>
              </w:rPr>
              <w:t>) Describe any methods used to examine subgroups and interactions</w:t>
            </w:r>
          </w:p>
        </w:tc>
        <w:tc>
          <w:tcPr>
            <w:tcW w:w="1276" w:type="dxa"/>
          </w:tcPr>
          <w:p w14:paraId="12CC1355" w14:textId="27F1361D" w:rsidR="002F1DDA" w:rsidRPr="004F2E25" w:rsidRDefault="00D50EA3" w:rsidP="00191A23">
            <w:pPr>
              <w:tabs>
                <w:tab w:val="left" w:pos="5400"/>
              </w:tabs>
              <w:rPr>
                <w:color w:val="FF0000"/>
                <w:sz w:val="20"/>
              </w:rPr>
            </w:pPr>
            <w:r>
              <w:rPr>
                <w:color w:val="000000" w:themeColor="text1"/>
                <w:sz w:val="20"/>
              </w:rPr>
              <w:t>7</w:t>
            </w:r>
            <w:r w:rsidRPr="00D50EA3">
              <w:rPr>
                <w:color w:val="000000" w:themeColor="text1"/>
                <w:sz w:val="20"/>
                <w:vertAlign w:val="superscript"/>
              </w:rPr>
              <w:t>th</w:t>
            </w:r>
            <w:r>
              <w:rPr>
                <w:color w:val="000000" w:themeColor="text1"/>
                <w:sz w:val="20"/>
              </w:rPr>
              <w:t xml:space="preserve"> paragraph of the Statistical Methods section</w:t>
            </w:r>
          </w:p>
        </w:tc>
        <w:tc>
          <w:tcPr>
            <w:tcW w:w="3118" w:type="dxa"/>
          </w:tcPr>
          <w:p w14:paraId="3A0E65BE" w14:textId="3F5D4A0F" w:rsidR="00191A23" w:rsidRPr="004F2E25" w:rsidRDefault="00831711" w:rsidP="002F1DDA">
            <w:pPr>
              <w:tabs>
                <w:tab w:val="left" w:pos="5400"/>
              </w:tabs>
              <w:rPr>
                <w:i/>
                <w:color w:val="FF0000"/>
                <w:sz w:val="20"/>
              </w:rPr>
            </w:pPr>
            <w:r w:rsidRPr="00612DEB">
              <w:rPr>
                <w:i/>
                <w:color w:val="000000" w:themeColor="text1"/>
                <w:sz w:val="20"/>
              </w:rPr>
              <w:t xml:space="preserve">“We also statistically evaluated whether there was an interaction between sex and cycling on risk of T2D in the analyses. This was done by </w:t>
            </w:r>
            <w:r w:rsidRPr="00612DEB">
              <w:rPr>
                <w:i/>
                <w:color w:val="000000" w:themeColor="text1"/>
                <w:sz w:val="20"/>
                <w:u w:val="single"/>
              </w:rPr>
              <w:t>comparing models with an interaction term and main effects with models containing main effects only, using the likelihood-ratio test.</w:t>
            </w:r>
            <w:r w:rsidRPr="00612DEB">
              <w:rPr>
                <w:i/>
                <w:color w:val="000000" w:themeColor="text1"/>
                <w:sz w:val="20"/>
              </w:rPr>
              <w:t>”</w:t>
            </w:r>
          </w:p>
        </w:tc>
      </w:tr>
      <w:tr w:rsidR="00191A23" w:rsidRPr="00BE337C" w14:paraId="16541E2F" w14:textId="77777777" w:rsidTr="00517788">
        <w:tc>
          <w:tcPr>
            <w:tcW w:w="1521" w:type="dxa"/>
            <w:vMerge/>
          </w:tcPr>
          <w:p w14:paraId="2A49BD55" w14:textId="03EFAC49" w:rsidR="00191A23" w:rsidRPr="00BE337C"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14:paraId="69F12F4E" w14:textId="77777777" w:rsidR="00191A23" w:rsidRPr="00BE337C" w:rsidRDefault="00191A23" w:rsidP="00191A23">
            <w:pPr>
              <w:tabs>
                <w:tab w:val="left" w:pos="5400"/>
              </w:tabs>
              <w:jc w:val="center"/>
              <w:rPr>
                <w:sz w:val="20"/>
              </w:rPr>
            </w:pPr>
          </w:p>
        </w:tc>
        <w:tc>
          <w:tcPr>
            <w:tcW w:w="8328" w:type="dxa"/>
          </w:tcPr>
          <w:p w14:paraId="64B0C3D6" w14:textId="77777777" w:rsidR="00191A23" w:rsidRPr="00BE337C" w:rsidRDefault="00191A23" w:rsidP="00191A23">
            <w:pPr>
              <w:tabs>
                <w:tab w:val="left" w:pos="5400"/>
              </w:tabs>
              <w:rPr>
                <w:sz w:val="20"/>
              </w:rPr>
            </w:pPr>
            <w:r w:rsidRPr="00BE337C">
              <w:rPr>
                <w:sz w:val="20"/>
              </w:rPr>
              <w:t>(</w:t>
            </w:r>
            <w:r w:rsidRPr="00BE337C">
              <w:rPr>
                <w:i/>
                <w:sz w:val="20"/>
              </w:rPr>
              <w:t>c</w:t>
            </w:r>
            <w:r w:rsidRPr="00BE337C">
              <w:rPr>
                <w:sz w:val="20"/>
              </w:rPr>
              <w:t>) Explain how missing data were addressed</w:t>
            </w:r>
          </w:p>
        </w:tc>
        <w:tc>
          <w:tcPr>
            <w:tcW w:w="1276" w:type="dxa"/>
          </w:tcPr>
          <w:p w14:paraId="6C55D649" w14:textId="53832540" w:rsidR="00191A23" w:rsidRPr="004F2E25" w:rsidRDefault="002A341F" w:rsidP="00191A23">
            <w:pPr>
              <w:tabs>
                <w:tab w:val="left" w:pos="5400"/>
              </w:tabs>
              <w:rPr>
                <w:color w:val="FF0000"/>
                <w:sz w:val="20"/>
              </w:rPr>
            </w:pPr>
            <w:r>
              <w:rPr>
                <w:color w:val="000000" w:themeColor="text1"/>
                <w:sz w:val="20"/>
              </w:rPr>
              <w:t>2</w:t>
            </w:r>
            <w:r w:rsidRPr="002A341F">
              <w:rPr>
                <w:color w:val="000000" w:themeColor="text1"/>
                <w:sz w:val="20"/>
                <w:vertAlign w:val="superscript"/>
              </w:rPr>
              <w:t>nd</w:t>
            </w:r>
            <w:r>
              <w:rPr>
                <w:color w:val="000000" w:themeColor="text1"/>
                <w:sz w:val="20"/>
              </w:rPr>
              <w:t xml:space="preserve"> paragraph of the Statistical Methods section</w:t>
            </w:r>
          </w:p>
        </w:tc>
        <w:tc>
          <w:tcPr>
            <w:tcW w:w="3118" w:type="dxa"/>
          </w:tcPr>
          <w:p w14:paraId="340A9DCA" w14:textId="1BC085CF" w:rsidR="00191A23" w:rsidRPr="004F2E25" w:rsidRDefault="00632CE0" w:rsidP="004F415F">
            <w:pPr>
              <w:tabs>
                <w:tab w:val="left" w:pos="5400"/>
              </w:tabs>
              <w:rPr>
                <w:color w:val="FF0000"/>
                <w:sz w:val="20"/>
              </w:rPr>
            </w:pPr>
            <w:r w:rsidRPr="00632CE0">
              <w:rPr>
                <w:i/>
                <w:color w:val="000000" w:themeColor="text1"/>
                <w:sz w:val="20"/>
              </w:rPr>
              <w:t xml:space="preserve">“If participants had only answered for one season in physical activity variables, the value for the unanswered season was imputed based on the means for summer and winter for participants of the same sex and age (six strata) who had answered the question for both seasons.” </w:t>
            </w:r>
            <w:r w:rsidR="008F0D64" w:rsidRPr="00632CE0">
              <w:rPr>
                <w:color w:val="000000" w:themeColor="text1"/>
                <w:sz w:val="20"/>
              </w:rPr>
              <w:t>(Thus we imputed missing data in physical activity variables)</w:t>
            </w:r>
          </w:p>
        </w:tc>
      </w:tr>
      <w:tr w:rsidR="00191A23" w:rsidRPr="00BE337C" w14:paraId="1D18DF5E" w14:textId="77777777" w:rsidTr="00E20635">
        <w:tc>
          <w:tcPr>
            <w:tcW w:w="1521" w:type="dxa"/>
            <w:vMerge/>
          </w:tcPr>
          <w:p w14:paraId="3416B5B6" w14:textId="77777777" w:rsidR="00191A23" w:rsidRPr="00BE337C"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14:paraId="6645C947" w14:textId="77777777" w:rsidR="00191A23" w:rsidRPr="00BE337C" w:rsidRDefault="00191A23" w:rsidP="00191A23">
            <w:pPr>
              <w:tabs>
                <w:tab w:val="left" w:pos="5400"/>
              </w:tabs>
              <w:jc w:val="center"/>
              <w:rPr>
                <w:sz w:val="20"/>
              </w:rPr>
            </w:pPr>
          </w:p>
        </w:tc>
        <w:tc>
          <w:tcPr>
            <w:tcW w:w="8328" w:type="dxa"/>
          </w:tcPr>
          <w:p w14:paraId="1E47918C" w14:textId="77777777" w:rsidR="00191A23" w:rsidRPr="00BE337C" w:rsidRDefault="00191A23" w:rsidP="00191A23">
            <w:pPr>
              <w:tabs>
                <w:tab w:val="left" w:pos="5400"/>
              </w:tabs>
              <w:rPr>
                <w:sz w:val="20"/>
              </w:rPr>
            </w:pPr>
            <w:r w:rsidRPr="00BE337C">
              <w:rPr>
                <w:sz w:val="20"/>
              </w:rPr>
              <w:t>(</w:t>
            </w:r>
            <w:r w:rsidRPr="00BE337C">
              <w:rPr>
                <w:i/>
                <w:sz w:val="20"/>
              </w:rPr>
              <w:t>d</w:t>
            </w:r>
            <w:r w:rsidRPr="00BE337C">
              <w:rPr>
                <w:sz w:val="20"/>
              </w:rPr>
              <w:t xml:space="preserve">) </w:t>
            </w:r>
            <w:r w:rsidRPr="00097AE4">
              <w:rPr>
                <w:b/>
                <w:bCs/>
                <w:i/>
                <w:sz w:val="20"/>
                <w:u w:val="single"/>
              </w:rPr>
              <w:t>Cohort study</w:t>
            </w:r>
            <w:r w:rsidRPr="00BE337C">
              <w:rPr>
                <w:sz w:val="20"/>
              </w:rPr>
              <w:t>—If applicable, explain how loss to follow-up was addressed</w:t>
            </w:r>
          </w:p>
          <w:p w14:paraId="3AA758CA" w14:textId="77777777" w:rsidR="00191A23" w:rsidRPr="00BE337C" w:rsidRDefault="00191A23" w:rsidP="00191A23">
            <w:pPr>
              <w:tabs>
                <w:tab w:val="left" w:pos="5400"/>
              </w:tabs>
              <w:rPr>
                <w:sz w:val="20"/>
              </w:rPr>
            </w:pPr>
            <w:r w:rsidRPr="00BE337C">
              <w:rPr>
                <w:bCs/>
                <w:i/>
                <w:sz w:val="20"/>
              </w:rPr>
              <w:t>Case-control study</w:t>
            </w:r>
            <w:r w:rsidRPr="00BE337C">
              <w:rPr>
                <w:sz w:val="20"/>
              </w:rPr>
              <w:t>—If applicable, explain how matching of cases and controls was addressed</w:t>
            </w:r>
          </w:p>
          <w:p w14:paraId="41060850" w14:textId="77777777" w:rsidR="00191A23" w:rsidRPr="00BE337C" w:rsidRDefault="00191A23" w:rsidP="00191A23">
            <w:pPr>
              <w:tabs>
                <w:tab w:val="left" w:pos="5400"/>
              </w:tabs>
              <w:rPr>
                <w:sz w:val="20"/>
              </w:rPr>
            </w:pPr>
            <w:r w:rsidRPr="00BE337C">
              <w:rPr>
                <w:bCs/>
                <w:i/>
                <w:sz w:val="20"/>
              </w:rPr>
              <w:t>Cross-sectional study</w:t>
            </w:r>
            <w:r w:rsidRPr="00BE337C">
              <w:rPr>
                <w:sz w:val="20"/>
              </w:rPr>
              <w:t>—If applicable, describe analytical methods taking account of sampling strategy</w:t>
            </w:r>
          </w:p>
        </w:tc>
        <w:tc>
          <w:tcPr>
            <w:tcW w:w="1276" w:type="dxa"/>
          </w:tcPr>
          <w:p w14:paraId="1F79B11E" w14:textId="4719D500" w:rsidR="00E20635" w:rsidRPr="004F2E25" w:rsidRDefault="00C926D9" w:rsidP="00097AE4">
            <w:pPr>
              <w:tabs>
                <w:tab w:val="left" w:pos="5400"/>
              </w:tabs>
              <w:rPr>
                <w:color w:val="FF0000"/>
                <w:sz w:val="20"/>
              </w:rPr>
            </w:pPr>
            <w:r>
              <w:rPr>
                <w:color w:val="000000" w:themeColor="text1"/>
                <w:sz w:val="20"/>
              </w:rPr>
              <w:t>4</w:t>
            </w:r>
            <w:r w:rsidRPr="00C926D9">
              <w:rPr>
                <w:color w:val="000000" w:themeColor="text1"/>
                <w:sz w:val="20"/>
                <w:vertAlign w:val="superscript"/>
              </w:rPr>
              <w:t>th</w:t>
            </w:r>
            <w:r>
              <w:rPr>
                <w:color w:val="000000" w:themeColor="text1"/>
                <w:sz w:val="20"/>
              </w:rPr>
              <w:t xml:space="preserve"> paragraph of the Statistical Methods sec</w:t>
            </w:r>
            <w:r w:rsidR="00042BFB">
              <w:rPr>
                <w:color w:val="000000" w:themeColor="text1"/>
                <w:sz w:val="20"/>
              </w:rPr>
              <w:t>t</w:t>
            </w:r>
            <w:r>
              <w:rPr>
                <w:color w:val="000000" w:themeColor="text1"/>
                <w:sz w:val="20"/>
              </w:rPr>
              <w:t>ion</w:t>
            </w:r>
          </w:p>
        </w:tc>
        <w:tc>
          <w:tcPr>
            <w:tcW w:w="3118" w:type="dxa"/>
            <w:shd w:val="clear" w:color="auto" w:fill="auto"/>
          </w:tcPr>
          <w:p w14:paraId="048655FE" w14:textId="77777777" w:rsidR="00097AE4" w:rsidRPr="00632CE0" w:rsidRDefault="00097AE4" w:rsidP="00097AE4">
            <w:pPr>
              <w:tabs>
                <w:tab w:val="left" w:pos="5400"/>
              </w:tabs>
              <w:rPr>
                <w:color w:val="000000" w:themeColor="text1"/>
                <w:sz w:val="20"/>
              </w:rPr>
            </w:pPr>
            <w:r w:rsidRPr="00632CE0">
              <w:rPr>
                <w:color w:val="000000" w:themeColor="text1"/>
                <w:sz w:val="20"/>
              </w:rPr>
              <w:t>Subjects who were lost to follow up</w:t>
            </w:r>
          </w:p>
          <w:p w14:paraId="309DA580" w14:textId="77777777" w:rsidR="00097AE4" w:rsidRPr="00632CE0" w:rsidRDefault="00097AE4" w:rsidP="00097AE4">
            <w:pPr>
              <w:tabs>
                <w:tab w:val="left" w:pos="5400"/>
              </w:tabs>
              <w:rPr>
                <w:color w:val="000000" w:themeColor="text1"/>
                <w:sz w:val="20"/>
              </w:rPr>
            </w:pPr>
            <w:r w:rsidRPr="00632CE0">
              <w:rPr>
                <w:color w:val="000000" w:themeColor="text1"/>
                <w:sz w:val="20"/>
              </w:rPr>
              <w:t>were still included in the analyses</w:t>
            </w:r>
          </w:p>
          <w:p w14:paraId="2AE2EA21" w14:textId="77777777" w:rsidR="00097AE4" w:rsidRPr="00632CE0" w:rsidRDefault="00097AE4" w:rsidP="00097AE4">
            <w:pPr>
              <w:tabs>
                <w:tab w:val="left" w:pos="5400"/>
              </w:tabs>
              <w:rPr>
                <w:i/>
                <w:color w:val="000000" w:themeColor="text1"/>
                <w:sz w:val="20"/>
              </w:rPr>
            </w:pPr>
            <w:r w:rsidRPr="00632CE0">
              <w:rPr>
                <w:color w:val="000000" w:themeColor="text1"/>
                <w:sz w:val="20"/>
              </w:rPr>
              <w:t xml:space="preserve">via censoring: </w:t>
            </w:r>
            <w:r w:rsidRPr="00632CE0">
              <w:rPr>
                <w:i/>
                <w:color w:val="000000" w:themeColor="text1"/>
                <w:sz w:val="20"/>
              </w:rPr>
              <w:t>“Right truncation</w:t>
            </w:r>
          </w:p>
          <w:p w14:paraId="5E3CCA87" w14:textId="77777777" w:rsidR="00097AE4" w:rsidRPr="00632CE0" w:rsidRDefault="00097AE4" w:rsidP="00097AE4">
            <w:pPr>
              <w:tabs>
                <w:tab w:val="left" w:pos="5400"/>
              </w:tabs>
              <w:rPr>
                <w:i/>
                <w:color w:val="000000" w:themeColor="text1"/>
                <w:sz w:val="20"/>
              </w:rPr>
            </w:pPr>
            <w:r w:rsidRPr="00632CE0">
              <w:rPr>
                <w:i/>
                <w:color w:val="000000" w:themeColor="text1"/>
                <w:sz w:val="20"/>
              </w:rPr>
              <w:t>was on the date of the following;</w:t>
            </w:r>
          </w:p>
          <w:p w14:paraId="5D329560" w14:textId="77777777" w:rsidR="00097AE4" w:rsidRPr="00632CE0" w:rsidRDefault="00097AE4" w:rsidP="00097AE4">
            <w:pPr>
              <w:tabs>
                <w:tab w:val="left" w:pos="5400"/>
              </w:tabs>
              <w:rPr>
                <w:i/>
                <w:color w:val="000000" w:themeColor="text1"/>
                <w:sz w:val="20"/>
              </w:rPr>
            </w:pPr>
            <w:r w:rsidRPr="00632CE0">
              <w:rPr>
                <w:i/>
                <w:color w:val="000000" w:themeColor="text1"/>
                <w:sz w:val="20"/>
              </w:rPr>
              <w:t>event, death, emigration, inactivity</w:t>
            </w:r>
          </w:p>
          <w:p w14:paraId="78997922" w14:textId="77777777" w:rsidR="00097AE4" w:rsidRPr="00632CE0" w:rsidRDefault="00097AE4" w:rsidP="00097AE4">
            <w:pPr>
              <w:tabs>
                <w:tab w:val="left" w:pos="5400"/>
              </w:tabs>
              <w:rPr>
                <w:i/>
                <w:color w:val="000000" w:themeColor="text1"/>
                <w:sz w:val="20"/>
              </w:rPr>
            </w:pPr>
            <w:r w:rsidRPr="00632CE0">
              <w:rPr>
                <w:i/>
                <w:color w:val="000000" w:themeColor="text1"/>
                <w:sz w:val="20"/>
              </w:rPr>
              <w:t>or change in the Civil Registration</w:t>
            </w:r>
          </w:p>
          <w:p w14:paraId="32C917D2" w14:textId="77777777" w:rsidR="00097AE4" w:rsidRPr="00632CE0" w:rsidRDefault="00097AE4" w:rsidP="00097AE4">
            <w:pPr>
              <w:tabs>
                <w:tab w:val="left" w:pos="5400"/>
              </w:tabs>
              <w:rPr>
                <w:i/>
                <w:color w:val="000000" w:themeColor="text1"/>
                <w:sz w:val="20"/>
              </w:rPr>
            </w:pPr>
            <w:r w:rsidRPr="00632CE0">
              <w:rPr>
                <w:i/>
                <w:color w:val="000000" w:themeColor="text1"/>
                <w:sz w:val="20"/>
              </w:rPr>
              <w:t>System, or end of follow-up</w:t>
            </w:r>
          </w:p>
          <w:p w14:paraId="67A3A08A" w14:textId="77777777" w:rsidR="00097AE4" w:rsidRPr="00632CE0" w:rsidRDefault="00097AE4" w:rsidP="00097AE4">
            <w:pPr>
              <w:tabs>
                <w:tab w:val="left" w:pos="5400"/>
              </w:tabs>
              <w:rPr>
                <w:i/>
                <w:color w:val="000000" w:themeColor="text1"/>
                <w:sz w:val="20"/>
              </w:rPr>
            </w:pPr>
            <w:r w:rsidRPr="00632CE0">
              <w:rPr>
                <w:i/>
                <w:color w:val="000000" w:themeColor="text1"/>
                <w:sz w:val="20"/>
              </w:rPr>
              <w:t>(31/12/2011), whichever came</w:t>
            </w:r>
          </w:p>
          <w:p w14:paraId="1A8C8D63" w14:textId="0B52B264" w:rsidR="00191A23" w:rsidRPr="004F2E25" w:rsidRDefault="00097AE4" w:rsidP="00097AE4">
            <w:pPr>
              <w:tabs>
                <w:tab w:val="left" w:pos="5400"/>
              </w:tabs>
              <w:rPr>
                <w:color w:val="FF0000"/>
                <w:sz w:val="20"/>
              </w:rPr>
            </w:pPr>
            <w:r w:rsidRPr="00632CE0">
              <w:rPr>
                <w:i/>
                <w:color w:val="000000" w:themeColor="text1"/>
                <w:sz w:val="20"/>
              </w:rPr>
              <w:t>first.”</w:t>
            </w:r>
          </w:p>
        </w:tc>
      </w:tr>
      <w:tr w:rsidR="00191A23" w:rsidRPr="00BE337C" w14:paraId="4AAB0946" w14:textId="77777777" w:rsidTr="00517788">
        <w:tc>
          <w:tcPr>
            <w:tcW w:w="1521" w:type="dxa"/>
            <w:vMerge/>
          </w:tcPr>
          <w:p w14:paraId="5E3DC8CD" w14:textId="77777777" w:rsidR="00191A23" w:rsidRPr="00BE337C"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14:paraId="034D4E66" w14:textId="77777777" w:rsidR="00191A23" w:rsidRPr="00BE337C" w:rsidRDefault="00191A23" w:rsidP="00191A23">
            <w:pPr>
              <w:tabs>
                <w:tab w:val="left" w:pos="5400"/>
              </w:tabs>
              <w:jc w:val="center"/>
              <w:rPr>
                <w:sz w:val="20"/>
              </w:rPr>
            </w:pPr>
          </w:p>
        </w:tc>
        <w:tc>
          <w:tcPr>
            <w:tcW w:w="8328" w:type="dxa"/>
          </w:tcPr>
          <w:p w14:paraId="47C53E13" w14:textId="77777777" w:rsidR="00191A23" w:rsidRPr="00BE337C" w:rsidRDefault="00191A23" w:rsidP="00191A23">
            <w:pPr>
              <w:tabs>
                <w:tab w:val="left" w:pos="5400"/>
              </w:tabs>
              <w:rPr>
                <w:sz w:val="20"/>
              </w:rPr>
            </w:pPr>
            <w:r w:rsidRPr="00BE337C">
              <w:rPr>
                <w:sz w:val="20"/>
              </w:rPr>
              <w:t>(</w:t>
            </w:r>
            <w:r w:rsidRPr="00BE337C">
              <w:rPr>
                <w:i/>
                <w:sz w:val="20"/>
                <w:u w:val="single"/>
              </w:rPr>
              <w:t>e</w:t>
            </w:r>
            <w:r w:rsidRPr="00BE337C">
              <w:rPr>
                <w:sz w:val="20"/>
              </w:rPr>
              <w:t>) Describe any sensitivity analyses</w:t>
            </w:r>
          </w:p>
        </w:tc>
        <w:tc>
          <w:tcPr>
            <w:tcW w:w="1276" w:type="dxa"/>
          </w:tcPr>
          <w:p w14:paraId="74EB4062" w14:textId="71C4B5AA" w:rsidR="00191A23" w:rsidRPr="004F2E25" w:rsidRDefault="00042BFB" w:rsidP="00191A23">
            <w:pPr>
              <w:tabs>
                <w:tab w:val="left" w:pos="5400"/>
              </w:tabs>
              <w:rPr>
                <w:color w:val="FF0000"/>
                <w:sz w:val="20"/>
              </w:rPr>
            </w:pPr>
            <w:r>
              <w:rPr>
                <w:color w:val="000000" w:themeColor="text1"/>
                <w:sz w:val="20"/>
              </w:rPr>
              <w:t>2</w:t>
            </w:r>
            <w:r w:rsidRPr="002A341F">
              <w:rPr>
                <w:color w:val="000000" w:themeColor="text1"/>
                <w:sz w:val="20"/>
                <w:vertAlign w:val="superscript"/>
              </w:rPr>
              <w:t>nd</w:t>
            </w:r>
            <w:r>
              <w:rPr>
                <w:color w:val="000000" w:themeColor="text1"/>
                <w:sz w:val="20"/>
              </w:rPr>
              <w:t xml:space="preserve"> paragraph of the Statistical Methods section</w:t>
            </w:r>
          </w:p>
        </w:tc>
        <w:tc>
          <w:tcPr>
            <w:tcW w:w="3118" w:type="dxa"/>
          </w:tcPr>
          <w:p w14:paraId="0011EC83" w14:textId="199FB64E" w:rsidR="00191A23" w:rsidRPr="004F2E25" w:rsidRDefault="00B630EB" w:rsidP="00001F17">
            <w:pPr>
              <w:tabs>
                <w:tab w:val="left" w:pos="5400"/>
              </w:tabs>
              <w:rPr>
                <w:color w:val="FF0000"/>
                <w:sz w:val="20"/>
              </w:rPr>
            </w:pPr>
            <w:r w:rsidRPr="00085DED">
              <w:rPr>
                <w:color w:val="000000" w:themeColor="text1"/>
                <w:sz w:val="20"/>
              </w:rPr>
              <w:t xml:space="preserve">We compared associations from the analyses with and without imputation of physical activity variables: </w:t>
            </w:r>
            <w:r w:rsidRPr="00085DED">
              <w:rPr>
                <w:i/>
                <w:color w:val="000000" w:themeColor="text1"/>
                <w:sz w:val="20"/>
              </w:rPr>
              <w:t>“The multivariable analyses performed without imputation of physical activity variables, however showed almost identical results as the analyses with imputation, with no differences in direction of associations or statistical significance.”</w:t>
            </w:r>
          </w:p>
        </w:tc>
      </w:tr>
      <w:bookmarkEnd w:id="53"/>
      <w:bookmarkEnd w:id="54"/>
      <w:tr w:rsidR="00191A23" w:rsidRPr="00BE337C" w14:paraId="05D2893C" w14:textId="77777777" w:rsidTr="00191A23">
        <w:tc>
          <w:tcPr>
            <w:tcW w:w="14992" w:type="dxa"/>
            <w:gridSpan w:val="5"/>
          </w:tcPr>
          <w:p w14:paraId="1E8F984D" w14:textId="7E20176D" w:rsidR="00191A23" w:rsidRPr="004F2E25" w:rsidRDefault="00191A23" w:rsidP="00191A23">
            <w:pPr>
              <w:pStyle w:val="TableSubHead"/>
              <w:tabs>
                <w:tab w:val="left" w:pos="5400"/>
              </w:tabs>
              <w:rPr>
                <w:color w:val="FF0000"/>
                <w:sz w:val="20"/>
              </w:rPr>
            </w:pPr>
          </w:p>
        </w:tc>
      </w:tr>
      <w:tr w:rsidR="00191A23" w:rsidRPr="00BE337C" w14:paraId="563F6974" w14:textId="77777777" w:rsidTr="00517788">
        <w:tc>
          <w:tcPr>
            <w:tcW w:w="0" w:type="auto"/>
            <w:vMerge w:val="restart"/>
          </w:tcPr>
          <w:p w14:paraId="78E76C4E" w14:textId="30097131" w:rsidR="00191A23" w:rsidRPr="00BE337C" w:rsidRDefault="00191A23" w:rsidP="00191A23">
            <w:pPr>
              <w:tabs>
                <w:tab w:val="left" w:pos="5400"/>
              </w:tabs>
              <w:rPr>
                <w:bCs/>
                <w:sz w:val="20"/>
              </w:rPr>
            </w:pPr>
            <w:bookmarkStart w:id="55" w:name="bold29"/>
            <w:bookmarkStart w:id="56" w:name="italic31"/>
            <w:r w:rsidRPr="00BE337C">
              <w:rPr>
                <w:bCs/>
                <w:sz w:val="20"/>
              </w:rPr>
              <w:t>Participants</w:t>
            </w:r>
            <w:bookmarkEnd w:id="55"/>
            <w:bookmarkEnd w:id="56"/>
          </w:p>
        </w:tc>
        <w:tc>
          <w:tcPr>
            <w:tcW w:w="0" w:type="auto"/>
            <w:vMerge w:val="restart"/>
          </w:tcPr>
          <w:p w14:paraId="6132DE4D" w14:textId="77777777" w:rsidR="00191A23" w:rsidRPr="00BE337C" w:rsidRDefault="00191A23" w:rsidP="00191A23">
            <w:pPr>
              <w:tabs>
                <w:tab w:val="left" w:pos="5400"/>
              </w:tabs>
              <w:jc w:val="center"/>
              <w:rPr>
                <w:sz w:val="20"/>
              </w:rPr>
            </w:pPr>
            <w:r w:rsidRPr="00BE337C">
              <w:rPr>
                <w:sz w:val="20"/>
              </w:rPr>
              <w:t>13</w:t>
            </w:r>
            <w:bookmarkStart w:id="57" w:name="bold30"/>
            <w:r w:rsidRPr="00BE337C">
              <w:rPr>
                <w:bCs/>
                <w:sz w:val="20"/>
              </w:rPr>
              <w:t>*</w:t>
            </w:r>
            <w:bookmarkEnd w:id="57"/>
          </w:p>
        </w:tc>
        <w:tc>
          <w:tcPr>
            <w:tcW w:w="8328" w:type="dxa"/>
          </w:tcPr>
          <w:p w14:paraId="77871473" w14:textId="77777777" w:rsidR="00191A23" w:rsidRPr="00BE337C" w:rsidRDefault="00191A23" w:rsidP="00191A23">
            <w:pPr>
              <w:tabs>
                <w:tab w:val="left" w:pos="5400"/>
              </w:tabs>
              <w:rPr>
                <w:sz w:val="20"/>
              </w:rPr>
            </w:pPr>
            <w:r w:rsidRPr="00BE337C">
              <w:rPr>
                <w:sz w:val="20"/>
              </w:rPr>
              <w:t>(a) Report numbers of individuals at each stage of study—eg numbers potentially eligible, examined for eligibility, confirmed eligible, included in the study, completing follow-up, and analysed</w:t>
            </w:r>
          </w:p>
        </w:tc>
        <w:tc>
          <w:tcPr>
            <w:tcW w:w="1276" w:type="dxa"/>
          </w:tcPr>
          <w:p w14:paraId="14286FE0" w14:textId="6465B47A" w:rsidR="00191A23" w:rsidRPr="00085DED" w:rsidRDefault="00042BFB" w:rsidP="00191A23">
            <w:pPr>
              <w:tabs>
                <w:tab w:val="left" w:pos="5400"/>
              </w:tabs>
              <w:rPr>
                <w:color w:val="000000" w:themeColor="text1"/>
                <w:sz w:val="20"/>
              </w:rPr>
            </w:pPr>
            <w:r>
              <w:rPr>
                <w:sz w:val="20"/>
              </w:rPr>
              <w:t>1</w:t>
            </w:r>
            <w:r w:rsidRPr="00042BFB">
              <w:rPr>
                <w:sz w:val="20"/>
                <w:vertAlign w:val="superscript"/>
              </w:rPr>
              <w:t>st</w:t>
            </w:r>
            <w:r>
              <w:rPr>
                <w:sz w:val="20"/>
              </w:rPr>
              <w:t xml:space="preserve"> and 2</w:t>
            </w:r>
            <w:r w:rsidRPr="00042BFB">
              <w:rPr>
                <w:sz w:val="20"/>
                <w:vertAlign w:val="superscript"/>
              </w:rPr>
              <w:t>nd</w:t>
            </w:r>
            <w:r>
              <w:rPr>
                <w:sz w:val="20"/>
              </w:rPr>
              <w:t xml:space="preserve"> paragraph of the Participants section</w:t>
            </w:r>
          </w:p>
        </w:tc>
        <w:tc>
          <w:tcPr>
            <w:tcW w:w="3118" w:type="dxa"/>
          </w:tcPr>
          <w:p w14:paraId="4A16609B" w14:textId="77777777" w:rsidR="00085DED" w:rsidRPr="0077524C" w:rsidRDefault="00085DED" w:rsidP="00085DED">
            <w:pPr>
              <w:tabs>
                <w:tab w:val="left" w:pos="5400"/>
              </w:tabs>
              <w:rPr>
                <w:i/>
                <w:color w:val="000000" w:themeColor="text1"/>
                <w:sz w:val="20"/>
              </w:rPr>
            </w:pPr>
            <w:r w:rsidRPr="0077524C">
              <w:rPr>
                <w:i/>
                <w:color w:val="000000" w:themeColor="text1"/>
                <w:sz w:val="20"/>
              </w:rPr>
              <w:t xml:space="preserve">Between 1993 and 1997, 80,996 men and 79,729 women were invited to participate </w:t>
            </w:r>
            <w:r>
              <w:rPr>
                <w:i/>
                <w:color w:val="000000" w:themeColor="text1"/>
                <w:sz w:val="20"/>
              </w:rPr>
              <w:t>..</w:t>
            </w:r>
            <w:r w:rsidRPr="0077524C">
              <w:rPr>
                <w:i/>
                <w:color w:val="000000" w:themeColor="text1"/>
                <w:sz w:val="20"/>
              </w:rPr>
              <w:t xml:space="preserve"> Eligible persons were identified through the Civil Registration System and 27,178 men and 29,875 women agreed to participate in baseline examination [15]. In analysis of total cycling (combined recreational and commuter cycling) and seasonal cycling, which was reported at baseline, the following disease cases were excluded; diabetes according to the National Diabetes Registry (NDR), the National Patient Registry or self-report (n=1,395); also acute myocardial infarction (n=913); stroke (n=597); and cancer (n=569). This corresponded to exclusion of 3,268 participants registered with one or more chronic diseases, leaving 53,785 eligible participants. After excluding missing data in covariates and exposure variables 52,513 participants were included in the analyses.</w:t>
            </w:r>
          </w:p>
          <w:p w14:paraId="6E588DA8" w14:textId="5784EEFA" w:rsidR="00191A23" w:rsidRPr="004F2E25" w:rsidRDefault="00085DED" w:rsidP="00085DED">
            <w:pPr>
              <w:tabs>
                <w:tab w:val="left" w:pos="5400"/>
              </w:tabs>
              <w:rPr>
                <w:color w:val="FF0000"/>
                <w:sz w:val="20"/>
              </w:rPr>
            </w:pPr>
            <w:r w:rsidRPr="0077524C">
              <w:rPr>
                <w:i/>
                <w:color w:val="000000" w:themeColor="text1"/>
                <w:sz w:val="20"/>
              </w:rPr>
              <w:t xml:space="preserve">Approximately five years later (mean 5.4 years) between 1999 and </w:t>
            </w:r>
            <w:r w:rsidRPr="0077524C">
              <w:rPr>
                <w:i/>
                <w:color w:val="000000" w:themeColor="text1"/>
                <w:sz w:val="20"/>
              </w:rPr>
              <w:lastRenderedPageBreak/>
              <w:t xml:space="preserve">2003 participants still alive and residing in Denmark were invited for a second examination and 45,264 or 79.3% of the original cohort participated. In analysis of changes in total cycling from baseline to the second examination, new disease cases between the two examinations were excluded, in addition to those listed above; diabetes according to the NDR, the National Patient Registry or self-report (n=1,485); also acute myocardial infarction (n=463); stroke (n=368); and cancer (n=2,206). This corresponded to exclusion of 4,328 participants registered with one or more chronic diseases. When also excluding those registered with one or more chronic diseases before baseline, a total of 6,094 participants were excluded, leaving 39,170 eligible participants. When those with missing data in covariates and exposure variables were excluded, 27,712 participants were included in the analysis. For analysis of commuter cycling, which was reported at the second examination, unemployed individuals (n=1,375) and those who had retired </w:t>
            </w:r>
            <w:r w:rsidRPr="0077524C">
              <w:rPr>
                <w:i/>
                <w:color w:val="000000" w:themeColor="text1"/>
                <w:sz w:val="20"/>
              </w:rPr>
              <w:lastRenderedPageBreak/>
              <w:t>(n=20,738) were excluded also, leaving 20,874 eligible participants. After excluding missing data in covariates and exposure variables 15,063 participants were included in the analysis (see Figure 1)”.</w:t>
            </w:r>
          </w:p>
        </w:tc>
      </w:tr>
      <w:tr w:rsidR="00191A23" w:rsidRPr="00BE337C" w14:paraId="4589908F" w14:textId="77777777" w:rsidTr="00517788">
        <w:tc>
          <w:tcPr>
            <w:tcW w:w="0" w:type="auto"/>
            <w:vMerge/>
          </w:tcPr>
          <w:p w14:paraId="59BD780E" w14:textId="77777777" w:rsidR="00191A23" w:rsidRPr="00BE337C" w:rsidRDefault="00191A23" w:rsidP="00191A23">
            <w:pPr>
              <w:tabs>
                <w:tab w:val="left" w:pos="5400"/>
              </w:tabs>
              <w:rPr>
                <w:bCs/>
                <w:sz w:val="20"/>
              </w:rPr>
            </w:pPr>
            <w:bookmarkStart w:id="58" w:name="bold31" w:colFirst="0" w:colLast="0"/>
            <w:bookmarkStart w:id="59" w:name="italic32" w:colFirst="0" w:colLast="0"/>
          </w:p>
        </w:tc>
        <w:tc>
          <w:tcPr>
            <w:tcW w:w="0" w:type="auto"/>
            <w:vMerge/>
          </w:tcPr>
          <w:p w14:paraId="54B3A706" w14:textId="77777777" w:rsidR="00191A23" w:rsidRPr="00BE337C" w:rsidRDefault="00191A23" w:rsidP="00191A23">
            <w:pPr>
              <w:tabs>
                <w:tab w:val="left" w:pos="5400"/>
              </w:tabs>
              <w:jc w:val="center"/>
              <w:rPr>
                <w:sz w:val="20"/>
              </w:rPr>
            </w:pPr>
          </w:p>
        </w:tc>
        <w:tc>
          <w:tcPr>
            <w:tcW w:w="8328" w:type="dxa"/>
          </w:tcPr>
          <w:p w14:paraId="0B1B6747" w14:textId="77777777" w:rsidR="00191A23" w:rsidRPr="00BE337C" w:rsidRDefault="00191A23" w:rsidP="00191A23">
            <w:pPr>
              <w:tabs>
                <w:tab w:val="left" w:pos="5400"/>
              </w:tabs>
              <w:rPr>
                <w:sz w:val="20"/>
              </w:rPr>
            </w:pPr>
            <w:r w:rsidRPr="00BE337C">
              <w:rPr>
                <w:sz w:val="20"/>
              </w:rPr>
              <w:t>(b) Give reasons for non-participation at each stage</w:t>
            </w:r>
          </w:p>
        </w:tc>
        <w:tc>
          <w:tcPr>
            <w:tcW w:w="1276" w:type="dxa"/>
          </w:tcPr>
          <w:p w14:paraId="3555B6F5" w14:textId="77777777" w:rsidR="00191A23" w:rsidRPr="004F2E25" w:rsidRDefault="00191A23" w:rsidP="00191A23">
            <w:pPr>
              <w:tabs>
                <w:tab w:val="left" w:pos="5400"/>
              </w:tabs>
              <w:rPr>
                <w:color w:val="FF0000"/>
                <w:sz w:val="20"/>
              </w:rPr>
            </w:pPr>
          </w:p>
        </w:tc>
        <w:tc>
          <w:tcPr>
            <w:tcW w:w="3118" w:type="dxa"/>
          </w:tcPr>
          <w:p w14:paraId="34589644" w14:textId="79884235" w:rsidR="00191A23" w:rsidRPr="004A3A40" w:rsidRDefault="00071063" w:rsidP="00191A23">
            <w:pPr>
              <w:tabs>
                <w:tab w:val="left" w:pos="5400"/>
              </w:tabs>
              <w:rPr>
                <w:sz w:val="20"/>
              </w:rPr>
            </w:pPr>
            <w:r w:rsidRPr="004A3A40">
              <w:rPr>
                <w:sz w:val="20"/>
              </w:rPr>
              <w:t>See immediately above</w:t>
            </w:r>
          </w:p>
        </w:tc>
      </w:tr>
      <w:tr w:rsidR="00191A23" w:rsidRPr="00BE337C" w14:paraId="5B159E58" w14:textId="77777777" w:rsidTr="00517788">
        <w:tc>
          <w:tcPr>
            <w:tcW w:w="0" w:type="auto"/>
            <w:vMerge/>
          </w:tcPr>
          <w:p w14:paraId="497BA054" w14:textId="77777777" w:rsidR="00191A23" w:rsidRPr="00BE337C"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26C2A350" w14:textId="77777777" w:rsidR="00191A23" w:rsidRPr="00BE337C" w:rsidRDefault="00191A23" w:rsidP="00191A23">
            <w:pPr>
              <w:tabs>
                <w:tab w:val="left" w:pos="5400"/>
              </w:tabs>
              <w:jc w:val="center"/>
              <w:rPr>
                <w:sz w:val="20"/>
              </w:rPr>
            </w:pPr>
          </w:p>
        </w:tc>
        <w:tc>
          <w:tcPr>
            <w:tcW w:w="8328" w:type="dxa"/>
          </w:tcPr>
          <w:p w14:paraId="14000404" w14:textId="77777777" w:rsidR="00191A23" w:rsidRPr="00BE337C" w:rsidRDefault="00191A23" w:rsidP="00191A23">
            <w:pPr>
              <w:tabs>
                <w:tab w:val="left" w:pos="5400"/>
              </w:tabs>
              <w:rPr>
                <w:sz w:val="20"/>
              </w:rPr>
            </w:pPr>
            <w:bookmarkStart w:id="62" w:name="OLE_LINK4"/>
            <w:r w:rsidRPr="00BE337C">
              <w:rPr>
                <w:sz w:val="20"/>
              </w:rPr>
              <w:t>(c) Consider use of a flow diagram</w:t>
            </w:r>
            <w:bookmarkEnd w:id="62"/>
          </w:p>
        </w:tc>
        <w:tc>
          <w:tcPr>
            <w:tcW w:w="1276" w:type="dxa"/>
          </w:tcPr>
          <w:p w14:paraId="5FA6B9A9" w14:textId="77777777" w:rsidR="00191A23" w:rsidRPr="004F2E25" w:rsidRDefault="00191A23" w:rsidP="00191A23">
            <w:pPr>
              <w:tabs>
                <w:tab w:val="left" w:pos="5400"/>
              </w:tabs>
              <w:rPr>
                <w:color w:val="FF0000"/>
                <w:sz w:val="20"/>
              </w:rPr>
            </w:pPr>
          </w:p>
        </w:tc>
        <w:tc>
          <w:tcPr>
            <w:tcW w:w="3118" w:type="dxa"/>
          </w:tcPr>
          <w:p w14:paraId="1A2D68AE" w14:textId="573260F3" w:rsidR="00191A23" w:rsidRPr="004F2E25" w:rsidRDefault="00191A23" w:rsidP="00191A23">
            <w:pPr>
              <w:tabs>
                <w:tab w:val="left" w:pos="5400"/>
              </w:tabs>
              <w:rPr>
                <w:color w:val="FF0000"/>
                <w:sz w:val="20"/>
              </w:rPr>
            </w:pPr>
          </w:p>
        </w:tc>
      </w:tr>
      <w:tr w:rsidR="00191A23" w:rsidRPr="00BE337C" w14:paraId="723DE32D" w14:textId="77777777" w:rsidTr="00517788">
        <w:tc>
          <w:tcPr>
            <w:tcW w:w="0" w:type="auto"/>
            <w:vMerge w:val="restart"/>
          </w:tcPr>
          <w:p w14:paraId="67688C94" w14:textId="0B1D185B" w:rsidR="00191A23" w:rsidRPr="00BE337C" w:rsidRDefault="00191A23" w:rsidP="00191A23">
            <w:pPr>
              <w:tabs>
                <w:tab w:val="left" w:pos="5400"/>
              </w:tabs>
              <w:rPr>
                <w:bCs/>
                <w:sz w:val="20"/>
              </w:rPr>
            </w:pPr>
            <w:bookmarkStart w:id="63" w:name="bold33"/>
            <w:bookmarkStart w:id="64" w:name="italic34"/>
            <w:bookmarkEnd w:id="60"/>
            <w:bookmarkEnd w:id="61"/>
            <w:r w:rsidRPr="00BE337C">
              <w:rPr>
                <w:bCs/>
                <w:sz w:val="20"/>
              </w:rPr>
              <w:t xml:space="preserve">Descriptive </w:t>
            </w:r>
            <w:bookmarkStart w:id="65" w:name="bold34"/>
            <w:bookmarkStart w:id="66" w:name="italic35"/>
            <w:bookmarkEnd w:id="63"/>
            <w:bookmarkEnd w:id="64"/>
            <w:r w:rsidRPr="00BE337C">
              <w:rPr>
                <w:bCs/>
                <w:sz w:val="20"/>
              </w:rPr>
              <w:t>data</w:t>
            </w:r>
            <w:bookmarkEnd w:id="65"/>
            <w:bookmarkEnd w:id="66"/>
          </w:p>
        </w:tc>
        <w:tc>
          <w:tcPr>
            <w:tcW w:w="0" w:type="auto"/>
            <w:vMerge w:val="restart"/>
          </w:tcPr>
          <w:p w14:paraId="30E5F836" w14:textId="77777777" w:rsidR="00191A23" w:rsidRPr="00BE337C" w:rsidRDefault="00191A23" w:rsidP="00191A23">
            <w:pPr>
              <w:tabs>
                <w:tab w:val="left" w:pos="5400"/>
              </w:tabs>
              <w:jc w:val="center"/>
              <w:rPr>
                <w:sz w:val="20"/>
              </w:rPr>
            </w:pPr>
            <w:r w:rsidRPr="00BE337C">
              <w:rPr>
                <w:sz w:val="20"/>
              </w:rPr>
              <w:t>14</w:t>
            </w:r>
            <w:bookmarkStart w:id="67" w:name="bold35"/>
            <w:r w:rsidRPr="00BE337C">
              <w:rPr>
                <w:bCs/>
                <w:sz w:val="20"/>
              </w:rPr>
              <w:t>*</w:t>
            </w:r>
            <w:bookmarkEnd w:id="67"/>
          </w:p>
        </w:tc>
        <w:tc>
          <w:tcPr>
            <w:tcW w:w="8328" w:type="dxa"/>
          </w:tcPr>
          <w:p w14:paraId="016FFF6C" w14:textId="77777777" w:rsidR="00191A23" w:rsidRPr="00BE337C" w:rsidRDefault="00191A23" w:rsidP="00191A23">
            <w:pPr>
              <w:tabs>
                <w:tab w:val="left" w:pos="5400"/>
              </w:tabs>
              <w:rPr>
                <w:sz w:val="20"/>
              </w:rPr>
            </w:pPr>
            <w:r w:rsidRPr="00BE337C">
              <w:rPr>
                <w:sz w:val="20"/>
              </w:rPr>
              <w:t>(a) Give characteristics of study participants (eg demographic, clinical, social) and information on exposures and potential confounders</w:t>
            </w:r>
          </w:p>
        </w:tc>
        <w:tc>
          <w:tcPr>
            <w:tcW w:w="1276" w:type="dxa"/>
          </w:tcPr>
          <w:p w14:paraId="40A67081" w14:textId="38BB6970" w:rsidR="00191A23" w:rsidRPr="004F2E25" w:rsidRDefault="009843C3" w:rsidP="00191A23">
            <w:pPr>
              <w:tabs>
                <w:tab w:val="left" w:pos="5400"/>
              </w:tabs>
              <w:rPr>
                <w:color w:val="FF0000"/>
                <w:sz w:val="20"/>
              </w:rPr>
            </w:pPr>
            <w:r>
              <w:rPr>
                <w:sz w:val="20"/>
              </w:rPr>
              <w:t>2</w:t>
            </w:r>
            <w:r w:rsidRPr="009843C3">
              <w:rPr>
                <w:sz w:val="20"/>
                <w:vertAlign w:val="superscript"/>
              </w:rPr>
              <w:t>nd</w:t>
            </w:r>
            <w:r>
              <w:rPr>
                <w:sz w:val="20"/>
              </w:rPr>
              <w:t xml:space="preserve"> paragraph of the Results section</w:t>
            </w:r>
          </w:p>
        </w:tc>
        <w:tc>
          <w:tcPr>
            <w:tcW w:w="3118" w:type="dxa"/>
          </w:tcPr>
          <w:p w14:paraId="4C36ED64" w14:textId="648B7BE3" w:rsidR="00191A23" w:rsidRPr="004F2E25" w:rsidRDefault="00187830" w:rsidP="00191A23">
            <w:pPr>
              <w:tabs>
                <w:tab w:val="left" w:pos="5400"/>
              </w:tabs>
              <w:rPr>
                <w:i/>
                <w:color w:val="FF0000"/>
                <w:sz w:val="20"/>
              </w:rPr>
            </w:pPr>
            <w:r w:rsidRPr="004A3A40">
              <w:rPr>
                <w:i/>
                <w:sz w:val="20"/>
              </w:rPr>
              <w:t>“At baseline cyclists differed from non-cyclists on most characteristics (Table 1). With higher weekly time spent cycling median waist circumference was lower. In relation to physical..”</w:t>
            </w:r>
          </w:p>
        </w:tc>
      </w:tr>
      <w:tr w:rsidR="00191A23" w:rsidRPr="00BE337C" w14:paraId="4BD2E978" w14:textId="77777777" w:rsidTr="00517788">
        <w:tc>
          <w:tcPr>
            <w:tcW w:w="0" w:type="auto"/>
            <w:vMerge/>
          </w:tcPr>
          <w:p w14:paraId="4B412AFC" w14:textId="77777777" w:rsidR="00191A23" w:rsidRPr="00BE337C" w:rsidRDefault="00191A23" w:rsidP="00191A23">
            <w:pPr>
              <w:tabs>
                <w:tab w:val="left" w:pos="5400"/>
              </w:tabs>
              <w:rPr>
                <w:bCs/>
                <w:sz w:val="20"/>
              </w:rPr>
            </w:pPr>
            <w:bookmarkStart w:id="68" w:name="bold36" w:colFirst="0" w:colLast="0"/>
            <w:bookmarkStart w:id="69" w:name="italic36" w:colFirst="0" w:colLast="0"/>
          </w:p>
        </w:tc>
        <w:tc>
          <w:tcPr>
            <w:tcW w:w="0" w:type="auto"/>
            <w:vMerge/>
          </w:tcPr>
          <w:p w14:paraId="1E1AE648" w14:textId="77777777" w:rsidR="00191A23" w:rsidRPr="00BE337C" w:rsidRDefault="00191A23" w:rsidP="00191A23">
            <w:pPr>
              <w:tabs>
                <w:tab w:val="left" w:pos="5400"/>
              </w:tabs>
              <w:jc w:val="center"/>
              <w:rPr>
                <w:sz w:val="20"/>
              </w:rPr>
            </w:pPr>
          </w:p>
        </w:tc>
        <w:tc>
          <w:tcPr>
            <w:tcW w:w="8328" w:type="dxa"/>
          </w:tcPr>
          <w:p w14:paraId="09011EBE" w14:textId="77777777" w:rsidR="00191A23" w:rsidRPr="00BE337C" w:rsidRDefault="00191A23" w:rsidP="00191A23">
            <w:pPr>
              <w:tabs>
                <w:tab w:val="left" w:pos="5400"/>
              </w:tabs>
              <w:rPr>
                <w:sz w:val="20"/>
              </w:rPr>
            </w:pPr>
            <w:r w:rsidRPr="00BE337C">
              <w:rPr>
                <w:sz w:val="20"/>
              </w:rPr>
              <w:t>(b) Indicate number of participants with missing data for each variable of interest</w:t>
            </w:r>
          </w:p>
        </w:tc>
        <w:tc>
          <w:tcPr>
            <w:tcW w:w="1276" w:type="dxa"/>
          </w:tcPr>
          <w:p w14:paraId="0B05168D" w14:textId="0E81D261" w:rsidR="00191A23" w:rsidRPr="004F2E25" w:rsidRDefault="00883F02" w:rsidP="00191A23">
            <w:pPr>
              <w:tabs>
                <w:tab w:val="left" w:pos="5400"/>
              </w:tabs>
              <w:rPr>
                <w:color w:val="FF0000"/>
                <w:sz w:val="20"/>
              </w:rPr>
            </w:pPr>
            <w:r>
              <w:rPr>
                <w:sz w:val="20"/>
              </w:rPr>
              <w:t>1</w:t>
            </w:r>
            <w:r w:rsidRPr="00042BFB">
              <w:rPr>
                <w:sz w:val="20"/>
                <w:vertAlign w:val="superscript"/>
              </w:rPr>
              <w:t>st</w:t>
            </w:r>
            <w:r>
              <w:rPr>
                <w:sz w:val="20"/>
              </w:rPr>
              <w:t xml:space="preserve"> and 2</w:t>
            </w:r>
            <w:r w:rsidRPr="00042BFB">
              <w:rPr>
                <w:sz w:val="20"/>
                <w:vertAlign w:val="superscript"/>
              </w:rPr>
              <w:t>nd</w:t>
            </w:r>
            <w:r>
              <w:rPr>
                <w:sz w:val="20"/>
              </w:rPr>
              <w:t xml:space="preserve"> paragraph of the Participants section</w:t>
            </w:r>
          </w:p>
        </w:tc>
        <w:tc>
          <w:tcPr>
            <w:tcW w:w="3118" w:type="dxa"/>
          </w:tcPr>
          <w:p w14:paraId="2911BF2E" w14:textId="77777777" w:rsidR="00747E76" w:rsidRPr="004A3A40" w:rsidRDefault="00747E76" w:rsidP="00747E76">
            <w:pPr>
              <w:tabs>
                <w:tab w:val="left" w:pos="5400"/>
              </w:tabs>
              <w:rPr>
                <w:sz w:val="20"/>
              </w:rPr>
            </w:pPr>
            <w:r w:rsidRPr="004A3A40">
              <w:rPr>
                <w:sz w:val="20"/>
              </w:rPr>
              <w:t>See Methods section in the</w:t>
            </w:r>
          </w:p>
          <w:p w14:paraId="28E0205A" w14:textId="77777777" w:rsidR="00747E76" w:rsidRPr="004A3A40" w:rsidRDefault="00747E76" w:rsidP="00747E76">
            <w:pPr>
              <w:tabs>
                <w:tab w:val="left" w:pos="5400"/>
              </w:tabs>
              <w:rPr>
                <w:sz w:val="20"/>
              </w:rPr>
            </w:pPr>
            <w:r w:rsidRPr="004A3A40">
              <w:rPr>
                <w:sz w:val="20"/>
              </w:rPr>
              <w:t>description of “Participants” (for</w:t>
            </w:r>
          </w:p>
          <w:p w14:paraId="3945F1F7" w14:textId="77777777" w:rsidR="00747E76" w:rsidRPr="004A3A40" w:rsidRDefault="00747E76" w:rsidP="00747E76">
            <w:pPr>
              <w:tabs>
                <w:tab w:val="left" w:pos="5400"/>
              </w:tabs>
              <w:rPr>
                <w:sz w:val="20"/>
              </w:rPr>
            </w:pPr>
            <w:r w:rsidRPr="004A3A40">
              <w:rPr>
                <w:sz w:val="20"/>
              </w:rPr>
              <w:t>each analysis) when those eligible</w:t>
            </w:r>
          </w:p>
          <w:p w14:paraId="4B605F54" w14:textId="77777777" w:rsidR="00747E76" w:rsidRPr="004A3A40" w:rsidRDefault="00747E76" w:rsidP="00747E76">
            <w:pPr>
              <w:tabs>
                <w:tab w:val="left" w:pos="5400"/>
              </w:tabs>
              <w:rPr>
                <w:sz w:val="20"/>
              </w:rPr>
            </w:pPr>
            <w:r w:rsidRPr="004A3A40">
              <w:rPr>
                <w:sz w:val="20"/>
              </w:rPr>
              <w:t>for the study are listed following</w:t>
            </w:r>
          </w:p>
          <w:p w14:paraId="4B36081C" w14:textId="0DCD5248" w:rsidR="00747E76" w:rsidRPr="004A3A40" w:rsidRDefault="00747E76" w:rsidP="00747E76">
            <w:pPr>
              <w:tabs>
                <w:tab w:val="left" w:pos="5400"/>
              </w:tabs>
              <w:rPr>
                <w:sz w:val="20"/>
              </w:rPr>
            </w:pPr>
            <w:r w:rsidRPr="004A3A40">
              <w:rPr>
                <w:sz w:val="20"/>
              </w:rPr>
              <w:t>those</w:t>
            </w:r>
            <w:r w:rsidR="004A3A40">
              <w:rPr>
                <w:sz w:val="20"/>
              </w:rPr>
              <w:t xml:space="preserve"> who are actually</w:t>
            </w:r>
            <w:r w:rsidRPr="004A3A40">
              <w:rPr>
                <w:sz w:val="20"/>
              </w:rPr>
              <w:t xml:space="preserve"> included in the analyses:</w:t>
            </w:r>
          </w:p>
          <w:p w14:paraId="72E1F7E8" w14:textId="77777777" w:rsidR="00747E76" w:rsidRPr="004A3A40" w:rsidRDefault="00747E76" w:rsidP="00747E76">
            <w:pPr>
              <w:tabs>
                <w:tab w:val="left" w:pos="5400"/>
              </w:tabs>
              <w:rPr>
                <w:i/>
                <w:sz w:val="20"/>
              </w:rPr>
            </w:pPr>
            <w:r w:rsidRPr="004A3A40">
              <w:rPr>
                <w:i/>
                <w:sz w:val="20"/>
              </w:rPr>
              <w:t>“ultimately leaving .. eligible</w:t>
            </w:r>
          </w:p>
          <w:p w14:paraId="61F06209" w14:textId="77777777" w:rsidR="00747E76" w:rsidRPr="004A3A40" w:rsidRDefault="00747E76" w:rsidP="00747E76">
            <w:pPr>
              <w:tabs>
                <w:tab w:val="left" w:pos="5400"/>
              </w:tabs>
              <w:rPr>
                <w:i/>
                <w:sz w:val="20"/>
              </w:rPr>
            </w:pPr>
            <w:r w:rsidRPr="004A3A40">
              <w:rPr>
                <w:i/>
                <w:sz w:val="20"/>
              </w:rPr>
              <w:t>participants. After excluding</w:t>
            </w:r>
          </w:p>
          <w:p w14:paraId="5DEDDCB1" w14:textId="77777777" w:rsidR="00747E76" w:rsidRPr="004A3A40" w:rsidRDefault="00747E76" w:rsidP="00747E76">
            <w:pPr>
              <w:tabs>
                <w:tab w:val="left" w:pos="5400"/>
              </w:tabs>
              <w:rPr>
                <w:i/>
                <w:sz w:val="20"/>
              </w:rPr>
            </w:pPr>
            <w:r w:rsidRPr="004A3A40">
              <w:rPr>
                <w:i/>
                <w:sz w:val="20"/>
              </w:rPr>
              <w:t>missing data in covariates and</w:t>
            </w:r>
          </w:p>
          <w:p w14:paraId="093861F3" w14:textId="77777777" w:rsidR="00747E76" w:rsidRPr="004A3A40" w:rsidRDefault="00747E76" w:rsidP="00747E76">
            <w:pPr>
              <w:tabs>
                <w:tab w:val="left" w:pos="5400"/>
              </w:tabs>
              <w:rPr>
                <w:i/>
                <w:sz w:val="20"/>
              </w:rPr>
            </w:pPr>
            <w:r w:rsidRPr="004A3A40">
              <w:rPr>
                <w:i/>
                <w:sz w:val="20"/>
              </w:rPr>
              <w:t>exposure variables .. participants</w:t>
            </w:r>
          </w:p>
          <w:p w14:paraId="5D3EC330" w14:textId="53124D1E" w:rsidR="00341FBD" w:rsidRPr="004F2E25" w:rsidRDefault="00747E76" w:rsidP="00747E76">
            <w:pPr>
              <w:tabs>
                <w:tab w:val="left" w:pos="5400"/>
              </w:tabs>
              <w:rPr>
                <w:color w:val="FF0000"/>
                <w:sz w:val="20"/>
              </w:rPr>
            </w:pPr>
            <w:r w:rsidRPr="004A3A40">
              <w:rPr>
                <w:i/>
                <w:sz w:val="20"/>
              </w:rPr>
              <w:t>were included in the analyses.”</w:t>
            </w:r>
          </w:p>
        </w:tc>
      </w:tr>
      <w:tr w:rsidR="00191A23" w:rsidRPr="00BE337C" w14:paraId="393C3049" w14:textId="77777777" w:rsidTr="00517788">
        <w:tc>
          <w:tcPr>
            <w:tcW w:w="0" w:type="auto"/>
            <w:vMerge/>
          </w:tcPr>
          <w:p w14:paraId="7553830C" w14:textId="77777777" w:rsidR="00191A23" w:rsidRPr="00BE337C"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1FD75720" w14:textId="77777777" w:rsidR="00191A23" w:rsidRPr="00BE337C" w:rsidRDefault="00191A23" w:rsidP="00191A23">
            <w:pPr>
              <w:tabs>
                <w:tab w:val="left" w:pos="5400"/>
              </w:tabs>
              <w:jc w:val="center"/>
              <w:rPr>
                <w:sz w:val="20"/>
              </w:rPr>
            </w:pPr>
          </w:p>
        </w:tc>
        <w:tc>
          <w:tcPr>
            <w:tcW w:w="8328" w:type="dxa"/>
          </w:tcPr>
          <w:p w14:paraId="23363288" w14:textId="77777777" w:rsidR="00191A23" w:rsidRPr="00BE337C" w:rsidRDefault="00191A23" w:rsidP="00191A23">
            <w:pPr>
              <w:tabs>
                <w:tab w:val="left" w:pos="5400"/>
              </w:tabs>
              <w:rPr>
                <w:sz w:val="20"/>
              </w:rPr>
            </w:pPr>
            <w:r w:rsidRPr="00BE337C">
              <w:rPr>
                <w:sz w:val="20"/>
              </w:rPr>
              <w:t xml:space="preserve">(c) </w:t>
            </w:r>
            <w:r w:rsidRPr="00BE337C">
              <w:rPr>
                <w:i/>
                <w:sz w:val="20"/>
              </w:rPr>
              <w:t>Cohort study</w:t>
            </w:r>
            <w:r w:rsidRPr="00BE337C">
              <w:rPr>
                <w:sz w:val="20"/>
              </w:rPr>
              <w:t>—Summarise follow-up time (eg, average and total amount)</w:t>
            </w:r>
          </w:p>
        </w:tc>
        <w:tc>
          <w:tcPr>
            <w:tcW w:w="1276" w:type="dxa"/>
          </w:tcPr>
          <w:p w14:paraId="713D3EF4" w14:textId="6A21DA8B" w:rsidR="00191A23" w:rsidRPr="004F2E25" w:rsidRDefault="00883F02" w:rsidP="00191A23">
            <w:pPr>
              <w:tabs>
                <w:tab w:val="left" w:pos="5400"/>
              </w:tabs>
              <w:rPr>
                <w:color w:val="FF0000"/>
                <w:sz w:val="20"/>
              </w:rPr>
            </w:pPr>
            <w:r>
              <w:rPr>
                <w:sz w:val="20"/>
              </w:rPr>
              <w:t>1</w:t>
            </w:r>
            <w:r w:rsidRPr="00883F02">
              <w:rPr>
                <w:sz w:val="20"/>
                <w:vertAlign w:val="superscript"/>
              </w:rPr>
              <w:t>st</w:t>
            </w:r>
            <w:r>
              <w:rPr>
                <w:sz w:val="20"/>
              </w:rPr>
              <w:t xml:space="preserve"> paragraph of the Results section</w:t>
            </w:r>
          </w:p>
        </w:tc>
        <w:tc>
          <w:tcPr>
            <w:tcW w:w="3118" w:type="dxa"/>
          </w:tcPr>
          <w:p w14:paraId="55A515A5" w14:textId="52BCAD81" w:rsidR="00191A23" w:rsidRPr="004F2E25" w:rsidRDefault="009C4EED" w:rsidP="00943584">
            <w:pPr>
              <w:tabs>
                <w:tab w:val="left" w:pos="5400"/>
              </w:tabs>
              <w:rPr>
                <w:i/>
                <w:color w:val="FF0000"/>
                <w:sz w:val="20"/>
              </w:rPr>
            </w:pPr>
            <w:r w:rsidRPr="00762257">
              <w:rPr>
                <w:i/>
                <w:sz w:val="20"/>
              </w:rPr>
              <w:t xml:space="preserve">“The current study included 743,245.4 person-years of follow-up (mean follow-up 14.2 years) from 52,513 participants in which 6,779 incident cases of T2D were </w:t>
            </w:r>
            <w:r w:rsidRPr="00762257">
              <w:rPr>
                <w:i/>
                <w:sz w:val="20"/>
              </w:rPr>
              <w:lastRenderedPageBreak/>
              <w:t>documented. This corresponded to an incidence rate of 9.1 (8.9,9.3) cases per 1000 years of follow-up.”</w:t>
            </w:r>
          </w:p>
        </w:tc>
      </w:tr>
      <w:tr w:rsidR="00191A23" w:rsidRPr="00BE337C" w14:paraId="20A1A683" w14:textId="77777777" w:rsidTr="00517788">
        <w:trPr>
          <w:trHeight w:val="295"/>
        </w:trPr>
        <w:tc>
          <w:tcPr>
            <w:tcW w:w="0" w:type="auto"/>
            <w:vMerge w:val="restart"/>
          </w:tcPr>
          <w:p w14:paraId="55153616" w14:textId="77777777" w:rsidR="00191A23" w:rsidRPr="00BE337C" w:rsidRDefault="00191A23" w:rsidP="00191A23">
            <w:pPr>
              <w:tabs>
                <w:tab w:val="left" w:pos="5400"/>
              </w:tabs>
              <w:rPr>
                <w:bCs/>
                <w:sz w:val="20"/>
              </w:rPr>
            </w:pPr>
            <w:bookmarkStart w:id="72" w:name="bold38" w:colFirst="0" w:colLast="0"/>
            <w:bookmarkStart w:id="73" w:name="italic38" w:colFirst="0" w:colLast="0"/>
            <w:bookmarkEnd w:id="70"/>
            <w:bookmarkEnd w:id="71"/>
            <w:r w:rsidRPr="00BE337C">
              <w:rPr>
                <w:bCs/>
                <w:sz w:val="20"/>
              </w:rPr>
              <w:lastRenderedPageBreak/>
              <w:t>Outcome data</w:t>
            </w:r>
          </w:p>
        </w:tc>
        <w:tc>
          <w:tcPr>
            <w:tcW w:w="0" w:type="auto"/>
            <w:vMerge w:val="restart"/>
          </w:tcPr>
          <w:p w14:paraId="29C8D478" w14:textId="77777777" w:rsidR="00191A23" w:rsidRPr="00BE337C" w:rsidRDefault="00191A23" w:rsidP="00191A23">
            <w:pPr>
              <w:tabs>
                <w:tab w:val="left" w:pos="5400"/>
              </w:tabs>
              <w:jc w:val="center"/>
              <w:rPr>
                <w:sz w:val="20"/>
              </w:rPr>
            </w:pPr>
            <w:r w:rsidRPr="00BE337C">
              <w:rPr>
                <w:sz w:val="20"/>
              </w:rPr>
              <w:t>15</w:t>
            </w:r>
            <w:bookmarkStart w:id="74" w:name="bold39"/>
            <w:r w:rsidRPr="00BE337C">
              <w:rPr>
                <w:bCs/>
                <w:sz w:val="20"/>
              </w:rPr>
              <w:t>*</w:t>
            </w:r>
            <w:bookmarkEnd w:id="74"/>
          </w:p>
        </w:tc>
        <w:tc>
          <w:tcPr>
            <w:tcW w:w="8328" w:type="dxa"/>
          </w:tcPr>
          <w:p w14:paraId="188BB758" w14:textId="77777777" w:rsidR="00191A23" w:rsidRPr="00BE337C" w:rsidRDefault="00191A23" w:rsidP="00191A23">
            <w:pPr>
              <w:tabs>
                <w:tab w:val="left" w:pos="5400"/>
              </w:tabs>
              <w:rPr>
                <w:sz w:val="20"/>
              </w:rPr>
            </w:pPr>
            <w:r w:rsidRPr="00BE337C">
              <w:rPr>
                <w:i/>
                <w:sz w:val="20"/>
              </w:rPr>
              <w:t>Cohort study</w:t>
            </w:r>
            <w:r w:rsidRPr="00BE337C">
              <w:rPr>
                <w:sz w:val="20"/>
              </w:rPr>
              <w:t>—Report numbers of outcome events or summary measures over time</w:t>
            </w:r>
          </w:p>
        </w:tc>
        <w:tc>
          <w:tcPr>
            <w:tcW w:w="1276" w:type="dxa"/>
          </w:tcPr>
          <w:p w14:paraId="430563D7" w14:textId="3CD6A71F" w:rsidR="00191A23" w:rsidRPr="004F2E25" w:rsidRDefault="00191A23" w:rsidP="00191A23">
            <w:pPr>
              <w:tabs>
                <w:tab w:val="left" w:pos="5400"/>
              </w:tabs>
              <w:rPr>
                <w:color w:val="FF0000"/>
                <w:sz w:val="20"/>
              </w:rPr>
            </w:pPr>
          </w:p>
        </w:tc>
        <w:tc>
          <w:tcPr>
            <w:tcW w:w="3118" w:type="dxa"/>
          </w:tcPr>
          <w:p w14:paraId="40D403C6" w14:textId="2AE35712" w:rsidR="005D5744" w:rsidRPr="004F2E25" w:rsidRDefault="009C4EED" w:rsidP="00762257">
            <w:pPr>
              <w:tabs>
                <w:tab w:val="left" w:pos="5400"/>
              </w:tabs>
              <w:rPr>
                <w:color w:val="FF0000"/>
                <w:sz w:val="20"/>
              </w:rPr>
            </w:pPr>
            <w:r w:rsidRPr="00762257">
              <w:rPr>
                <w:sz w:val="20"/>
              </w:rPr>
              <w:t xml:space="preserve">See immediately above. </w:t>
            </w:r>
            <w:r w:rsidR="00762257">
              <w:rPr>
                <w:sz w:val="20"/>
              </w:rPr>
              <w:t>Also i</w:t>
            </w:r>
            <w:r w:rsidRPr="00762257">
              <w:rPr>
                <w:sz w:val="20"/>
              </w:rPr>
              <w:t xml:space="preserve">n table 2-4 the amount of outcome events is summarized by exposure categories. </w:t>
            </w:r>
          </w:p>
        </w:tc>
      </w:tr>
      <w:tr w:rsidR="00191A23" w:rsidRPr="00BE337C" w14:paraId="1D2A4BC5" w14:textId="77777777" w:rsidTr="00517788">
        <w:trPr>
          <w:trHeight w:val="294"/>
        </w:trPr>
        <w:tc>
          <w:tcPr>
            <w:tcW w:w="0" w:type="auto"/>
            <w:vMerge/>
          </w:tcPr>
          <w:p w14:paraId="747DB26C" w14:textId="77777777" w:rsidR="00191A23" w:rsidRPr="00BE337C" w:rsidRDefault="00191A23" w:rsidP="00191A23">
            <w:pPr>
              <w:tabs>
                <w:tab w:val="left" w:pos="5400"/>
              </w:tabs>
              <w:rPr>
                <w:bCs/>
                <w:sz w:val="20"/>
              </w:rPr>
            </w:pPr>
          </w:p>
        </w:tc>
        <w:tc>
          <w:tcPr>
            <w:tcW w:w="0" w:type="auto"/>
            <w:vMerge/>
          </w:tcPr>
          <w:p w14:paraId="1532DA57" w14:textId="77777777" w:rsidR="00191A23" w:rsidRPr="00BE337C" w:rsidRDefault="00191A23" w:rsidP="00191A23">
            <w:pPr>
              <w:tabs>
                <w:tab w:val="left" w:pos="5400"/>
              </w:tabs>
              <w:jc w:val="center"/>
              <w:rPr>
                <w:sz w:val="20"/>
              </w:rPr>
            </w:pPr>
          </w:p>
        </w:tc>
        <w:tc>
          <w:tcPr>
            <w:tcW w:w="8328" w:type="dxa"/>
          </w:tcPr>
          <w:p w14:paraId="5AEEEDE2" w14:textId="77777777" w:rsidR="00191A23" w:rsidRPr="00BE337C" w:rsidRDefault="00191A23" w:rsidP="00191A23">
            <w:pPr>
              <w:tabs>
                <w:tab w:val="left" w:pos="5400"/>
              </w:tabs>
              <w:rPr>
                <w:i/>
                <w:sz w:val="20"/>
              </w:rPr>
            </w:pPr>
            <w:r w:rsidRPr="00BE337C">
              <w:rPr>
                <w:i/>
                <w:sz w:val="20"/>
              </w:rPr>
              <w:t>Case-control study—</w:t>
            </w:r>
            <w:r w:rsidRPr="00BE337C">
              <w:rPr>
                <w:sz w:val="20"/>
              </w:rPr>
              <w:t>Report numbers in each exposure category, or summary measures of exposure</w:t>
            </w:r>
          </w:p>
        </w:tc>
        <w:tc>
          <w:tcPr>
            <w:tcW w:w="1276" w:type="dxa"/>
          </w:tcPr>
          <w:p w14:paraId="1B28CC5F" w14:textId="77777777" w:rsidR="00191A23" w:rsidRPr="004F2E25" w:rsidRDefault="00191A23" w:rsidP="00191A23">
            <w:pPr>
              <w:tabs>
                <w:tab w:val="left" w:pos="5400"/>
              </w:tabs>
              <w:rPr>
                <w:i/>
                <w:color w:val="FF0000"/>
                <w:sz w:val="20"/>
              </w:rPr>
            </w:pPr>
          </w:p>
        </w:tc>
        <w:tc>
          <w:tcPr>
            <w:tcW w:w="3118" w:type="dxa"/>
          </w:tcPr>
          <w:p w14:paraId="0735271E" w14:textId="77777777" w:rsidR="00191A23" w:rsidRPr="004F2E25" w:rsidRDefault="00191A23" w:rsidP="00191A23">
            <w:pPr>
              <w:tabs>
                <w:tab w:val="left" w:pos="5400"/>
              </w:tabs>
              <w:rPr>
                <w:i/>
                <w:color w:val="FF0000"/>
                <w:sz w:val="20"/>
              </w:rPr>
            </w:pPr>
          </w:p>
        </w:tc>
      </w:tr>
      <w:tr w:rsidR="00191A23" w:rsidRPr="00BE337C" w14:paraId="7E462277" w14:textId="77777777" w:rsidTr="00517788">
        <w:trPr>
          <w:trHeight w:val="294"/>
        </w:trPr>
        <w:tc>
          <w:tcPr>
            <w:tcW w:w="0" w:type="auto"/>
            <w:vMerge/>
          </w:tcPr>
          <w:p w14:paraId="7AA97BEF" w14:textId="77777777" w:rsidR="00191A23" w:rsidRPr="00BE337C" w:rsidRDefault="00191A23" w:rsidP="00191A23">
            <w:pPr>
              <w:tabs>
                <w:tab w:val="left" w:pos="5400"/>
              </w:tabs>
              <w:rPr>
                <w:bCs/>
                <w:sz w:val="20"/>
              </w:rPr>
            </w:pPr>
          </w:p>
        </w:tc>
        <w:tc>
          <w:tcPr>
            <w:tcW w:w="0" w:type="auto"/>
            <w:vMerge/>
          </w:tcPr>
          <w:p w14:paraId="530488F1" w14:textId="77777777" w:rsidR="00191A23" w:rsidRPr="00BE337C" w:rsidRDefault="00191A23" w:rsidP="00191A23">
            <w:pPr>
              <w:tabs>
                <w:tab w:val="left" w:pos="5400"/>
              </w:tabs>
              <w:jc w:val="center"/>
              <w:rPr>
                <w:sz w:val="20"/>
              </w:rPr>
            </w:pPr>
          </w:p>
        </w:tc>
        <w:tc>
          <w:tcPr>
            <w:tcW w:w="8328" w:type="dxa"/>
          </w:tcPr>
          <w:p w14:paraId="70066EF9" w14:textId="77777777" w:rsidR="00191A23" w:rsidRPr="00BE337C" w:rsidRDefault="00191A23" w:rsidP="00191A23">
            <w:pPr>
              <w:tabs>
                <w:tab w:val="left" w:pos="5400"/>
              </w:tabs>
              <w:rPr>
                <w:i/>
                <w:sz w:val="20"/>
              </w:rPr>
            </w:pPr>
            <w:r w:rsidRPr="00BE337C">
              <w:rPr>
                <w:i/>
                <w:sz w:val="20"/>
              </w:rPr>
              <w:t>Cross-sectional study—</w:t>
            </w:r>
            <w:r w:rsidRPr="00BE337C">
              <w:rPr>
                <w:sz w:val="20"/>
              </w:rPr>
              <w:t>Report numbers of outcome events or summary measures</w:t>
            </w:r>
          </w:p>
        </w:tc>
        <w:tc>
          <w:tcPr>
            <w:tcW w:w="1276" w:type="dxa"/>
          </w:tcPr>
          <w:p w14:paraId="41DC361A" w14:textId="77777777" w:rsidR="00191A23" w:rsidRPr="004F2E25" w:rsidRDefault="00191A23" w:rsidP="00191A23">
            <w:pPr>
              <w:tabs>
                <w:tab w:val="left" w:pos="5400"/>
              </w:tabs>
              <w:rPr>
                <w:i/>
                <w:color w:val="FF0000"/>
                <w:sz w:val="20"/>
              </w:rPr>
            </w:pPr>
          </w:p>
        </w:tc>
        <w:tc>
          <w:tcPr>
            <w:tcW w:w="3118" w:type="dxa"/>
          </w:tcPr>
          <w:p w14:paraId="38144FCC" w14:textId="77777777" w:rsidR="00191A23" w:rsidRPr="004F2E25" w:rsidRDefault="00191A23" w:rsidP="00191A23">
            <w:pPr>
              <w:tabs>
                <w:tab w:val="left" w:pos="5400"/>
              </w:tabs>
              <w:rPr>
                <w:i/>
                <w:color w:val="FF0000"/>
                <w:sz w:val="20"/>
              </w:rPr>
            </w:pPr>
          </w:p>
        </w:tc>
      </w:tr>
      <w:tr w:rsidR="00191A23" w:rsidRPr="00BE337C" w14:paraId="51809C9B" w14:textId="77777777" w:rsidTr="00517788">
        <w:tc>
          <w:tcPr>
            <w:tcW w:w="0" w:type="auto"/>
            <w:vMerge w:val="restart"/>
          </w:tcPr>
          <w:p w14:paraId="63A53BDE" w14:textId="77777777" w:rsidR="00191A23" w:rsidRPr="00BE337C" w:rsidRDefault="00191A23" w:rsidP="00191A23">
            <w:pPr>
              <w:tabs>
                <w:tab w:val="left" w:pos="5400"/>
              </w:tabs>
              <w:rPr>
                <w:bCs/>
                <w:sz w:val="20"/>
              </w:rPr>
            </w:pPr>
            <w:bookmarkStart w:id="75" w:name="italic40" w:colFirst="0" w:colLast="0"/>
            <w:bookmarkStart w:id="76" w:name="bold41" w:colFirst="0" w:colLast="0"/>
            <w:bookmarkEnd w:id="72"/>
            <w:bookmarkEnd w:id="73"/>
            <w:r w:rsidRPr="00BE337C">
              <w:rPr>
                <w:bCs/>
                <w:sz w:val="20"/>
              </w:rPr>
              <w:t>Main results</w:t>
            </w:r>
          </w:p>
        </w:tc>
        <w:tc>
          <w:tcPr>
            <w:tcW w:w="0" w:type="auto"/>
            <w:vMerge w:val="restart"/>
          </w:tcPr>
          <w:p w14:paraId="54F6B19A" w14:textId="77777777" w:rsidR="00191A23" w:rsidRPr="00BE337C" w:rsidRDefault="00191A23" w:rsidP="00191A23">
            <w:pPr>
              <w:tabs>
                <w:tab w:val="left" w:pos="5400"/>
              </w:tabs>
              <w:jc w:val="center"/>
              <w:rPr>
                <w:sz w:val="20"/>
              </w:rPr>
            </w:pPr>
            <w:r w:rsidRPr="00BE337C">
              <w:rPr>
                <w:sz w:val="20"/>
              </w:rPr>
              <w:t>16</w:t>
            </w:r>
          </w:p>
        </w:tc>
        <w:tc>
          <w:tcPr>
            <w:tcW w:w="8328" w:type="dxa"/>
          </w:tcPr>
          <w:p w14:paraId="170847C0" w14:textId="77777777" w:rsidR="00191A23" w:rsidRPr="00BE337C" w:rsidRDefault="00191A23" w:rsidP="00191A23">
            <w:pPr>
              <w:tabs>
                <w:tab w:val="left" w:pos="5400"/>
              </w:tabs>
              <w:rPr>
                <w:sz w:val="20"/>
              </w:rPr>
            </w:pPr>
            <w:r w:rsidRPr="00BE337C">
              <w:rPr>
                <w:sz w:val="20"/>
              </w:rPr>
              <w:t>(</w:t>
            </w:r>
            <w:r w:rsidRPr="00BE337C">
              <w:rPr>
                <w:i/>
                <w:sz w:val="20"/>
              </w:rPr>
              <w:t>a</w:t>
            </w:r>
            <w:r w:rsidRPr="00BE337C">
              <w:rPr>
                <w:sz w:val="20"/>
              </w:rPr>
              <w:t>) Give unadjusted estimates and, if applicable, confounder-adjusted estimates and their precision (eg, 95% confidence interval). Make clear which confounders were adjusted for and why they were included</w:t>
            </w:r>
          </w:p>
        </w:tc>
        <w:tc>
          <w:tcPr>
            <w:tcW w:w="1276" w:type="dxa"/>
          </w:tcPr>
          <w:p w14:paraId="33B54C52" w14:textId="4DFCB0BE" w:rsidR="002D6802" w:rsidRPr="004F2E25" w:rsidRDefault="00883F02" w:rsidP="002031B3">
            <w:pPr>
              <w:tabs>
                <w:tab w:val="left" w:pos="5400"/>
              </w:tabs>
              <w:rPr>
                <w:color w:val="FF0000"/>
                <w:sz w:val="20"/>
              </w:rPr>
            </w:pPr>
            <w:r>
              <w:rPr>
                <w:sz w:val="20"/>
              </w:rPr>
              <w:t>4</w:t>
            </w:r>
            <w:r w:rsidRPr="00883F02">
              <w:rPr>
                <w:sz w:val="20"/>
                <w:vertAlign w:val="superscript"/>
              </w:rPr>
              <w:t>th</w:t>
            </w:r>
            <w:r>
              <w:rPr>
                <w:sz w:val="20"/>
              </w:rPr>
              <w:t xml:space="preserve"> and 6</w:t>
            </w:r>
            <w:r w:rsidRPr="00883F02">
              <w:rPr>
                <w:sz w:val="20"/>
                <w:vertAlign w:val="superscript"/>
              </w:rPr>
              <w:t>th</w:t>
            </w:r>
            <w:r>
              <w:rPr>
                <w:sz w:val="20"/>
              </w:rPr>
              <w:t xml:space="preserve"> paragraph of the Statistical Methods section</w:t>
            </w:r>
          </w:p>
        </w:tc>
        <w:tc>
          <w:tcPr>
            <w:tcW w:w="3118" w:type="dxa"/>
          </w:tcPr>
          <w:p w14:paraId="4D3DA8C6" w14:textId="18328695" w:rsidR="002D6802" w:rsidRPr="004F2E25" w:rsidRDefault="000B2092" w:rsidP="000B2092">
            <w:pPr>
              <w:tabs>
                <w:tab w:val="left" w:pos="5400"/>
              </w:tabs>
              <w:rPr>
                <w:i/>
                <w:color w:val="FF0000"/>
                <w:sz w:val="20"/>
              </w:rPr>
            </w:pPr>
            <w:r w:rsidRPr="00154BD2">
              <w:rPr>
                <w:i/>
                <w:sz w:val="20"/>
              </w:rPr>
              <w:t>“Hazard ratios (HRs) with 95% CIs of developing T2D according to cycling habits were estimated using Cox Proportional Hazard Regression… Confounders included in the cox models were selected based on knowledge a priori. For each analysis an age-adjusted and a multivariable adjusted model was computed .. the following variables were adjusted for;”</w:t>
            </w:r>
          </w:p>
        </w:tc>
      </w:tr>
      <w:tr w:rsidR="00191A23" w:rsidRPr="00BE337C" w14:paraId="69F96EEF" w14:textId="77777777" w:rsidTr="00517788">
        <w:tc>
          <w:tcPr>
            <w:tcW w:w="0" w:type="auto"/>
            <w:vMerge/>
          </w:tcPr>
          <w:p w14:paraId="4E04B6A2" w14:textId="77777777" w:rsidR="00191A23" w:rsidRPr="00BE337C"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14:paraId="25DF33E7" w14:textId="77777777" w:rsidR="00191A23" w:rsidRPr="00BE337C" w:rsidRDefault="00191A23" w:rsidP="00191A23">
            <w:pPr>
              <w:tabs>
                <w:tab w:val="left" w:pos="5400"/>
              </w:tabs>
              <w:jc w:val="center"/>
              <w:rPr>
                <w:sz w:val="20"/>
              </w:rPr>
            </w:pPr>
          </w:p>
        </w:tc>
        <w:tc>
          <w:tcPr>
            <w:tcW w:w="8328" w:type="dxa"/>
          </w:tcPr>
          <w:p w14:paraId="7ED6F098" w14:textId="77777777" w:rsidR="00191A23" w:rsidRPr="00BE337C" w:rsidRDefault="00191A23" w:rsidP="00191A23">
            <w:pPr>
              <w:tabs>
                <w:tab w:val="left" w:pos="5400"/>
              </w:tabs>
              <w:rPr>
                <w:sz w:val="20"/>
              </w:rPr>
            </w:pPr>
            <w:r w:rsidRPr="00BE337C">
              <w:rPr>
                <w:sz w:val="20"/>
              </w:rPr>
              <w:t>(</w:t>
            </w:r>
            <w:r w:rsidRPr="00BE337C">
              <w:rPr>
                <w:i/>
                <w:sz w:val="20"/>
              </w:rPr>
              <w:t>b</w:t>
            </w:r>
            <w:r w:rsidRPr="00BE337C">
              <w:rPr>
                <w:sz w:val="20"/>
              </w:rPr>
              <w:t>) Report category boundaries when continuous variables were categorized</w:t>
            </w:r>
          </w:p>
        </w:tc>
        <w:tc>
          <w:tcPr>
            <w:tcW w:w="1276" w:type="dxa"/>
          </w:tcPr>
          <w:p w14:paraId="16D8E298" w14:textId="10CAA86B" w:rsidR="00191A23" w:rsidRPr="004F2E25" w:rsidRDefault="00626F25" w:rsidP="00191A23">
            <w:pPr>
              <w:tabs>
                <w:tab w:val="left" w:pos="5400"/>
              </w:tabs>
              <w:rPr>
                <w:color w:val="FF0000"/>
                <w:sz w:val="20"/>
              </w:rPr>
            </w:pPr>
            <w:r>
              <w:rPr>
                <w:sz w:val="20"/>
              </w:rPr>
              <w:t>3</w:t>
            </w:r>
            <w:r w:rsidRPr="00626F25">
              <w:rPr>
                <w:sz w:val="20"/>
                <w:vertAlign w:val="superscript"/>
              </w:rPr>
              <w:t>rd</w:t>
            </w:r>
            <w:r>
              <w:rPr>
                <w:sz w:val="20"/>
              </w:rPr>
              <w:t xml:space="preserve"> paragraph of the Results section</w:t>
            </w:r>
          </w:p>
        </w:tc>
        <w:tc>
          <w:tcPr>
            <w:tcW w:w="3118" w:type="dxa"/>
          </w:tcPr>
          <w:p w14:paraId="19799FF0" w14:textId="6073C1A6" w:rsidR="00191A23" w:rsidRPr="004F2E25" w:rsidRDefault="00FF4E6B" w:rsidP="00191A23">
            <w:pPr>
              <w:tabs>
                <w:tab w:val="left" w:pos="5400"/>
              </w:tabs>
              <w:rPr>
                <w:i/>
                <w:color w:val="FF0000"/>
                <w:sz w:val="20"/>
              </w:rPr>
            </w:pPr>
            <w:r w:rsidRPr="00154BD2">
              <w:rPr>
                <w:i/>
                <w:sz w:val="20"/>
              </w:rPr>
              <w:t xml:space="preserve">“In the multivariable adjusted model HRs were 1, 0.87 (0.82,0.93), 0.83 (0.77,0.89), 0.80 (0.74,0.86) and 0.80 (0.74,0.87) (p for trend = &lt;0.001) </w:t>
            </w:r>
            <w:r w:rsidRPr="00154BD2">
              <w:rPr>
                <w:i/>
                <w:sz w:val="20"/>
                <w:u w:val="single"/>
              </w:rPr>
              <w:t xml:space="preserve">for cycling 0, 1-60, 61-150, 151-300 and &gt;300 </w:t>
            </w:r>
            <w:r w:rsidRPr="00154BD2">
              <w:rPr>
                <w:i/>
                <w:sz w:val="20"/>
              </w:rPr>
              <w:t>minutes/week, respectively</w:t>
            </w:r>
            <w:r w:rsidR="00D63F20" w:rsidRPr="00154BD2">
              <w:rPr>
                <w:i/>
                <w:sz w:val="20"/>
              </w:rPr>
              <w:t xml:space="preserve"> ..</w:t>
            </w:r>
            <w:r w:rsidRPr="00154BD2">
              <w:rPr>
                <w:i/>
                <w:sz w:val="20"/>
              </w:rPr>
              <w:t>”</w:t>
            </w:r>
          </w:p>
        </w:tc>
      </w:tr>
      <w:tr w:rsidR="00191A23" w:rsidRPr="00BE337C" w14:paraId="4BFBA08C" w14:textId="77777777" w:rsidTr="00517788">
        <w:tc>
          <w:tcPr>
            <w:tcW w:w="0" w:type="auto"/>
            <w:vMerge/>
          </w:tcPr>
          <w:p w14:paraId="2121C23C" w14:textId="77777777" w:rsidR="00191A23" w:rsidRPr="00BE337C"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14:paraId="2725317E" w14:textId="77777777" w:rsidR="00191A23" w:rsidRPr="00BE337C" w:rsidRDefault="00191A23" w:rsidP="00191A23">
            <w:pPr>
              <w:tabs>
                <w:tab w:val="left" w:pos="5400"/>
              </w:tabs>
              <w:jc w:val="center"/>
              <w:rPr>
                <w:sz w:val="20"/>
              </w:rPr>
            </w:pPr>
          </w:p>
        </w:tc>
        <w:tc>
          <w:tcPr>
            <w:tcW w:w="8328" w:type="dxa"/>
          </w:tcPr>
          <w:p w14:paraId="58E8835E" w14:textId="77777777" w:rsidR="00191A23" w:rsidRPr="00BE337C" w:rsidRDefault="00191A23" w:rsidP="00191A23">
            <w:pPr>
              <w:tabs>
                <w:tab w:val="left" w:pos="5400"/>
              </w:tabs>
              <w:rPr>
                <w:sz w:val="20"/>
              </w:rPr>
            </w:pPr>
            <w:r w:rsidRPr="00BE337C">
              <w:rPr>
                <w:sz w:val="20"/>
              </w:rPr>
              <w:t>(</w:t>
            </w:r>
            <w:r w:rsidRPr="00BE337C">
              <w:rPr>
                <w:i/>
                <w:sz w:val="20"/>
              </w:rPr>
              <w:t>c</w:t>
            </w:r>
            <w:r w:rsidRPr="00BE337C">
              <w:rPr>
                <w:sz w:val="20"/>
              </w:rPr>
              <w:t>) If relevant, consider translating estimates of relative risk into absolute risk for a meaningful time period</w:t>
            </w:r>
          </w:p>
        </w:tc>
        <w:tc>
          <w:tcPr>
            <w:tcW w:w="1276" w:type="dxa"/>
          </w:tcPr>
          <w:p w14:paraId="6B0489C2" w14:textId="77777777" w:rsidR="00191A23" w:rsidRPr="00BE337C" w:rsidRDefault="00191A23" w:rsidP="00191A23">
            <w:pPr>
              <w:tabs>
                <w:tab w:val="left" w:pos="5400"/>
              </w:tabs>
              <w:rPr>
                <w:sz w:val="20"/>
              </w:rPr>
            </w:pPr>
          </w:p>
        </w:tc>
        <w:tc>
          <w:tcPr>
            <w:tcW w:w="3118" w:type="dxa"/>
          </w:tcPr>
          <w:p w14:paraId="2825C4CC" w14:textId="7521B8FF" w:rsidR="00191A23" w:rsidRPr="00BE337C" w:rsidRDefault="00191A23" w:rsidP="00191A23">
            <w:pPr>
              <w:tabs>
                <w:tab w:val="left" w:pos="5400"/>
              </w:tabs>
              <w:rPr>
                <w:sz w:val="20"/>
              </w:rPr>
            </w:pPr>
          </w:p>
        </w:tc>
      </w:tr>
    </w:tbl>
    <w:p w14:paraId="0F4AFDEB" w14:textId="77777777" w:rsidR="00191A23" w:rsidRPr="00BE337C" w:rsidRDefault="00191A23">
      <w:bookmarkStart w:id="81" w:name="italic43"/>
      <w:bookmarkStart w:id="82" w:name="bold44"/>
      <w:bookmarkEnd w:id="79"/>
      <w:bookmarkEnd w:id="80"/>
      <w:r w:rsidRPr="00BE337C">
        <w:rPr>
          <w:sz w:val="16"/>
          <w:szCs w:val="16"/>
        </w:rPr>
        <w:t>Continued on next page</w:t>
      </w:r>
      <w:r w:rsidRPr="00BE337C">
        <w:t xml:space="preserve"> </w:t>
      </w:r>
      <w:r w:rsidRPr="00BE337C">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416"/>
        <w:gridCol w:w="8664"/>
        <w:gridCol w:w="1294"/>
        <w:gridCol w:w="3124"/>
      </w:tblGrid>
      <w:tr w:rsidR="009E3207" w:rsidRPr="00BE337C" w14:paraId="78EDB0B9" w14:textId="77777777" w:rsidTr="00022EBE">
        <w:tc>
          <w:tcPr>
            <w:tcW w:w="0" w:type="auto"/>
          </w:tcPr>
          <w:bookmarkEnd w:id="81"/>
          <w:bookmarkEnd w:id="82"/>
          <w:p w14:paraId="4AFBD8CB" w14:textId="77777777" w:rsidR="009E3207" w:rsidRPr="00BE337C" w:rsidRDefault="009E3207" w:rsidP="009E3207">
            <w:pPr>
              <w:tabs>
                <w:tab w:val="left" w:pos="5400"/>
              </w:tabs>
              <w:rPr>
                <w:bCs/>
                <w:sz w:val="20"/>
              </w:rPr>
            </w:pPr>
            <w:r w:rsidRPr="00BE337C">
              <w:rPr>
                <w:bCs/>
                <w:sz w:val="20"/>
              </w:rPr>
              <w:lastRenderedPageBreak/>
              <w:t>Other analyses</w:t>
            </w:r>
          </w:p>
        </w:tc>
        <w:tc>
          <w:tcPr>
            <w:tcW w:w="0" w:type="auto"/>
          </w:tcPr>
          <w:p w14:paraId="3AB8B4F8" w14:textId="77777777" w:rsidR="009E3207" w:rsidRPr="00BE337C" w:rsidRDefault="009E3207" w:rsidP="009E3207">
            <w:pPr>
              <w:tabs>
                <w:tab w:val="left" w:pos="5400"/>
              </w:tabs>
              <w:jc w:val="center"/>
              <w:rPr>
                <w:sz w:val="20"/>
              </w:rPr>
            </w:pPr>
            <w:r w:rsidRPr="00BE337C">
              <w:rPr>
                <w:sz w:val="20"/>
              </w:rPr>
              <w:t>17</w:t>
            </w:r>
          </w:p>
        </w:tc>
        <w:tc>
          <w:tcPr>
            <w:tcW w:w="8664" w:type="dxa"/>
          </w:tcPr>
          <w:p w14:paraId="5B036409" w14:textId="77777777" w:rsidR="009E3207" w:rsidRPr="00BE337C" w:rsidRDefault="009E3207" w:rsidP="009E3207">
            <w:pPr>
              <w:tabs>
                <w:tab w:val="left" w:pos="5400"/>
              </w:tabs>
              <w:rPr>
                <w:sz w:val="20"/>
              </w:rPr>
            </w:pPr>
            <w:r w:rsidRPr="00BE337C">
              <w:rPr>
                <w:sz w:val="20"/>
              </w:rPr>
              <w:t>Report other analyses done—eg analyses of subgroups and interactions, and sensitivity analyses</w:t>
            </w:r>
          </w:p>
        </w:tc>
        <w:tc>
          <w:tcPr>
            <w:tcW w:w="1294" w:type="dxa"/>
          </w:tcPr>
          <w:p w14:paraId="6C5C55C3" w14:textId="252AE2ED" w:rsidR="009E3207" w:rsidRPr="00C822F9" w:rsidRDefault="00C822F9" w:rsidP="009E3207">
            <w:pPr>
              <w:tabs>
                <w:tab w:val="left" w:pos="5400"/>
              </w:tabs>
              <w:rPr>
                <w:sz w:val="20"/>
              </w:rPr>
            </w:pPr>
            <w:r w:rsidRPr="00C822F9">
              <w:rPr>
                <w:sz w:val="20"/>
              </w:rPr>
              <w:t xml:space="preserve">- </w:t>
            </w:r>
            <w:r w:rsidR="0018247B">
              <w:rPr>
                <w:sz w:val="20"/>
              </w:rPr>
              <w:t>5</w:t>
            </w:r>
            <w:r w:rsidR="0018247B" w:rsidRPr="0018247B">
              <w:rPr>
                <w:sz w:val="20"/>
                <w:vertAlign w:val="superscript"/>
              </w:rPr>
              <w:t>th</w:t>
            </w:r>
            <w:r w:rsidR="0018247B">
              <w:rPr>
                <w:sz w:val="20"/>
              </w:rPr>
              <w:t xml:space="preserve"> paragraph of the Results section</w:t>
            </w:r>
          </w:p>
          <w:p w14:paraId="1C82DF5C" w14:textId="77777777" w:rsidR="00FC2F01" w:rsidRPr="00C822F9" w:rsidRDefault="00FC2F01" w:rsidP="009E3207">
            <w:pPr>
              <w:tabs>
                <w:tab w:val="left" w:pos="5400"/>
              </w:tabs>
              <w:rPr>
                <w:sz w:val="20"/>
              </w:rPr>
            </w:pPr>
            <w:r w:rsidRPr="00C822F9">
              <w:rPr>
                <w:sz w:val="20"/>
              </w:rPr>
              <w:t>(Subgroup analyses)</w:t>
            </w:r>
          </w:p>
          <w:p w14:paraId="4F89BE1D" w14:textId="77777777" w:rsidR="004242AD" w:rsidRPr="004F2E25" w:rsidRDefault="004242AD" w:rsidP="009E3207">
            <w:pPr>
              <w:tabs>
                <w:tab w:val="left" w:pos="5400"/>
              </w:tabs>
              <w:rPr>
                <w:color w:val="FF0000"/>
                <w:sz w:val="20"/>
              </w:rPr>
            </w:pPr>
          </w:p>
          <w:p w14:paraId="24793663" w14:textId="77777777" w:rsidR="004242AD" w:rsidRPr="004F2E25" w:rsidRDefault="004242AD" w:rsidP="009E3207">
            <w:pPr>
              <w:tabs>
                <w:tab w:val="left" w:pos="5400"/>
              </w:tabs>
              <w:rPr>
                <w:color w:val="FF0000"/>
                <w:sz w:val="20"/>
              </w:rPr>
            </w:pPr>
          </w:p>
          <w:p w14:paraId="24C3FC1D" w14:textId="77777777" w:rsidR="004242AD" w:rsidRPr="004F2E25" w:rsidRDefault="004242AD" w:rsidP="009E3207">
            <w:pPr>
              <w:tabs>
                <w:tab w:val="left" w:pos="5400"/>
              </w:tabs>
              <w:rPr>
                <w:color w:val="FF0000"/>
                <w:sz w:val="20"/>
              </w:rPr>
            </w:pPr>
          </w:p>
          <w:p w14:paraId="0D51ECB9" w14:textId="33C1DA39" w:rsidR="004242AD" w:rsidRPr="007102D9" w:rsidRDefault="007102D9" w:rsidP="009E3207">
            <w:pPr>
              <w:tabs>
                <w:tab w:val="left" w:pos="5400"/>
              </w:tabs>
              <w:rPr>
                <w:sz w:val="20"/>
              </w:rPr>
            </w:pPr>
            <w:r>
              <w:rPr>
                <w:sz w:val="20"/>
              </w:rPr>
              <w:t xml:space="preserve">- </w:t>
            </w:r>
            <w:r w:rsidR="0018247B">
              <w:rPr>
                <w:sz w:val="20"/>
              </w:rPr>
              <w:t>7</w:t>
            </w:r>
            <w:r w:rsidR="0018247B" w:rsidRPr="0018247B">
              <w:rPr>
                <w:sz w:val="20"/>
                <w:vertAlign w:val="superscript"/>
              </w:rPr>
              <w:t>th</w:t>
            </w:r>
            <w:r w:rsidR="0018247B">
              <w:rPr>
                <w:sz w:val="20"/>
              </w:rPr>
              <w:t xml:space="preserve"> paragraph of the Statistical Methods section</w:t>
            </w:r>
          </w:p>
          <w:p w14:paraId="4ACCEE30" w14:textId="77777777" w:rsidR="004242AD" w:rsidRPr="007102D9" w:rsidRDefault="004242AD" w:rsidP="009E3207">
            <w:pPr>
              <w:tabs>
                <w:tab w:val="left" w:pos="5400"/>
              </w:tabs>
              <w:rPr>
                <w:sz w:val="20"/>
              </w:rPr>
            </w:pPr>
            <w:r w:rsidRPr="007102D9">
              <w:rPr>
                <w:sz w:val="20"/>
              </w:rPr>
              <w:t>(Interaction)</w:t>
            </w:r>
          </w:p>
          <w:p w14:paraId="7D828989" w14:textId="77777777" w:rsidR="004242AD" w:rsidRPr="004F2E25" w:rsidRDefault="004242AD" w:rsidP="009E3207">
            <w:pPr>
              <w:tabs>
                <w:tab w:val="left" w:pos="5400"/>
              </w:tabs>
              <w:rPr>
                <w:color w:val="FF0000"/>
                <w:sz w:val="20"/>
              </w:rPr>
            </w:pPr>
          </w:p>
          <w:p w14:paraId="6E6DD7A5" w14:textId="77777777" w:rsidR="004242AD" w:rsidRPr="004F2E25" w:rsidRDefault="004242AD" w:rsidP="009E3207">
            <w:pPr>
              <w:tabs>
                <w:tab w:val="left" w:pos="5400"/>
              </w:tabs>
              <w:rPr>
                <w:color w:val="FF0000"/>
                <w:sz w:val="20"/>
              </w:rPr>
            </w:pPr>
          </w:p>
          <w:p w14:paraId="6784D0D9" w14:textId="77777777" w:rsidR="004242AD" w:rsidRPr="004F2E25" w:rsidRDefault="004242AD" w:rsidP="009E3207">
            <w:pPr>
              <w:tabs>
                <w:tab w:val="left" w:pos="5400"/>
              </w:tabs>
              <w:rPr>
                <w:color w:val="FF0000"/>
                <w:sz w:val="20"/>
              </w:rPr>
            </w:pPr>
          </w:p>
          <w:p w14:paraId="5B5E3E97" w14:textId="77777777" w:rsidR="004242AD" w:rsidRPr="004F2E25" w:rsidRDefault="004242AD" w:rsidP="009E3207">
            <w:pPr>
              <w:tabs>
                <w:tab w:val="left" w:pos="5400"/>
              </w:tabs>
              <w:rPr>
                <w:color w:val="FF0000"/>
                <w:sz w:val="20"/>
              </w:rPr>
            </w:pPr>
          </w:p>
          <w:p w14:paraId="2C219439" w14:textId="7FD8BE0E" w:rsidR="004242AD" w:rsidRPr="004F2E25" w:rsidRDefault="009E3D5C" w:rsidP="0018247B">
            <w:pPr>
              <w:tabs>
                <w:tab w:val="left" w:pos="5400"/>
              </w:tabs>
              <w:rPr>
                <w:color w:val="FF0000"/>
                <w:sz w:val="20"/>
              </w:rPr>
            </w:pPr>
            <w:r w:rsidRPr="009E3D5C">
              <w:rPr>
                <w:sz w:val="20"/>
              </w:rPr>
              <w:t xml:space="preserve">- </w:t>
            </w:r>
            <w:r w:rsidR="0018247B">
              <w:rPr>
                <w:sz w:val="20"/>
              </w:rPr>
              <w:t>2</w:t>
            </w:r>
            <w:r w:rsidR="0018247B" w:rsidRPr="0018247B">
              <w:rPr>
                <w:sz w:val="20"/>
                <w:vertAlign w:val="superscript"/>
              </w:rPr>
              <w:t>nd</w:t>
            </w:r>
            <w:r w:rsidR="0018247B">
              <w:rPr>
                <w:sz w:val="20"/>
              </w:rPr>
              <w:t xml:space="preserve"> paragraph of the Statistical Methods section</w:t>
            </w:r>
            <w:r w:rsidR="004242AD" w:rsidRPr="009E3D5C">
              <w:rPr>
                <w:sz w:val="20"/>
              </w:rPr>
              <w:t xml:space="preserve"> (sensitivity analysis)</w:t>
            </w:r>
          </w:p>
        </w:tc>
        <w:tc>
          <w:tcPr>
            <w:tcW w:w="3124" w:type="dxa"/>
          </w:tcPr>
          <w:p w14:paraId="6456AF92" w14:textId="77777777" w:rsidR="009E3207" w:rsidRPr="00C822F9" w:rsidRDefault="00FC2F01" w:rsidP="009E3207">
            <w:pPr>
              <w:tabs>
                <w:tab w:val="left" w:pos="5400"/>
              </w:tabs>
              <w:rPr>
                <w:i/>
                <w:sz w:val="20"/>
              </w:rPr>
            </w:pPr>
            <w:r w:rsidRPr="00C822F9">
              <w:rPr>
                <w:i/>
                <w:sz w:val="20"/>
              </w:rPr>
              <w:t>“In further attempt to limit residual confounding of sports participation in the associations between cycling and T2D, separate analyses of total cycling and seasonal cycling were performed where only those who reported no spo</w:t>
            </w:r>
            <w:r w:rsidR="004242AD" w:rsidRPr="00C822F9">
              <w:rPr>
                <w:i/>
                <w:sz w:val="20"/>
              </w:rPr>
              <w:t>rts participation were included.</w:t>
            </w:r>
            <w:r w:rsidRPr="00C822F9">
              <w:rPr>
                <w:i/>
                <w:sz w:val="20"/>
              </w:rPr>
              <w:t>”</w:t>
            </w:r>
          </w:p>
          <w:p w14:paraId="1BAC9AC6" w14:textId="77777777" w:rsidR="004242AD" w:rsidRPr="004F2E25" w:rsidRDefault="004242AD" w:rsidP="009E3207">
            <w:pPr>
              <w:tabs>
                <w:tab w:val="left" w:pos="5400"/>
              </w:tabs>
              <w:rPr>
                <w:i/>
                <w:color w:val="FF0000"/>
                <w:sz w:val="20"/>
              </w:rPr>
            </w:pPr>
          </w:p>
          <w:p w14:paraId="3216456B" w14:textId="77777777" w:rsidR="004242AD" w:rsidRPr="007102D9" w:rsidRDefault="004242AD" w:rsidP="004242AD">
            <w:pPr>
              <w:rPr>
                <w:i/>
                <w:sz w:val="20"/>
              </w:rPr>
            </w:pPr>
            <w:r w:rsidRPr="007102D9">
              <w:rPr>
                <w:i/>
                <w:sz w:val="20"/>
              </w:rPr>
              <w:t>“We also statistically evaluated whether there was an interaction between sex and cycling on risk of T2D in the analyses. This was done by comparing models with an interaction term and main effects with models containing main effects only, using the likelihood-ratio test. No interaction of sex was found in any analyses.”</w:t>
            </w:r>
          </w:p>
          <w:p w14:paraId="11A8C27E" w14:textId="77777777" w:rsidR="004242AD" w:rsidRPr="004F2E25" w:rsidRDefault="004242AD" w:rsidP="004242AD">
            <w:pPr>
              <w:rPr>
                <w:i/>
                <w:color w:val="FF0000"/>
                <w:sz w:val="20"/>
              </w:rPr>
            </w:pPr>
          </w:p>
          <w:p w14:paraId="1F401837" w14:textId="0F9FC42F" w:rsidR="004242AD" w:rsidRPr="004F2E25" w:rsidRDefault="004242AD" w:rsidP="004242AD">
            <w:pPr>
              <w:rPr>
                <w:i/>
                <w:color w:val="FF0000"/>
                <w:sz w:val="20"/>
              </w:rPr>
            </w:pPr>
            <w:r w:rsidRPr="009E3D5C">
              <w:rPr>
                <w:sz w:val="20"/>
              </w:rPr>
              <w:t xml:space="preserve">We compared associations from the analyses with and without imputation of physical activity variables: </w:t>
            </w:r>
            <w:r w:rsidRPr="009E3D5C">
              <w:rPr>
                <w:i/>
                <w:sz w:val="20"/>
              </w:rPr>
              <w:t>“The multivariable analyses performed without imputation of physical activity variables, however showed almost identical results as the analyses with imputation, with no differences in direction of associations or statistical significance.”</w:t>
            </w:r>
          </w:p>
        </w:tc>
      </w:tr>
      <w:tr w:rsidR="009E3207" w:rsidRPr="00BE337C" w14:paraId="3E831A35" w14:textId="77777777" w:rsidTr="00191A23">
        <w:tc>
          <w:tcPr>
            <w:tcW w:w="14992" w:type="dxa"/>
            <w:gridSpan w:val="5"/>
          </w:tcPr>
          <w:p w14:paraId="51A192A1" w14:textId="7D4DCBD7" w:rsidR="009E3207" w:rsidRPr="004F2E25" w:rsidRDefault="009E3207" w:rsidP="009E3207">
            <w:pPr>
              <w:pStyle w:val="TableSubHead"/>
              <w:tabs>
                <w:tab w:val="left" w:pos="5400"/>
              </w:tabs>
              <w:rPr>
                <w:color w:val="FF0000"/>
                <w:sz w:val="20"/>
              </w:rPr>
            </w:pPr>
            <w:bookmarkStart w:id="83" w:name="italic44"/>
            <w:bookmarkStart w:id="84" w:name="bold45"/>
            <w:r w:rsidRPr="00BE2C6D">
              <w:rPr>
                <w:sz w:val="20"/>
              </w:rPr>
              <w:lastRenderedPageBreak/>
              <w:t>Discussion</w:t>
            </w:r>
            <w:bookmarkEnd w:id="83"/>
            <w:bookmarkEnd w:id="84"/>
          </w:p>
        </w:tc>
      </w:tr>
      <w:tr w:rsidR="009E3207" w:rsidRPr="00BE337C" w14:paraId="4D71E18D" w14:textId="77777777" w:rsidTr="00022EBE">
        <w:tc>
          <w:tcPr>
            <w:tcW w:w="0" w:type="auto"/>
          </w:tcPr>
          <w:p w14:paraId="4691366D" w14:textId="77777777" w:rsidR="009E3207" w:rsidRPr="00BE337C" w:rsidRDefault="009E3207" w:rsidP="009E3207">
            <w:pPr>
              <w:tabs>
                <w:tab w:val="left" w:pos="5400"/>
              </w:tabs>
              <w:rPr>
                <w:bCs/>
                <w:sz w:val="20"/>
              </w:rPr>
            </w:pPr>
            <w:bookmarkStart w:id="85" w:name="italic45" w:colFirst="0" w:colLast="0"/>
            <w:bookmarkStart w:id="86" w:name="bold46" w:colFirst="0" w:colLast="0"/>
            <w:r w:rsidRPr="00BE337C">
              <w:rPr>
                <w:bCs/>
                <w:sz w:val="20"/>
              </w:rPr>
              <w:t>Key results</w:t>
            </w:r>
          </w:p>
        </w:tc>
        <w:tc>
          <w:tcPr>
            <w:tcW w:w="0" w:type="auto"/>
          </w:tcPr>
          <w:p w14:paraId="4BE1BEE6" w14:textId="77777777" w:rsidR="009E3207" w:rsidRPr="00BE337C" w:rsidRDefault="009E3207" w:rsidP="009E3207">
            <w:pPr>
              <w:tabs>
                <w:tab w:val="left" w:pos="5400"/>
              </w:tabs>
              <w:jc w:val="center"/>
              <w:rPr>
                <w:sz w:val="20"/>
              </w:rPr>
            </w:pPr>
            <w:r w:rsidRPr="00BE337C">
              <w:rPr>
                <w:sz w:val="20"/>
              </w:rPr>
              <w:t>18</w:t>
            </w:r>
          </w:p>
        </w:tc>
        <w:tc>
          <w:tcPr>
            <w:tcW w:w="8664" w:type="dxa"/>
          </w:tcPr>
          <w:p w14:paraId="2E656C73" w14:textId="77777777" w:rsidR="009E3207" w:rsidRPr="00BE337C" w:rsidRDefault="009E3207" w:rsidP="009E3207">
            <w:pPr>
              <w:tabs>
                <w:tab w:val="left" w:pos="5400"/>
              </w:tabs>
              <w:rPr>
                <w:sz w:val="20"/>
              </w:rPr>
            </w:pPr>
            <w:r w:rsidRPr="00BE337C">
              <w:rPr>
                <w:sz w:val="20"/>
              </w:rPr>
              <w:t>Summarise key results with reference to study objectives</w:t>
            </w:r>
          </w:p>
        </w:tc>
        <w:tc>
          <w:tcPr>
            <w:tcW w:w="1294" w:type="dxa"/>
          </w:tcPr>
          <w:p w14:paraId="03FE4B07" w14:textId="69117EC8" w:rsidR="009E3207" w:rsidRPr="00BE2C6D" w:rsidRDefault="00C40FD6" w:rsidP="001D0811">
            <w:pPr>
              <w:tabs>
                <w:tab w:val="left" w:pos="5400"/>
              </w:tabs>
              <w:rPr>
                <w:sz w:val="20"/>
              </w:rPr>
            </w:pPr>
            <w:r>
              <w:rPr>
                <w:sz w:val="20"/>
              </w:rPr>
              <w:t>1</w:t>
            </w:r>
            <w:r w:rsidRPr="00C40FD6">
              <w:rPr>
                <w:sz w:val="20"/>
                <w:vertAlign w:val="superscript"/>
              </w:rPr>
              <w:t>st</w:t>
            </w:r>
            <w:r>
              <w:rPr>
                <w:sz w:val="20"/>
              </w:rPr>
              <w:t xml:space="preserve"> paragraph of the Discussion section</w:t>
            </w:r>
          </w:p>
        </w:tc>
        <w:tc>
          <w:tcPr>
            <w:tcW w:w="3124" w:type="dxa"/>
          </w:tcPr>
          <w:p w14:paraId="4D90F773" w14:textId="6F7DADF1" w:rsidR="009E3207" w:rsidRPr="004F2E25" w:rsidRDefault="00566362" w:rsidP="009E3207">
            <w:pPr>
              <w:tabs>
                <w:tab w:val="left" w:pos="5400"/>
              </w:tabs>
              <w:rPr>
                <w:i/>
                <w:color w:val="FF0000"/>
                <w:sz w:val="20"/>
              </w:rPr>
            </w:pPr>
            <w:r w:rsidRPr="00BE2C6D">
              <w:rPr>
                <w:i/>
                <w:sz w:val="20"/>
              </w:rPr>
              <w:t>“In this large population-based cohort study among Danish men and women residing in cycling friendly cities, recreational and commuter cycling was associated with lower risk of T2D and mostly in a dose-response manner according to weekly time spent on cycling and seasonal engagement in cycling. The results of our study also suggest that initiation or continuation of cycling habits from baseline to the second examination was associated with significant T2D risk reduction compared to no cycling in the same time period. Our investigation suggested that adiposity partly mediated the associations between cycling on T2D risk.”</w:t>
            </w:r>
          </w:p>
        </w:tc>
      </w:tr>
      <w:tr w:rsidR="009E3207" w:rsidRPr="00BE337C" w14:paraId="27D86A96" w14:textId="77777777" w:rsidTr="00022EBE">
        <w:tc>
          <w:tcPr>
            <w:tcW w:w="0" w:type="auto"/>
          </w:tcPr>
          <w:p w14:paraId="24E6B1D8" w14:textId="77777777" w:rsidR="009E3207" w:rsidRPr="00BE337C" w:rsidRDefault="009E3207" w:rsidP="009E3207">
            <w:pPr>
              <w:tabs>
                <w:tab w:val="left" w:pos="5400"/>
              </w:tabs>
              <w:rPr>
                <w:bCs/>
                <w:sz w:val="20"/>
              </w:rPr>
            </w:pPr>
            <w:bookmarkStart w:id="87" w:name="italic46" w:colFirst="0" w:colLast="0"/>
            <w:bookmarkStart w:id="88" w:name="bold47" w:colFirst="0" w:colLast="0"/>
            <w:bookmarkEnd w:id="85"/>
            <w:bookmarkEnd w:id="86"/>
            <w:r w:rsidRPr="00BE337C">
              <w:rPr>
                <w:bCs/>
                <w:sz w:val="20"/>
              </w:rPr>
              <w:t>Limitations</w:t>
            </w:r>
          </w:p>
        </w:tc>
        <w:tc>
          <w:tcPr>
            <w:tcW w:w="0" w:type="auto"/>
          </w:tcPr>
          <w:p w14:paraId="41417A38" w14:textId="77777777" w:rsidR="009E3207" w:rsidRPr="00BE337C" w:rsidRDefault="009E3207" w:rsidP="009E3207">
            <w:pPr>
              <w:tabs>
                <w:tab w:val="left" w:pos="5400"/>
              </w:tabs>
              <w:jc w:val="center"/>
              <w:rPr>
                <w:sz w:val="20"/>
              </w:rPr>
            </w:pPr>
            <w:r w:rsidRPr="00BE337C">
              <w:rPr>
                <w:sz w:val="20"/>
              </w:rPr>
              <w:t>19</w:t>
            </w:r>
          </w:p>
        </w:tc>
        <w:tc>
          <w:tcPr>
            <w:tcW w:w="8664" w:type="dxa"/>
          </w:tcPr>
          <w:p w14:paraId="07FA8C84" w14:textId="77777777" w:rsidR="009E3207" w:rsidRPr="00BE337C" w:rsidRDefault="009E3207" w:rsidP="009E3207">
            <w:pPr>
              <w:tabs>
                <w:tab w:val="left" w:pos="5400"/>
              </w:tabs>
              <w:rPr>
                <w:sz w:val="20"/>
              </w:rPr>
            </w:pPr>
            <w:r w:rsidRPr="00BE337C">
              <w:rPr>
                <w:sz w:val="20"/>
              </w:rPr>
              <w:t>Discuss limitations of the study, taking into account sources of potential bias or imprecision. Discuss both direction and magnitude of any potential bias</w:t>
            </w:r>
          </w:p>
        </w:tc>
        <w:tc>
          <w:tcPr>
            <w:tcW w:w="1294" w:type="dxa"/>
          </w:tcPr>
          <w:p w14:paraId="31ED5316" w14:textId="5A1022F3" w:rsidR="009E3207" w:rsidRPr="004F2E25" w:rsidRDefault="00B31958" w:rsidP="009E3207">
            <w:pPr>
              <w:tabs>
                <w:tab w:val="left" w:pos="5400"/>
              </w:tabs>
              <w:rPr>
                <w:color w:val="FF0000"/>
                <w:sz w:val="20"/>
              </w:rPr>
            </w:pPr>
            <w:r>
              <w:rPr>
                <w:sz w:val="20"/>
              </w:rPr>
              <w:t>9</w:t>
            </w:r>
            <w:r w:rsidRPr="00B31958">
              <w:rPr>
                <w:sz w:val="20"/>
                <w:vertAlign w:val="superscript"/>
              </w:rPr>
              <w:t>th</w:t>
            </w:r>
            <w:r>
              <w:rPr>
                <w:sz w:val="20"/>
              </w:rPr>
              <w:t xml:space="preserve"> paragraph of the Discussion section</w:t>
            </w:r>
          </w:p>
        </w:tc>
        <w:tc>
          <w:tcPr>
            <w:tcW w:w="3124" w:type="dxa"/>
          </w:tcPr>
          <w:p w14:paraId="78993021" w14:textId="0D8A7BCB" w:rsidR="009E3207" w:rsidRPr="00725397" w:rsidRDefault="003041D6" w:rsidP="00665CB5">
            <w:pPr>
              <w:tabs>
                <w:tab w:val="left" w:pos="5400"/>
              </w:tabs>
              <w:rPr>
                <w:i/>
                <w:sz w:val="20"/>
              </w:rPr>
            </w:pPr>
            <w:r w:rsidRPr="00725397">
              <w:rPr>
                <w:i/>
                <w:sz w:val="20"/>
              </w:rPr>
              <w:t xml:space="preserve">“Limitations include use of self-reported physical activity data and therefore potential systematic bias and random error in estimation of exposure levels. Also we cannot characterize documented diabetes cases according to type, although they are interpreted as mainly T2D, as adult-onset type 1 diabetes has been found to be low in similar </w:t>
            </w:r>
            <w:r w:rsidRPr="00725397">
              <w:rPr>
                <w:i/>
                <w:sz w:val="20"/>
              </w:rPr>
              <w:lastRenderedPageBreak/>
              <w:t xml:space="preserve">populations [28, 29]. There may also be some limitations in terms of generalizability; the cohort is composed of Caucasian men and women 50-64 years of age at baseline, which may limit the extent to which the findings can be generalized to other ethnicities and younger populations. A limitation in the analyses is that 11,458 and 5,811 participants were excluded due to being missing in either exposure variables or covariates, in the analysis of changes in total cycling and commuter cycling, respectively. Although those excluded were significantly, albeit marginally older, and although those excluded from the analysis of commuter cycling and T2D risk reported more cycling to work, there were no differences in T2D hazard in either of the analyses. Concern about bias due to selection from the exclusion of participants with missing data is therefore not considered a threat to internal validity. Another limitation in the analyses was the method applied for imputation of data. Multiple imputation is a well-accepted imputation strategy, which would </w:t>
            </w:r>
            <w:r w:rsidRPr="00725397">
              <w:rPr>
                <w:i/>
                <w:sz w:val="20"/>
              </w:rPr>
              <w:lastRenderedPageBreak/>
              <w:t>have allowed for more data in the analyses [45]. Lastly, residual confounding or unknown confounding cannot be ruled out, although many known confounders were controlled for, which, when included in the models, consistently attenuated strengths of the associations.”</w:t>
            </w:r>
          </w:p>
        </w:tc>
      </w:tr>
      <w:tr w:rsidR="009E3207" w:rsidRPr="00BE337C" w14:paraId="10ABC33D" w14:textId="77777777" w:rsidTr="00022EBE">
        <w:tc>
          <w:tcPr>
            <w:tcW w:w="0" w:type="auto"/>
          </w:tcPr>
          <w:p w14:paraId="347DB510" w14:textId="77777777" w:rsidR="009E3207" w:rsidRPr="00BE337C" w:rsidRDefault="009E3207" w:rsidP="009E3207">
            <w:pPr>
              <w:tabs>
                <w:tab w:val="left" w:pos="5400"/>
              </w:tabs>
              <w:rPr>
                <w:bCs/>
                <w:sz w:val="20"/>
              </w:rPr>
            </w:pPr>
            <w:bookmarkStart w:id="89" w:name="italic47" w:colFirst="0" w:colLast="0"/>
            <w:bookmarkStart w:id="90" w:name="bold48" w:colFirst="0" w:colLast="0"/>
            <w:bookmarkEnd w:id="87"/>
            <w:bookmarkEnd w:id="88"/>
            <w:r w:rsidRPr="00BE337C">
              <w:rPr>
                <w:bCs/>
                <w:sz w:val="20"/>
              </w:rPr>
              <w:lastRenderedPageBreak/>
              <w:t>Interpretation</w:t>
            </w:r>
          </w:p>
        </w:tc>
        <w:tc>
          <w:tcPr>
            <w:tcW w:w="0" w:type="auto"/>
          </w:tcPr>
          <w:p w14:paraId="559805F8" w14:textId="77777777" w:rsidR="009E3207" w:rsidRPr="00BE337C" w:rsidRDefault="009E3207" w:rsidP="009E3207">
            <w:pPr>
              <w:tabs>
                <w:tab w:val="left" w:pos="5400"/>
              </w:tabs>
              <w:jc w:val="center"/>
              <w:rPr>
                <w:sz w:val="20"/>
              </w:rPr>
            </w:pPr>
            <w:r w:rsidRPr="00BE337C">
              <w:rPr>
                <w:sz w:val="20"/>
              </w:rPr>
              <w:t>20</w:t>
            </w:r>
          </w:p>
        </w:tc>
        <w:tc>
          <w:tcPr>
            <w:tcW w:w="8664" w:type="dxa"/>
          </w:tcPr>
          <w:p w14:paraId="4429EF28" w14:textId="77777777" w:rsidR="009E3207" w:rsidRPr="00BE337C" w:rsidRDefault="009E3207" w:rsidP="009E3207">
            <w:pPr>
              <w:tabs>
                <w:tab w:val="left" w:pos="5400"/>
              </w:tabs>
              <w:rPr>
                <w:sz w:val="20"/>
              </w:rPr>
            </w:pPr>
            <w:r w:rsidRPr="00BE337C">
              <w:rPr>
                <w:sz w:val="20"/>
              </w:rPr>
              <w:t>Give a cautious overall interpretation of results considering objectives, limitations, multiplicity of analyses, results from similar studies, and other relevant evidence</w:t>
            </w:r>
          </w:p>
        </w:tc>
        <w:tc>
          <w:tcPr>
            <w:tcW w:w="1294" w:type="dxa"/>
          </w:tcPr>
          <w:p w14:paraId="17C8B93C" w14:textId="7A462F61" w:rsidR="009E3207" w:rsidRPr="004F2E25" w:rsidRDefault="00E23FD3" w:rsidP="00CA320C">
            <w:pPr>
              <w:tabs>
                <w:tab w:val="left" w:pos="5400"/>
              </w:tabs>
              <w:rPr>
                <w:color w:val="FF0000"/>
                <w:sz w:val="20"/>
              </w:rPr>
            </w:pPr>
            <w:r>
              <w:rPr>
                <w:sz w:val="20"/>
              </w:rPr>
              <w:t>10</w:t>
            </w:r>
            <w:r w:rsidRPr="00E23FD3">
              <w:rPr>
                <w:sz w:val="20"/>
                <w:vertAlign w:val="superscript"/>
              </w:rPr>
              <w:t>th</w:t>
            </w:r>
            <w:r>
              <w:rPr>
                <w:sz w:val="20"/>
              </w:rPr>
              <w:t xml:space="preserve"> paragraph of the Discussion section</w:t>
            </w:r>
          </w:p>
        </w:tc>
        <w:tc>
          <w:tcPr>
            <w:tcW w:w="3124" w:type="dxa"/>
          </w:tcPr>
          <w:p w14:paraId="0A76F543" w14:textId="4B495814" w:rsidR="009E3207" w:rsidRPr="004F2E25" w:rsidRDefault="006A677D" w:rsidP="009E3207">
            <w:pPr>
              <w:tabs>
                <w:tab w:val="left" w:pos="5400"/>
              </w:tabs>
              <w:rPr>
                <w:i/>
                <w:color w:val="FF0000"/>
                <w:sz w:val="20"/>
              </w:rPr>
            </w:pPr>
            <w:r w:rsidRPr="00020C03">
              <w:rPr>
                <w:i/>
                <w:sz w:val="20"/>
              </w:rPr>
              <w:t>“Based on the results of this study it seems beneficial to encourage adults of middle and old to engage in commuter and recreational cycling to prevent the development of T2D in late adulthood.”</w:t>
            </w:r>
          </w:p>
        </w:tc>
      </w:tr>
      <w:tr w:rsidR="00022EBE" w:rsidRPr="00BE337C" w14:paraId="63FFC3C4" w14:textId="77777777" w:rsidTr="00022EBE">
        <w:tc>
          <w:tcPr>
            <w:tcW w:w="0" w:type="auto"/>
          </w:tcPr>
          <w:p w14:paraId="286DC1F8" w14:textId="77777777" w:rsidR="00022EBE" w:rsidRPr="00BE337C" w:rsidRDefault="00022EBE" w:rsidP="00022EBE">
            <w:pPr>
              <w:tabs>
                <w:tab w:val="left" w:pos="5400"/>
              </w:tabs>
              <w:rPr>
                <w:bCs/>
                <w:sz w:val="20"/>
              </w:rPr>
            </w:pPr>
            <w:bookmarkStart w:id="91" w:name="italic48" w:colFirst="0" w:colLast="0"/>
            <w:bookmarkStart w:id="92" w:name="bold49" w:colFirst="0" w:colLast="0"/>
            <w:bookmarkEnd w:id="89"/>
            <w:bookmarkEnd w:id="90"/>
            <w:r w:rsidRPr="00BE337C">
              <w:rPr>
                <w:bCs/>
                <w:sz w:val="20"/>
              </w:rPr>
              <w:t>Generalisability</w:t>
            </w:r>
          </w:p>
        </w:tc>
        <w:tc>
          <w:tcPr>
            <w:tcW w:w="0" w:type="auto"/>
          </w:tcPr>
          <w:p w14:paraId="15B71386" w14:textId="77777777" w:rsidR="00022EBE" w:rsidRPr="00BE337C" w:rsidRDefault="00022EBE" w:rsidP="00022EBE">
            <w:pPr>
              <w:tabs>
                <w:tab w:val="left" w:pos="5400"/>
              </w:tabs>
              <w:jc w:val="center"/>
              <w:rPr>
                <w:sz w:val="20"/>
              </w:rPr>
            </w:pPr>
            <w:r w:rsidRPr="00BE337C">
              <w:rPr>
                <w:sz w:val="20"/>
              </w:rPr>
              <w:t>21</w:t>
            </w:r>
          </w:p>
        </w:tc>
        <w:tc>
          <w:tcPr>
            <w:tcW w:w="8664" w:type="dxa"/>
          </w:tcPr>
          <w:p w14:paraId="2B74B9A6" w14:textId="77777777" w:rsidR="00022EBE" w:rsidRPr="00BE337C" w:rsidRDefault="00022EBE" w:rsidP="00022EBE">
            <w:pPr>
              <w:tabs>
                <w:tab w:val="left" w:pos="5400"/>
              </w:tabs>
              <w:rPr>
                <w:sz w:val="20"/>
              </w:rPr>
            </w:pPr>
            <w:r w:rsidRPr="00BE337C">
              <w:rPr>
                <w:sz w:val="20"/>
              </w:rPr>
              <w:t>Discuss the generalisability (external validity) of the study results</w:t>
            </w:r>
          </w:p>
        </w:tc>
        <w:tc>
          <w:tcPr>
            <w:tcW w:w="1294" w:type="dxa"/>
          </w:tcPr>
          <w:p w14:paraId="3802D119" w14:textId="4785A837" w:rsidR="00022EBE" w:rsidRPr="004F2E25" w:rsidRDefault="008110FD" w:rsidP="00022EBE">
            <w:pPr>
              <w:tabs>
                <w:tab w:val="left" w:pos="5400"/>
              </w:tabs>
              <w:rPr>
                <w:color w:val="FF0000"/>
                <w:sz w:val="20"/>
              </w:rPr>
            </w:pPr>
            <w:r>
              <w:rPr>
                <w:sz w:val="20"/>
              </w:rPr>
              <w:t>9</w:t>
            </w:r>
            <w:r w:rsidRPr="008110FD">
              <w:rPr>
                <w:sz w:val="20"/>
                <w:vertAlign w:val="superscript"/>
              </w:rPr>
              <w:t>th</w:t>
            </w:r>
            <w:r>
              <w:rPr>
                <w:sz w:val="20"/>
              </w:rPr>
              <w:t xml:space="preserve"> paragraph of the Discussion section</w:t>
            </w:r>
          </w:p>
        </w:tc>
        <w:tc>
          <w:tcPr>
            <w:tcW w:w="3124" w:type="dxa"/>
          </w:tcPr>
          <w:p w14:paraId="5F1C83F9" w14:textId="23A38CF5" w:rsidR="00022EBE" w:rsidRPr="004F2E25" w:rsidRDefault="006A677D" w:rsidP="00FB0C89">
            <w:pPr>
              <w:tabs>
                <w:tab w:val="left" w:pos="5400"/>
              </w:tabs>
              <w:rPr>
                <w:i/>
                <w:color w:val="FF0000"/>
                <w:sz w:val="20"/>
              </w:rPr>
            </w:pPr>
            <w:r w:rsidRPr="001250EC">
              <w:rPr>
                <w:i/>
                <w:sz w:val="20"/>
              </w:rPr>
              <w:t>“There may also be some limitations in terms of generalizability; the cohort is composed of Caucasian men and women 50-6</w:t>
            </w:r>
            <w:r w:rsidR="00FB0C89" w:rsidRPr="001250EC">
              <w:rPr>
                <w:i/>
                <w:sz w:val="20"/>
              </w:rPr>
              <w:t>5</w:t>
            </w:r>
            <w:r w:rsidRPr="001250EC">
              <w:rPr>
                <w:i/>
                <w:sz w:val="20"/>
              </w:rPr>
              <w:t xml:space="preserve"> years of age at baseline, which may limit the extent to which the findings can be generalized to other ethnicities and younger populations.”</w:t>
            </w:r>
          </w:p>
        </w:tc>
      </w:tr>
      <w:tr w:rsidR="00022EBE" w:rsidRPr="00BE337C" w14:paraId="67A9B8C6" w14:textId="77777777" w:rsidTr="00022EBE">
        <w:tc>
          <w:tcPr>
            <w:tcW w:w="1910" w:type="dxa"/>
            <w:gridSpan w:val="2"/>
          </w:tcPr>
          <w:p w14:paraId="66062E03" w14:textId="77777777" w:rsidR="00022EBE" w:rsidRPr="00BE337C" w:rsidRDefault="00022EBE" w:rsidP="00022EBE">
            <w:pPr>
              <w:pStyle w:val="TableSubHead"/>
              <w:tabs>
                <w:tab w:val="left" w:pos="5400"/>
              </w:tabs>
              <w:rPr>
                <w:sz w:val="20"/>
              </w:rPr>
            </w:pPr>
            <w:bookmarkStart w:id="93" w:name="italic49"/>
            <w:bookmarkStart w:id="94" w:name="bold50"/>
            <w:bookmarkEnd w:id="91"/>
            <w:bookmarkEnd w:id="92"/>
            <w:r w:rsidRPr="00BE337C">
              <w:rPr>
                <w:sz w:val="20"/>
              </w:rPr>
              <w:t>Other information</w:t>
            </w:r>
          </w:p>
        </w:tc>
        <w:bookmarkEnd w:id="93"/>
        <w:bookmarkEnd w:id="94"/>
        <w:tc>
          <w:tcPr>
            <w:tcW w:w="13082" w:type="dxa"/>
            <w:gridSpan w:val="3"/>
          </w:tcPr>
          <w:p w14:paraId="162013F1" w14:textId="77777777" w:rsidR="00022EBE" w:rsidRPr="00BE337C" w:rsidRDefault="00022EBE" w:rsidP="00022EBE">
            <w:pPr>
              <w:pStyle w:val="TableSubHead"/>
              <w:tabs>
                <w:tab w:val="left" w:pos="5400"/>
              </w:tabs>
              <w:rPr>
                <w:sz w:val="20"/>
              </w:rPr>
            </w:pPr>
          </w:p>
        </w:tc>
      </w:tr>
      <w:tr w:rsidR="00022EBE" w:rsidRPr="00BE337C" w14:paraId="32AA82C1" w14:textId="77777777" w:rsidTr="00022EBE">
        <w:tc>
          <w:tcPr>
            <w:tcW w:w="0" w:type="auto"/>
          </w:tcPr>
          <w:p w14:paraId="752274EB" w14:textId="77777777" w:rsidR="00022EBE" w:rsidRPr="00BE337C" w:rsidRDefault="00022EBE" w:rsidP="00022EBE">
            <w:pPr>
              <w:tabs>
                <w:tab w:val="left" w:pos="5400"/>
              </w:tabs>
              <w:rPr>
                <w:bCs/>
                <w:sz w:val="20"/>
              </w:rPr>
            </w:pPr>
            <w:bookmarkStart w:id="95" w:name="italic50" w:colFirst="0" w:colLast="0"/>
            <w:bookmarkStart w:id="96" w:name="bold51" w:colFirst="0" w:colLast="0"/>
            <w:r w:rsidRPr="00BE337C">
              <w:rPr>
                <w:bCs/>
                <w:sz w:val="20"/>
              </w:rPr>
              <w:t>Funding</w:t>
            </w:r>
          </w:p>
        </w:tc>
        <w:tc>
          <w:tcPr>
            <w:tcW w:w="0" w:type="auto"/>
          </w:tcPr>
          <w:p w14:paraId="45EC5847" w14:textId="77777777" w:rsidR="00022EBE" w:rsidRPr="00BE337C" w:rsidRDefault="00022EBE" w:rsidP="00022EBE">
            <w:pPr>
              <w:tabs>
                <w:tab w:val="left" w:pos="5400"/>
              </w:tabs>
              <w:jc w:val="center"/>
              <w:rPr>
                <w:sz w:val="20"/>
              </w:rPr>
            </w:pPr>
            <w:r w:rsidRPr="00BE337C">
              <w:rPr>
                <w:sz w:val="20"/>
              </w:rPr>
              <w:t>22</w:t>
            </w:r>
          </w:p>
        </w:tc>
        <w:tc>
          <w:tcPr>
            <w:tcW w:w="8664" w:type="dxa"/>
          </w:tcPr>
          <w:p w14:paraId="17036DD8" w14:textId="77777777" w:rsidR="00022EBE" w:rsidRPr="00BE337C" w:rsidRDefault="00022EBE" w:rsidP="00022EBE">
            <w:pPr>
              <w:tabs>
                <w:tab w:val="left" w:pos="5400"/>
              </w:tabs>
              <w:rPr>
                <w:sz w:val="20"/>
              </w:rPr>
            </w:pPr>
            <w:r w:rsidRPr="00BE337C">
              <w:rPr>
                <w:sz w:val="20"/>
              </w:rPr>
              <w:t>Give the source of funding and the role of the funders for the present study and, if applicable, for the original study on which the present article is based</w:t>
            </w:r>
          </w:p>
        </w:tc>
        <w:tc>
          <w:tcPr>
            <w:tcW w:w="1294" w:type="dxa"/>
          </w:tcPr>
          <w:p w14:paraId="7999A6F8" w14:textId="1D572651" w:rsidR="00022EBE" w:rsidRPr="00BE337C" w:rsidRDefault="00022EBE" w:rsidP="004200B6">
            <w:pPr>
              <w:tabs>
                <w:tab w:val="left" w:pos="5400"/>
              </w:tabs>
              <w:rPr>
                <w:sz w:val="20"/>
              </w:rPr>
            </w:pPr>
          </w:p>
        </w:tc>
        <w:tc>
          <w:tcPr>
            <w:tcW w:w="3124" w:type="dxa"/>
          </w:tcPr>
          <w:p w14:paraId="16A77E71" w14:textId="3CC4D63D" w:rsidR="00022EBE" w:rsidRPr="00BE337C" w:rsidRDefault="004F2E25" w:rsidP="00022EBE">
            <w:pPr>
              <w:tabs>
                <w:tab w:val="left" w:pos="5400"/>
              </w:tabs>
              <w:rPr>
                <w:sz w:val="20"/>
              </w:rPr>
            </w:pPr>
            <w:r w:rsidRPr="00F1676B">
              <w:rPr>
                <w:sz w:val="20"/>
              </w:rPr>
              <w:t>See “Financial disclosure</w:t>
            </w:r>
            <w:r w:rsidR="00DB22EB" w:rsidRPr="00F1676B">
              <w:rPr>
                <w:sz w:val="20"/>
              </w:rPr>
              <w:t>”</w:t>
            </w:r>
          </w:p>
        </w:tc>
      </w:tr>
      <w:bookmarkEnd w:id="95"/>
      <w:bookmarkEnd w:id="96"/>
    </w:tbl>
    <w:p w14:paraId="5266E773" w14:textId="77777777" w:rsidR="002602FB" w:rsidRPr="00BE337C" w:rsidRDefault="002602FB" w:rsidP="0022554A">
      <w:pPr>
        <w:pStyle w:val="TableNote"/>
        <w:tabs>
          <w:tab w:val="left" w:pos="5400"/>
        </w:tabs>
        <w:rPr>
          <w:bCs/>
          <w:sz w:val="20"/>
        </w:rPr>
      </w:pPr>
    </w:p>
    <w:p w14:paraId="50CA0F9A" w14:textId="77777777" w:rsidR="00D87AF7" w:rsidRPr="00BE337C" w:rsidRDefault="00D87AF7" w:rsidP="0022554A">
      <w:pPr>
        <w:pStyle w:val="TableNote"/>
        <w:tabs>
          <w:tab w:val="left" w:pos="5400"/>
        </w:tabs>
        <w:rPr>
          <w:sz w:val="20"/>
        </w:rPr>
      </w:pPr>
      <w:r w:rsidRPr="00BE337C">
        <w:rPr>
          <w:bCs/>
          <w:sz w:val="20"/>
        </w:rPr>
        <w:t>*</w:t>
      </w:r>
      <w:r w:rsidRPr="00BE337C">
        <w:rPr>
          <w:sz w:val="20"/>
        </w:rPr>
        <w:t xml:space="preserve">Give information separately for cases and controls in case-control studies and, if applicable, for exposed and unexposed groups in cohort and </w:t>
      </w:r>
      <w:r w:rsidR="004A32C8" w:rsidRPr="00BE337C">
        <w:rPr>
          <w:sz w:val="20"/>
        </w:rPr>
        <w:t>cross-sectional</w:t>
      </w:r>
      <w:r w:rsidRPr="00BE337C">
        <w:rPr>
          <w:sz w:val="20"/>
        </w:rPr>
        <w:t xml:space="preserve"> studies.</w:t>
      </w:r>
    </w:p>
    <w:p w14:paraId="19C86910" w14:textId="77777777" w:rsidR="00A42352" w:rsidRPr="002602FB" w:rsidRDefault="002602FB" w:rsidP="002602FB">
      <w:pPr>
        <w:pStyle w:val="TableNote"/>
        <w:tabs>
          <w:tab w:val="left" w:pos="5400"/>
        </w:tabs>
        <w:rPr>
          <w:sz w:val="20"/>
        </w:rPr>
      </w:pPr>
      <w:r w:rsidRPr="00BE337C">
        <w:rPr>
          <w:b/>
          <w:sz w:val="20"/>
        </w:rPr>
        <w:lastRenderedPageBreak/>
        <w:t>Note:</w:t>
      </w:r>
      <w:r w:rsidRPr="00BE337C">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BE337C">
          <w:rPr>
            <w:sz w:val="20"/>
          </w:rPr>
          <w:t>strobe</w:t>
        </w:r>
      </w:smartTag>
      <w:r w:rsidRPr="00BE337C">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5E52" w14:textId="77777777" w:rsidR="00C14239" w:rsidRDefault="00C14239">
      <w:r>
        <w:separator/>
      </w:r>
    </w:p>
  </w:endnote>
  <w:endnote w:type="continuationSeparator" w:id="0">
    <w:p w14:paraId="5B2D7525" w14:textId="77777777" w:rsidR="00C14239" w:rsidRDefault="00C1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E31C"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B6FF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9101" w14:textId="6FB9BA03"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96B">
      <w:rPr>
        <w:rStyle w:val="PageNumber"/>
        <w:noProof/>
      </w:rPr>
      <w:t>2</w:t>
    </w:r>
    <w:r>
      <w:rPr>
        <w:rStyle w:val="PageNumber"/>
      </w:rPr>
      <w:fldChar w:fldCharType="end"/>
    </w:r>
  </w:p>
  <w:p w14:paraId="13728F29"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3379" w14:textId="77777777" w:rsidR="00C14239" w:rsidRDefault="00C14239">
      <w:r>
        <w:separator/>
      </w:r>
    </w:p>
  </w:footnote>
  <w:footnote w:type="continuationSeparator" w:id="0">
    <w:p w14:paraId="102D11F1" w14:textId="77777777" w:rsidR="00C14239" w:rsidRDefault="00C1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DF3672"/>
    <w:multiLevelType w:val="hybridMultilevel"/>
    <w:tmpl w:val="D26E5C92"/>
    <w:lvl w:ilvl="0" w:tplc="75D6EE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40B99"/>
    <w:multiLevelType w:val="hybridMultilevel"/>
    <w:tmpl w:val="986C1386"/>
    <w:lvl w:ilvl="0" w:tplc="0ED0A9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15858"/>
    <w:multiLevelType w:val="hybridMultilevel"/>
    <w:tmpl w:val="3878E316"/>
    <w:lvl w:ilvl="0" w:tplc="FF38C2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91E41"/>
    <w:multiLevelType w:val="hybridMultilevel"/>
    <w:tmpl w:val="445CEC6C"/>
    <w:lvl w:ilvl="0" w:tplc="A54E32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421FE0"/>
    <w:multiLevelType w:val="hybridMultilevel"/>
    <w:tmpl w:val="2DBAC836"/>
    <w:lvl w:ilvl="0" w:tplc="A2DA06F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B114B"/>
    <w:multiLevelType w:val="hybridMultilevel"/>
    <w:tmpl w:val="C414B6A4"/>
    <w:lvl w:ilvl="0" w:tplc="1F5451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F1AEB"/>
    <w:multiLevelType w:val="hybridMultilevel"/>
    <w:tmpl w:val="AABEB65C"/>
    <w:lvl w:ilvl="0" w:tplc="07CEEE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4467744F"/>
    <w:multiLevelType w:val="hybridMultilevel"/>
    <w:tmpl w:val="138EB59E"/>
    <w:lvl w:ilvl="0" w:tplc="1794074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85308"/>
    <w:multiLevelType w:val="hybridMultilevel"/>
    <w:tmpl w:val="F13653F6"/>
    <w:lvl w:ilvl="0" w:tplc="776281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4A7452"/>
    <w:multiLevelType w:val="hybridMultilevel"/>
    <w:tmpl w:val="F5A8BF38"/>
    <w:lvl w:ilvl="0" w:tplc="8C52A40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E110447"/>
    <w:multiLevelType w:val="hybridMultilevel"/>
    <w:tmpl w:val="270EA3E6"/>
    <w:lvl w:ilvl="0" w:tplc="6B8677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CA251F6"/>
    <w:multiLevelType w:val="hybridMultilevel"/>
    <w:tmpl w:val="DA34A1BE"/>
    <w:lvl w:ilvl="0" w:tplc="D6A4D9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15:restartNumberingAfterBreak="0">
    <w:nsid w:val="79C54845"/>
    <w:multiLevelType w:val="hybridMultilevel"/>
    <w:tmpl w:val="71BA5766"/>
    <w:lvl w:ilvl="0" w:tplc="4A9EE07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A3518"/>
    <w:multiLevelType w:val="hybridMultilevel"/>
    <w:tmpl w:val="2BF85300"/>
    <w:lvl w:ilvl="0" w:tplc="A628FE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36F71"/>
    <w:multiLevelType w:val="hybridMultilevel"/>
    <w:tmpl w:val="CC9C3B14"/>
    <w:lvl w:ilvl="0" w:tplc="E2E287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1"/>
  </w:num>
  <w:num w:numId="3">
    <w:abstractNumId w:val="28"/>
  </w:num>
  <w:num w:numId="4">
    <w:abstractNumId w:val="23"/>
  </w:num>
  <w:num w:numId="5">
    <w:abstractNumId w:val="22"/>
  </w:num>
  <w:num w:numId="6">
    <w:abstractNumId w:val="30"/>
  </w:num>
  <w:num w:numId="7">
    <w:abstractNumId w:val="10"/>
  </w:num>
  <w:num w:numId="8">
    <w:abstractNumId w:val="17"/>
  </w:num>
  <w:num w:numId="9">
    <w:abstractNumId w:val="9"/>
  </w:num>
  <w:num w:numId="10">
    <w:abstractNumId w:val="2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6"/>
  </w:num>
  <w:num w:numId="22">
    <w:abstractNumId w:val="18"/>
  </w:num>
  <w:num w:numId="23">
    <w:abstractNumId w:val="34"/>
  </w:num>
  <w:num w:numId="24">
    <w:abstractNumId w:val="35"/>
  </w:num>
  <w:num w:numId="25">
    <w:abstractNumId w:val="31"/>
  </w:num>
  <w:num w:numId="26">
    <w:abstractNumId w:val="13"/>
  </w:num>
  <w:num w:numId="27">
    <w:abstractNumId w:val="14"/>
  </w:num>
  <w:num w:numId="28">
    <w:abstractNumId w:val="27"/>
  </w:num>
  <w:num w:numId="29">
    <w:abstractNumId w:val="25"/>
  </w:num>
  <w:num w:numId="30">
    <w:abstractNumId w:val="24"/>
  </w:num>
  <w:num w:numId="31">
    <w:abstractNumId w:val="33"/>
  </w:num>
  <w:num w:numId="32">
    <w:abstractNumId w:val="29"/>
  </w:num>
  <w:num w:numId="33">
    <w:abstractNumId w:val="19"/>
  </w:num>
  <w:num w:numId="34">
    <w:abstractNumId w:val="15"/>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1F17"/>
    <w:rsid w:val="00002974"/>
    <w:rsid w:val="00005F0F"/>
    <w:rsid w:val="00005F5D"/>
    <w:rsid w:val="00020C03"/>
    <w:rsid w:val="00021BCF"/>
    <w:rsid w:val="00022331"/>
    <w:rsid w:val="00022EBE"/>
    <w:rsid w:val="00023515"/>
    <w:rsid w:val="00023870"/>
    <w:rsid w:val="000354EF"/>
    <w:rsid w:val="00042BFB"/>
    <w:rsid w:val="00053C42"/>
    <w:rsid w:val="000601C7"/>
    <w:rsid w:val="00065BB5"/>
    <w:rsid w:val="00071063"/>
    <w:rsid w:val="000742E3"/>
    <w:rsid w:val="000750F7"/>
    <w:rsid w:val="00075805"/>
    <w:rsid w:val="0007609B"/>
    <w:rsid w:val="00085DED"/>
    <w:rsid w:val="00093E3A"/>
    <w:rsid w:val="00097AE4"/>
    <w:rsid w:val="000B2092"/>
    <w:rsid w:val="000B6FD4"/>
    <w:rsid w:val="000E12F5"/>
    <w:rsid w:val="000E3193"/>
    <w:rsid w:val="000E6342"/>
    <w:rsid w:val="000E691B"/>
    <w:rsid w:val="000F26ED"/>
    <w:rsid w:val="00105B8D"/>
    <w:rsid w:val="00110BFB"/>
    <w:rsid w:val="00111B44"/>
    <w:rsid w:val="00113D17"/>
    <w:rsid w:val="001250EC"/>
    <w:rsid w:val="00132DC0"/>
    <w:rsid w:val="00134AAC"/>
    <w:rsid w:val="001526E0"/>
    <w:rsid w:val="00154BD2"/>
    <w:rsid w:val="0018184B"/>
    <w:rsid w:val="0018247B"/>
    <w:rsid w:val="00187830"/>
    <w:rsid w:val="00191A23"/>
    <w:rsid w:val="001A0823"/>
    <w:rsid w:val="001A495C"/>
    <w:rsid w:val="001A67E3"/>
    <w:rsid w:val="001A75E9"/>
    <w:rsid w:val="001B120C"/>
    <w:rsid w:val="001C3BC0"/>
    <w:rsid w:val="001C5993"/>
    <w:rsid w:val="001D0811"/>
    <w:rsid w:val="001E02AD"/>
    <w:rsid w:val="001E106F"/>
    <w:rsid w:val="001F36EF"/>
    <w:rsid w:val="002031B3"/>
    <w:rsid w:val="0020550C"/>
    <w:rsid w:val="002055BF"/>
    <w:rsid w:val="00205B73"/>
    <w:rsid w:val="0021265E"/>
    <w:rsid w:val="00215E03"/>
    <w:rsid w:val="00224268"/>
    <w:rsid w:val="0022554A"/>
    <w:rsid w:val="00226A29"/>
    <w:rsid w:val="00232005"/>
    <w:rsid w:val="00237428"/>
    <w:rsid w:val="00250272"/>
    <w:rsid w:val="002552FD"/>
    <w:rsid w:val="002602FB"/>
    <w:rsid w:val="002757BB"/>
    <w:rsid w:val="00286DE9"/>
    <w:rsid w:val="002A341F"/>
    <w:rsid w:val="002A571F"/>
    <w:rsid w:val="002B0049"/>
    <w:rsid w:val="002B385C"/>
    <w:rsid w:val="002C731D"/>
    <w:rsid w:val="002D06D0"/>
    <w:rsid w:val="002D1098"/>
    <w:rsid w:val="002D1ABE"/>
    <w:rsid w:val="002D6802"/>
    <w:rsid w:val="002E3545"/>
    <w:rsid w:val="002E66CD"/>
    <w:rsid w:val="002E6994"/>
    <w:rsid w:val="002E6EEB"/>
    <w:rsid w:val="002F1A87"/>
    <w:rsid w:val="002F1DDA"/>
    <w:rsid w:val="003041D6"/>
    <w:rsid w:val="00304D62"/>
    <w:rsid w:val="003128DA"/>
    <w:rsid w:val="00317DC7"/>
    <w:rsid w:val="00326ED6"/>
    <w:rsid w:val="00334906"/>
    <w:rsid w:val="003354B7"/>
    <w:rsid w:val="00341FBD"/>
    <w:rsid w:val="00345F19"/>
    <w:rsid w:val="003508EF"/>
    <w:rsid w:val="00372129"/>
    <w:rsid w:val="00376791"/>
    <w:rsid w:val="00385050"/>
    <w:rsid w:val="003934E8"/>
    <w:rsid w:val="003A3FDD"/>
    <w:rsid w:val="00402464"/>
    <w:rsid w:val="00404D2C"/>
    <w:rsid w:val="004060E6"/>
    <w:rsid w:val="00407BEA"/>
    <w:rsid w:val="004155E7"/>
    <w:rsid w:val="00416FE0"/>
    <w:rsid w:val="004200B6"/>
    <w:rsid w:val="0042120A"/>
    <w:rsid w:val="004242AD"/>
    <w:rsid w:val="004243C8"/>
    <w:rsid w:val="004408E7"/>
    <w:rsid w:val="00447E7B"/>
    <w:rsid w:val="0045419E"/>
    <w:rsid w:val="0045734B"/>
    <w:rsid w:val="00462E79"/>
    <w:rsid w:val="00465542"/>
    <w:rsid w:val="00472DF5"/>
    <w:rsid w:val="004803FB"/>
    <w:rsid w:val="00490B91"/>
    <w:rsid w:val="00494BCD"/>
    <w:rsid w:val="00495204"/>
    <w:rsid w:val="004955A0"/>
    <w:rsid w:val="004A0457"/>
    <w:rsid w:val="004A31B3"/>
    <w:rsid w:val="004A32C8"/>
    <w:rsid w:val="004A3A40"/>
    <w:rsid w:val="004A5D92"/>
    <w:rsid w:val="004B6880"/>
    <w:rsid w:val="004D1557"/>
    <w:rsid w:val="004D6A81"/>
    <w:rsid w:val="004E0E41"/>
    <w:rsid w:val="004E1263"/>
    <w:rsid w:val="004F1938"/>
    <w:rsid w:val="004F2E25"/>
    <w:rsid w:val="004F415F"/>
    <w:rsid w:val="005044A6"/>
    <w:rsid w:val="00512EFB"/>
    <w:rsid w:val="00517788"/>
    <w:rsid w:val="005278F2"/>
    <w:rsid w:val="00546467"/>
    <w:rsid w:val="00546DB8"/>
    <w:rsid w:val="00553B83"/>
    <w:rsid w:val="00561AC3"/>
    <w:rsid w:val="00566362"/>
    <w:rsid w:val="00572E30"/>
    <w:rsid w:val="005747B1"/>
    <w:rsid w:val="00583BBC"/>
    <w:rsid w:val="00590F64"/>
    <w:rsid w:val="005923E5"/>
    <w:rsid w:val="005A5D0B"/>
    <w:rsid w:val="005B567D"/>
    <w:rsid w:val="005C6274"/>
    <w:rsid w:val="005D0CFC"/>
    <w:rsid w:val="005D19F4"/>
    <w:rsid w:val="005D5744"/>
    <w:rsid w:val="005F254A"/>
    <w:rsid w:val="00607668"/>
    <w:rsid w:val="00612DEB"/>
    <w:rsid w:val="006149D3"/>
    <w:rsid w:val="00626F25"/>
    <w:rsid w:val="00630AA6"/>
    <w:rsid w:val="00632CE0"/>
    <w:rsid w:val="00641A14"/>
    <w:rsid w:val="00647F16"/>
    <w:rsid w:val="006507E6"/>
    <w:rsid w:val="0065657F"/>
    <w:rsid w:val="006636DC"/>
    <w:rsid w:val="00665CB5"/>
    <w:rsid w:val="00666336"/>
    <w:rsid w:val="00683E42"/>
    <w:rsid w:val="0068790A"/>
    <w:rsid w:val="0069217C"/>
    <w:rsid w:val="006A2F18"/>
    <w:rsid w:val="006A5DD9"/>
    <w:rsid w:val="006A677D"/>
    <w:rsid w:val="006B2915"/>
    <w:rsid w:val="006B56D7"/>
    <w:rsid w:val="006B5B03"/>
    <w:rsid w:val="006C0B63"/>
    <w:rsid w:val="006C712B"/>
    <w:rsid w:val="006C7601"/>
    <w:rsid w:val="006D16AA"/>
    <w:rsid w:val="006E1560"/>
    <w:rsid w:val="006E51F8"/>
    <w:rsid w:val="006F66AC"/>
    <w:rsid w:val="00701AC5"/>
    <w:rsid w:val="00703AC3"/>
    <w:rsid w:val="007102D9"/>
    <w:rsid w:val="00711D81"/>
    <w:rsid w:val="00717173"/>
    <w:rsid w:val="00722A9F"/>
    <w:rsid w:val="00725397"/>
    <w:rsid w:val="0074576C"/>
    <w:rsid w:val="00747E76"/>
    <w:rsid w:val="00750595"/>
    <w:rsid w:val="00754BA5"/>
    <w:rsid w:val="00754E65"/>
    <w:rsid w:val="007562C3"/>
    <w:rsid w:val="00762257"/>
    <w:rsid w:val="00771094"/>
    <w:rsid w:val="0077524C"/>
    <w:rsid w:val="00780A7C"/>
    <w:rsid w:val="00781B3F"/>
    <w:rsid w:val="00784B84"/>
    <w:rsid w:val="00784CAF"/>
    <w:rsid w:val="007C53B3"/>
    <w:rsid w:val="007C72F6"/>
    <w:rsid w:val="007D48FC"/>
    <w:rsid w:val="007D6DE3"/>
    <w:rsid w:val="007E2C08"/>
    <w:rsid w:val="007F3955"/>
    <w:rsid w:val="007F7FA0"/>
    <w:rsid w:val="008110FD"/>
    <w:rsid w:val="00816966"/>
    <w:rsid w:val="00817D26"/>
    <w:rsid w:val="00821CD4"/>
    <w:rsid w:val="00831711"/>
    <w:rsid w:val="00832A30"/>
    <w:rsid w:val="00833047"/>
    <w:rsid w:val="00835086"/>
    <w:rsid w:val="00836CB7"/>
    <w:rsid w:val="008414EF"/>
    <w:rsid w:val="008423A7"/>
    <w:rsid w:val="008440CC"/>
    <w:rsid w:val="0084475A"/>
    <w:rsid w:val="00844A8A"/>
    <w:rsid w:val="008505B8"/>
    <w:rsid w:val="00866B39"/>
    <w:rsid w:val="00872A90"/>
    <w:rsid w:val="00883F02"/>
    <w:rsid w:val="0089107E"/>
    <w:rsid w:val="00891604"/>
    <w:rsid w:val="008A01BA"/>
    <w:rsid w:val="008C2734"/>
    <w:rsid w:val="008D225B"/>
    <w:rsid w:val="008D4083"/>
    <w:rsid w:val="008E542F"/>
    <w:rsid w:val="008F0D64"/>
    <w:rsid w:val="00901F4F"/>
    <w:rsid w:val="009123D5"/>
    <w:rsid w:val="00921BF8"/>
    <w:rsid w:val="009367F9"/>
    <w:rsid w:val="00943584"/>
    <w:rsid w:val="00944A9C"/>
    <w:rsid w:val="009457C7"/>
    <w:rsid w:val="00960EA0"/>
    <w:rsid w:val="00962741"/>
    <w:rsid w:val="009642BE"/>
    <w:rsid w:val="00971A44"/>
    <w:rsid w:val="00973ED5"/>
    <w:rsid w:val="00976EE1"/>
    <w:rsid w:val="009843C3"/>
    <w:rsid w:val="009872CC"/>
    <w:rsid w:val="009A3C2E"/>
    <w:rsid w:val="009B10F1"/>
    <w:rsid w:val="009B368D"/>
    <w:rsid w:val="009C24D4"/>
    <w:rsid w:val="009C4332"/>
    <w:rsid w:val="009C4EED"/>
    <w:rsid w:val="009D3F88"/>
    <w:rsid w:val="009E0429"/>
    <w:rsid w:val="009E1678"/>
    <w:rsid w:val="009E3207"/>
    <w:rsid w:val="009E3D5C"/>
    <w:rsid w:val="009F5211"/>
    <w:rsid w:val="00A00A6F"/>
    <w:rsid w:val="00A11154"/>
    <w:rsid w:val="00A13C96"/>
    <w:rsid w:val="00A157E0"/>
    <w:rsid w:val="00A3018F"/>
    <w:rsid w:val="00A42352"/>
    <w:rsid w:val="00A42E69"/>
    <w:rsid w:val="00A43DFD"/>
    <w:rsid w:val="00A527E4"/>
    <w:rsid w:val="00A558B4"/>
    <w:rsid w:val="00A5640D"/>
    <w:rsid w:val="00A6474E"/>
    <w:rsid w:val="00A6770F"/>
    <w:rsid w:val="00A729D6"/>
    <w:rsid w:val="00A938BF"/>
    <w:rsid w:val="00A97C53"/>
    <w:rsid w:val="00AB320A"/>
    <w:rsid w:val="00AB771C"/>
    <w:rsid w:val="00AB7BC4"/>
    <w:rsid w:val="00AC085E"/>
    <w:rsid w:val="00AE23EB"/>
    <w:rsid w:val="00AE2C57"/>
    <w:rsid w:val="00AF4615"/>
    <w:rsid w:val="00B05A79"/>
    <w:rsid w:val="00B20C87"/>
    <w:rsid w:val="00B25927"/>
    <w:rsid w:val="00B31958"/>
    <w:rsid w:val="00B33C31"/>
    <w:rsid w:val="00B344C5"/>
    <w:rsid w:val="00B3696F"/>
    <w:rsid w:val="00B43529"/>
    <w:rsid w:val="00B50DF8"/>
    <w:rsid w:val="00B54EA0"/>
    <w:rsid w:val="00B60EFB"/>
    <w:rsid w:val="00B630EB"/>
    <w:rsid w:val="00B65366"/>
    <w:rsid w:val="00B77807"/>
    <w:rsid w:val="00B861F8"/>
    <w:rsid w:val="00B92DDE"/>
    <w:rsid w:val="00B940E9"/>
    <w:rsid w:val="00B959CB"/>
    <w:rsid w:val="00BA1206"/>
    <w:rsid w:val="00BA7884"/>
    <w:rsid w:val="00BC7FE6"/>
    <w:rsid w:val="00BD24D8"/>
    <w:rsid w:val="00BD2942"/>
    <w:rsid w:val="00BD4381"/>
    <w:rsid w:val="00BE2C6D"/>
    <w:rsid w:val="00BE337C"/>
    <w:rsid w:val="00BE3709"/>
    <w:rsid w:val="00BE41C9"/>
    <w:rsid w:val="00BF57F3"/>
    <w:rsid w:val="00C00008"/>
    <w:rsid w:val="00C0478E"/>
    <w:rsid w:val="00C14239"/>
    <w:rsid w:val="00C21FB7"/>
    <w:rsid w:val="00C23AF3"/>
    <w:rsid w:val="00C2613A"/>
    <w:rsid w:val="00C40EC5"/>
    <w:rsid w:val="00C40FD6"/>
    <w:rsid w:val="00C4785E"/>
    <w:rsid w:val="00C504CA"/>
    <w:rsid w:val="00C72A4B"/>
    <w:rsid w:val="00C822F9"/>
    <w:rsid w:val="00C834A0"/>
    <w:rsid w:val="00C926D9"/>
    <w:rsid w:val="00C9665D"/>
    <w:rsid w:val="00C972C2"/>
    <w:rsid w:val="00CA320C"/>
    <w:rsid w:val="00CA347B"/>
    <w:rsid w:val="00CA3651"/>
    <w:rsid w:val="00CA489B"/>
    <w:rsid w:val="00CB5579"/>
    <w:rsid w:val="00CB6CC8"/>
    <w:rsid w:val="00CC3F19"/>
    <w:rsid w:val="00CC4C93"/>
    <w:rsid w:val="00CE34A0"/>
    <w:rsid w:val="00CF796B"/>
    <w:rsid w:val="00D035F8"/>
    <w:rsid w:val="00D120D2"/>
    <w:rsid w:val="00D20D7C"/>
    <w:rsid w:val="00D26FCA"/>
    <w:rsid w:val="00D40F40"/>
    <w:rsid w:val="00D43820"/>
    <w:rsid w:val="00D50EA3"/>
    <w:rsid w:val="00D56F90"/>
    <w:rsid w:val="00D63F20"/>
    <w:rsid w:val="00D6407C"/>
    <w:rsid w:val="00D64D7D"/>
    <w:rsid w:val="00D87AF7"/>
    <w:rsid w:val="00D925B4"/>
    <w:rsid w:val="00D95ECD"/>
    <w:rsid w:val="00D96CAE"/>
    <w:rsid w:val="00DA120C"/>
    <w:rsid w:val="00DA2DDC"/>
    <w:rsid w:val="00DB22EB"/>
    <w:rsid w:val="00DB26D2"/>
    <w:rsid w:val="00DC0D5F"/>
    <w:rsid w:val="00DC14EF"/>
    <w:rsid w:val="00DC4BEF"/>
    <w:rsid w:val="00DC6958"/>
    <w:rsid w:val="00E10628"/>
    <w:rsid w:val="00E13DCA"/>
    <w:rsid w:val="00E144CD"/>
    <w:rsid w:val="00E20635"/>
    <w:rsid w:val="00E2292B"/>
    <w:rsid w:val="00E23FD3"/>
    <w:rsid w:val="00E341E9"/>
    <w:rsid w:val="00E349D1"/>
    <w:rsid w:val="00E47532"/>
    <w:rsid w:val="00E6084E"/>
    <w:rsid w:val="00E671BD"/>
    <w:rsid w:val="00E74D30"/>
    <w:rsid w:val="00E83AF9"/>
    <w:rsid w:val="00E85791"/>
    <w:rsid w:val="00E91F53"/>
    <w:rsid w:val="00E9442B"/>
    <w:rsid w:val="00EA6E28"/>
    <w:rsid w:val="00EB1E7B"/>
    <w:rsid w:val="00EB7EA4"/>
    <w:rsid w:val="00EC1E19"/>
    <w:rsid w:val="00EC63A6"/>
    <w:rsid w:val="00F0752A"/>
    <w:rsid w:val="00F12A99"/>
    <w:rsid w:val="00F1676B"/>
    <w:rsid w:val="00F378D0"/>
    <w:rsid w:val="00F43D8A"/>
    <w:rsid w:val="00F44048"/>
    <w:rsid w:val="00F47137"/>
    <w:rsid w:val="00F60D6F"/>
    <w:rsid w:val="00F62B83"/>
    <w:rsid w:val="00F76A7F"/>
    <w:rsid w:val="00F83763"/>
    <w:rsid w:val="00F838E1"/>
    <w:rsid w:val="00F842DC"/>
    <w:rsid w:val="00F876FF"/>
    <w:rsid w:val="00F933F3"/>
    <w:rsid w:val="00F93A89"/>
    <w:rsid w:val="00F970FA"/>
    <w:rsid w:val="00FA08B6"/>
    <w:rsid w:val="00FA2721"/>
    <w:rsid w:val="00FA3D11"/>
    <w:rsid w:val="00FB0C89"/>
    <w:rsid w:val="00FB4CE6"/>
    <w:rsid w:val="00FC2F01"/>
    <w:rsid w:val="00FE1CBC"/>
    <w:rsid w:val="00FF4DA0"/>
    <w:rsid w:val="00FF4E6B"/>
    <w:rsid w:val="00FF53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32472F"/>
  <w15:docId w15:val="{23AFE615-8461-4267-B3A4-C8530B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6E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329</TotalTime>
  <Pages>22</Pages>
  <Words>3844</Words>
  <Characters>21913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Martin</cp:lastModifiedBy>
  <cp:revision>265</cp:revision>
  <cp:lastPrinted>2014-09-01T08:36:00Z</cp:lastPrinted>
  <dcterms:created xsi:type="dcterms:W3CDTF">2014-09-01T14:20:00Z</dcterms:created>
  <dcterms:modified xsi:type="dcterms:W3CDTF">2016-06-01T12:18:00Z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