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5A" w:rsidRDefault="00FC065A" w:rsidP="00FC065A">
      <w:pPr>
        <w:spacing w:line="480" w:lineRule="auto"/>
        <w:ind w:rightChars="-210" w:right="-441"/>
        <w:rPr>
          <w:rFonts w:ascii="Times New Roman" w:hAnsi="Times New Roman"/>
          <w:sz w:val="24"/>
          <w:szCs w:val="24"/>
        </w:rPr>
      </w:pPr>
      <w:r w:rsidRPr="0023779F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7</w:t>
      </w:r>
      <w:r w:rsidRPr="0023779F">
        <w:rPr>
          <w:rFonts w:ascii="Times New Roman" w:hAnsi="Times New Roman"/>
          <w:b/>
          <w:sz w:val="24"/>
          <w:szCs w:val="24"/>
        </w:rPr>
        <w:t xml:space="preserve"> Table </w:t>
      </w:r>
      <w:r>
        <w:rPr>
          <w:rFonts w:ascii="Times New Roman" w:hAnsi="Times New Roman" w:hint="eastAsia"/>
          <w:sz w:val="24"/>
          <w:szCs w:val="24"/>
        </w:rPr>
        <w:t>Sensitivity</w:t>
      </w:r>
      <w:r w:rsidRPr="00824B9D">
        <w:rPr>
          <w:rFonts w:ascii="Times New Roman" w:hAnsi="Times New Roman" w:hint="eastAsia"/>
          <w:sz w:val="24"/>
          <w:szCs w:val="24"/>
        </w:rPr>
        <w:t xml:space="preserve"> analysis on</w:t>
      </w:r>
      <w:r w:rsidRPr="00824B9D">
        <w:rPr>
          <w:rFonts w:ascii="Times New Roman" w:hAnsi="Times New Roman"/>
          <w:sz w:val="24"/>
          <w:szCs w:val="24"/>
        </w:rPr>
        <w:t xml:space="preserve"> associations </w:t>
      </w:r>
      <w:r w:rsidR="0026602F">
        <w:rPr>
          <w:rFonts w:ascii="Times New Roman" w:hAnsi="Times New Roman"/>
          <w:sz w:val="24"/>
          <w:szCs w:val="24"/>
        </w:rPr>
        <w:t>between</w:t>
      </w:r>
      <w:r w:rsidR="0026602F">
        <w:rPr>
          <w:rFonts w:ascii="Times New Roman" w:hAnsi="Times New Roman"/>
          <w:sz w:val="24"/>
          <w:szCs w:val="24"/>
        </w:rPr>
        <w:t xml:space="preserve"> </w:t>
      </w:r>
      <w:r w:rsidR="00562E62">
        <w:rPr>
          <w:rFonts w:ascii="Times New Roman" w:hAnsi="Times New Roman" w:hint="eastAsia"/>
          <w:sz w:val="24"/>
          <w:szCs w:val="24"/>
        </w:rPr>
        <w:t>MPAH</w:t>
      </w:r>
      <w:r w:rsidRPr="00824B9D">
        <w:rPr>
          <w:rFonts w:ascii="Times New Roman" w:hAnsi="Times New Roman"/>
          <w:sz w:val="24"/>
          <w:szCs w:val="24"/>
        </w:rPr>
        <w:t xml:space="preserve"> and </w:t>
      </w:r>
      <w:r w:rsidR="00562E62">
        <w:rPr>
          <w:rFonts w:ascii="Times New Roman" w:hAnsi="Times New Roman"/>
          <w:sz w:val="24"/>
          <w:szCs w:val="24"/>
        </w:rPr>
        <w:t>T2D</w:t>
      </w:r>
      <w:r w:rsidR="0026602F">
        <w:rPr>
          <w:rFonts w:ascii="Times New Roman" w:hAnsi="Times New Roman"/>
          <w:sz w:val="24"/>
          <w:szCs w:val="24"/>
        </w:rPr>
        <w:t xml:space="preserve"> risk</w:t>
      </w:r>
      <w:r>
        <w:rPr>
          <w:rFonts w:ascii="Times New Roman" w:hAnsi="Times New Roman"/>
          <w:sz w:val="24"/>
          <w:szCs w:val="24"/>
        </w:rPr>
        <w:t xml:space="preserve"> by further adjusting for other socioeconomic variables available in the </w:t>
      </w:r>
      <w:r w:rsidR="00562E62">
        <w:rPr>
          <w:rFonts w:ascii="Times New Roman" w:hAnsi="Times New Roman"/>
          <w:sz w:val="24"/>
          <w:szCs w:val="24"/>
        </w:rPr>
        <w:t>NHS</w:t>
      </w:r>
      <w:r w:rsidR="00266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02F" w:rsidRPr="00562E62">
        <w:rPr>
          <w:rFonts w:ascii="Times New Roman" w:hAnsi="Times New Roman"/>
          <w:bCs/>
          <w:sz w:val="24"/>
          <w:szCs w:val="24"/>
          <w:vertAlign w:val="superscript"/>
        </w:rPr>
        <w:t>a</w:t>
      </w:r>
      <w:bookmarkStart w:id="0" w:name="_GoBack"/>
      <w:bookmarkEnd w:id="0"/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1987"/>
        <w:gridCol w:w="703"/>
        <w:gridCol w:w="2008"/>
        <w:gridCol w:w="2008"/>
        <w:gridCol w:w="2008"/>
        <w:gridCol w:w="986"/>
      </w:tblGrid>
      <w:tr w:rsidR="00FC065A" w:rsidRPr="00A47E30" w:rsidTr="0026602F">
        <w:trPr>
          <w:trHeight w:val="30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65A" w:rsidRPr="00D01024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915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 xml:space="preserve">Frequencies of </w:t>
            </w:r>
            <w:r w:rsidR="00915DC7">
              <w:rPr>
                <w:rFonts w:ascii="Times New Roman" w:hAnsi="Times New Roman"/>
                <w:b/>
                <w:sz w:val="24"/>
                <w:szCs w:val="24"/>
              </w:rPr>
              <w:t>consuming</w:t>
            </w:r>
            <w:r w:rsidR="00915DC7" w:rsidRPr="00A47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E62">
              <w:rPr>
                <w:rFonts w:ascii="Times New Roman" w:hAnsi="Times New Roman"/>
                <w:b/>
                <w:sz w:val="24"/>
                <w:szCs w:val="24"/>
              </w:rPr>
              <w:t>MPSH</w:t>
            </w: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, times/week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  <w:r w:rsidRPr="00A47E30">
              <w:rPr>
                <w:rFonts w:ascii="Times New Roman" w:hAnsi="Times New Roman"/>
                <w:sz w:val="24"/>
                <w:szCs w:val="24"/>
                <w:vertAlign w:val="subscript"/>
              </w:rPr>
              <w:t>trend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8E6629" w:rsidP="00266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Overall</w:t>
            </w:r>
            <w:r w:rsidRPr="00A47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MPAH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FC065A" w:rsidRPr="00A47E30" w:rsidRDefault="00FC065A" w:rsidP="00E7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0.98 (0.90, 1.06)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0.99 (0.91,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0.86 (0.80, 0.94)</w:t>
            </w:r>
          </w:p>
        </w:tc>
        <w:tc>
          <w:tcPr>
            <w:tcW w:w="0" w:type="auto"/>
            <w:shd w:val="clear" w:color="auto" w:fill="auto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 w:rsidR="008E6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FC065A" w:rsidRPr="00A47E30" w:rsidRDefault="00FC065A" w:rsidP="00E7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2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0.97 (0.89, 1.06)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1.00 (0.91,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0.87 (0.80, 0.94)</w:t>
            </w:r>
          </w:p>
        </w:tc>
        <w:tc>
          <w:tcPr>
            <w:tcW w:w="0" w:type="auto"/>
            <w:shd w:val="clear" w:color="auto" w:fill="auto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 w:hint="eastAsia"/>
                <w:bCs/>
                <w:sz w:val="24"/>
                <w:szCs w:val="24"/>
              </w:rPr>
              <w:t>&lt;</w:t>
            </w: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 w:rsidR="008E6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FC065A" w:rsidRPr="00A47E30" w:rsidRDefault="00FC065A" w:rsidP="00E7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0.97 (0.90, 1.06)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0.99 (0.91,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0.86 (0.79, 0.93)</w:t>
            </w:r>
          </w:p>
        </w:tc>
        <w:tc>
          <w:tcPr>
            <w:tcW w:w="0" w:type="auto"/>
            <w:shd w:val="clear" w:color="auto" w:fill="auto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 w:hint="eastAsia"/>
                <w:bCs/>
                <w:sz w:val="24"/>
                <w:szCs w:val="24"/>
              </w:rPr>
              <w:t>&lt;</w:t>
            </w: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 w:rsidR="008E6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FC065A" w:rsidRPr="00A47E30" w:rsidRDefault="00FC065A" w:rsidP="00E7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4</w:t>
            </w:r>
            <w:r w:rsidRPr="00873DC2"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0.97 (0.90, 1.06)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0.99 (0.91,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0.86 (0.79, 0.94)</w:t>
            </w:r>
          </w:p>
        </w:tc>
        <w:tc>
          <w:tcPr>
            <w:tcW w:w="0" w:type="auto"/>
            <w:shd w:val="clear" w:color="auto" w:fill="auto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 w:hint="eastAsia"/>
                <w:bCs/>
                <w:sz w:val="24"/>
                <w:szCs w:val="24"/>
              </w:rPr>
              <w:t>&lt;</w:t>
            </w: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 w:rsidR="008E6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65A" w:rsidRPr="00A47E30" w:rsidRDefault="00FC065A" w:rsidP="00E7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5</w:t>
            </w:r>
            <w:r w:rsidRPr="00873DC2">
              <w:rPr>
                <w:rFonts w:ascii="Times New Roman" w:hAnsi="Times New Roman"/>
                <w:vertAlign w:val="superscript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0.98 (0.90, 1.07)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1.00 (0.92, 1.10)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65A" w:rsidRPr="00462698" w:rsidRDefault="00FC065A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0.87 (0.</w:t>
            </w:r>
            <w:r w:rsidR="008E6629" w:rsidRPr="004626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E66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, 0.95)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 w:rsidR="008E66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8E6629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Midday MPAH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1.00 (0.93, 1.08)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0.92 (0.87, 0.98)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2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1.01 (0.94,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0.93 (0.88, 0.99)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1.00 (0.93, 1.08)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0.92 (0.87, 0.98)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4</w:t>
            </w:r>
            <w:r w:rsidRPr="00873DC2"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1.00 (0.93, 1.08)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0.92 (0.87, 0.98)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5</w:t>
            </w:r>
            <w:r w:rsidRPr="00873DC2">
              <w:rPr>
                <w:rFonts w:ascii="Times New Roman" w:hAnsi="Times New Roman"/>
                <w:vertAlign w:val="superscript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1.01 (0.93, 1.0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0.93 (0.88, 0.99)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8E6629" w:rsidP="00E71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Evening MPAH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A47E30" w:rsidRDefault="00FC065A" w:rsidP="00E71A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65A" w:rsidRPr="00462698" w:rsidRDefault="00FC065A" w:rsidP="00E71A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0.95 (0.83, 1.08)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0.84 (0.75, 0.95)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2</w:t>
            </w:r>
            <w:r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0.96 (0.84,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0.85 (0.75, 0.96)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0.95 (0.83,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0.84 (0.75, 0.95)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4</w:t>
            </w:r>
            <w:r w:rsidRPr="00873DC2"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0.95 (0.83, 1.09)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0.84 (0.75, 0.95)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</w:tr>
      <w:tr w:rsidR="008E6629" w:rsidRPr="00A47E30" w:rsidTr="0026602F">
        <w:trPr>
          <w:trHeight w:val="304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A47E30" w:rsidRDefault="008E6629" w:rsidP="008E6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Model 5</w:t>
            </w:r>
            <w:r w:rsidRPr="00873DC2">
              <w:rPr>
                <w:rFonts w:ascii="Times New Roman" w:hAnsi="Times New Roman"/>
                <w:vertAlign w:val="superscript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629" w:rsidRPr="00A47E30" w:rsidRDefault="008E6629" w:rsidP="008E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E30">
              <w:rPr>
                <w:rFonts w:ascii="Times New Roman" w:hAnsi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0.96 (0.84, 1.09)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698">
              <w:rPr>
                <w:rFonts w:ascii="Times New Roman" w:hAnsi="Times New Roman"/>
                <w:bCs/>
                <w:sz w:val="24"/>
                <w:szCs w:val="24"/>
              </w:rPr>
              <w:t>0.85 (0.75, 0.96)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629" w:rsidRPr="00462698" w:rsidRDefault="008E6629" w:rsidP="008E66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F72"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</w:tr>
    </w:tbl>
    <w:p w:rsidR="0026602F" w:rsidRPr="00FE138C" w:rsidRDefault="0026602F" w:rsidP="0026602F">
      <w:pPr>
        <w:spacing w:line="360" w:lineRule="auto"/>
        <w:ind w:rightChars="-25" w:right="-53"/>
        <w:jc w:val="left"/>
      </w:pPr>
      <w:r w:rsidRPr="00FE138C">
        <w:rPr>
          <w:rFonts w:ascii="Times New Roman" w:hAnsi="Times New Roman"/>
          <w:sz w:val="24"/>
          <w:vertAlign w:val="superscript"/>
        </w:rPr>
        <w:t>a</w:t>
      </w:r>
      <w:r w:rsidRPr="00FE138C">
        <w:rPr>
          <w:rFonts w:ascii="Times New Roman" w:hAnsi="Times New Roman"/>
          <w:sz w:val="24"/>
          <w:szCs w:val="24"/>
        </w:rPr>
        <w:t xml:space="preserve"> Estimates are calculated in Cox proportional hazards model</w:t>
      </w:r>
      <w:r>
        <w:rPr>
          <w:rFonts w:ascii="Times New Roman" w:hAnsi="Times New Roman"/>
          <w:sz w:val="24"/>
          <w:szCs w:val="24"/>
        </w:rPr>
        <w:t xml:space="preserve"> after </w:t>
      </w:r>
      <w:r w:rsidRPr="00FE138C">
        <w:rPr>
          <w:rFonts w:ascii="Times New Roman" w:hAnsi="Times New Roman"/>
          <w:sz w:val="24"/>
          <w:szCs w:val="24"/>
        </w:rPr>
        <w:t>adjust</w:t>
      </w:r>
      <w:r>
        <w:rPr>
          <w:rFonts w:ascii="Times New Roman" w:hAnsi="Times New Roman"/>
          <w:sz w:val="24"/>
          <w:szCs w:val="24"/>
        </w:rPr>
        <w:t xml:space="preserve">ment of </w:t>
      </w:r>
      <w:r w:rsidRPr="00FE138C"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138C">
        <w:rPr>
          <w:rFonts w:ascii="Times New Roman" w:hAnsi="Times New Roman"/>
          <w:sz w:val="24"/>
          <w:szCs w:val="24"/>
        </w:rPr>
        <w:t>ethnicity (Caucasian, African American, Hispanic, or Asian), marital status (married, not married, or missing), employment status (full-time work, part-time work, retirement, or missing), number of children (0, 1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2, 3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 xml:space="preserve">4, 5 or more, or missing), and family </w:t>
      </w:r>
      <w:r>
        <w:rPr>
          <w:rFonts w:ascii="Times New Roman" w:hAnsi="Times New Roman"/>
          <w:sz w:val="24"/>
          <w:szCs w:val="24"/>
        </w:rPr>
        <w:t xml:space="preserve">history of diabetes (yes or no), </w:t>
      </w:r>
      <w:r w:rsidRPr="00FE138C">
        <w:rPr>
          <w:rFonts w:ascii="Times New Roman" w:hAnsi="Times New Roman"/>
          <w:sz w:val="24"/>
          <w:szCs w:val="24"/>
        </w:rPr>
        <w:t>smoking status (never smoked, past smoker, or currently smokes 1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14 cigarettes/d, currently smokes 15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24 cigarettes/d, or currently smokes ≥25 cigarettes/d, or missing), alcohol intake (gram/d: 0, 0.1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4.9, 5.0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14.9, or &gt;15.0 in women; 0, 0.1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4.9, 5.0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29.9, or &gt;30.0 in men; or missing), multivitamin use (yes, no, or missing), menopause status and postmenopausal hormones use (women only: premenopause, postmenopause [never, former, or current hormone use], or missing), physical activity (METs/week: 0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2.9, 3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8.9, 9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17.9, 18</w:t>
      </w:r>
      <w:r w:rsidRPr="00FE138C">
        <w:rPr>
          <w:rFonts w:ascii="Times New Roman" w:hAnsi="Times New Roman" w:cs="Times New Roman"/>
          <w:sz w:val="24"/>
          <w:szCs w:val="24"/>
        </w:rPr>
        <w:t>–</w:t>
      </w:r>
      <w:r w:rsidRPr="00FE138C">
        <w:rPr>
          <w:rFonts w:ascii="Times New Roman" w:hAnsi="Times New Roman"/>
          <w:sz w:val="24"/>
          <w:szCs w:val="24"/>
        </w:rPr>
        <w:t>26.9, ≥27.0, or missing), and</w:t>
      </w:r>
      <w:r>
        <w:rPr>
          <w:rFonts w:ascii="Times New Roman" w:hAnsi="Times New Roman"/>
          <w:sz w:val="24"/>
          <w:szCs w:val="24"/>
        </w:rPr>
        <w:t xml:space="preserve"> total energy intake (kcal/d), </w:t>
      </w:r>
      <w:r w:rsidRPr="004E1615">
        <w:rPr>
          <w:rFonts w:ascii="Times New Roman" w:hAnsi="Times New Roman"/>
          <w:sz w:val="24"/>
          <w:szCs w:val="24"/>
        </w:rPr>
        <w:t>midday or evening meals prepared at home</w:t>
      </w:r>
      <w:r>
        <w:rPr>
          <w:rFonts w:ascii="Times New Roman" w:hAnsi="Times New Roman"/>
          <w:sz w:val="24"/>
          <w:szCs w:val="24"/>
        </w:rPr>
        <w:t xml:space="preserve"> was </w:t>
      </w:r>
      <w:r w:rsidRPr="004E1615">
        <w:rPr>
          <w:rFonts w:ascii="Times New Roman" w:hAnsi="Times New Roman"/>
          <w:sz w:val="24"/>
          <w:szCs w:val="24"/>
        </w:rPr>
        <w:t>mutually adjusted for</w:t>
      </w:r>
      <w:r>
        <w:rPr>
          <w:rFonts w:ascii="Times New Roman" w:hAnsi="Times New Roman"/>
          <w:sz w:val="24"/>
          <w:szCs w:val="24"/>
        </w:rPr>
        <w:t xml:space="preserve"> each other; S</w:t>
      </w:r>
      <w:r w:rsidRPr="00FE138C">
        <w:rPr>
          <w:rFonts w:ascii="Times New Roman" w:hAnsi="Times New Roman"/>
          <w:sz w:val="24"/>
          <w:szCs w:val="24"/>
        </w:rPr>
        <w:t>tudy estimates from the two cohorts were poo</w:t>
      </w:r>
      <w:r>
        <w:rPr>
          <w:rFonts w:ascii="Times New Roman" w:hAnsi="Times New Roman"/>
          <w:sz w:val="24"/>
          <w:szCs w:val="24"/>
        </w:rPr>
        <w:t>led using a fixed-effects model;</w:t>
      </w:r>
    </w:p>
    <w:p w:rsidR="00FC065A" w:rsidRDefault="00FC065A" w:rsidP="004357F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873D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urther adjusted for highest degree acquired (registered nurse, b</w:t>
      </w:r>
      <w:r w:rsidRPr="00462698">
        <w:rPr>
          <w:rFonts w:ascii="Times New Roman" w:hAnsi="Times New Roman"/>
          <w:sz w:val="24"/>
          <w:szCs w:val="24"/>
        </w:rPr>
        <w:t>achelor</w:t>
      </w:r>
      <w:r w:rsidRPr="00462698">
        <w:rPr>
          <w:rFonts w:ascii="Times New Roman" w:hAnsi="Times New Roman" w:hint="eastAsia"/>
          <w:sz w:val="24"/>
          <w:szCs w:val="24"/>
        </w:rPr>
        <w:t xml:space="preserve"> d</w:t>
      </w:r>
      <w:r w:rsidRPr="00462698">
        <w:rPr>
          <w:rFonts w:ascii="Times New Roman" w:hAnsi="Times New Roman"/>
          <w:sz w:val="24"/>
          <w:szCs w:val="24"/>
        </w:rPr>
        <w:t>egree</w:t>
      </w:r>
      <w:r w:rsidRPr="00462698"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m</w:t>
      </w:r>
      <w:r w:rsidRPr="00462698">
        <w:rPr>
          <w:rFonts w:ascii="Times New Roman" w:hAnsi="Times New Roman"/>
          <w:sz w:val="24"/>
          <w:szCs w:val="24"/>
        </w:rPr>
        <w:t>aster</w:t>
      </w:r>
      <w:r w:rsidRPr="00462698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degree and above, </w:t>
      </w:r>
      <w:r w:rsidRPr="00A708F5">
        <w:rPr>
          <w:rFonts w:ascii="Times New Roman" w:hAnsi="Times New Roman"/>
          <w:sz w:val="24"/>
          <w:szCs w:val="24"/>
        </w:rPr>
        <w:t>or missing</w:t>
      </w:r>
      <w:r>
        <w:rPr>
          <w:rFonts w:ascii="Times New Roman" w:hAnsi="Times New Roman" w:hint="eastAsia"/>
          <w:sz w:val="24"/>
          <w:szCs w:val="24"/>
        </w:rPr>
        <w:t>);</w:t>
      </w:r>
    </w:p>
    <w:p w:rsidR="00FC065A" w:rsidRPr="00102F0C" w:rsidRDefault="00FC065A" w:rsidP="004357F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c</w:t>
      </w:r>
      <w:r w:rsidRPr="00873D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urther adjusted for education level of husband (</w:t>
      </w:r>
      <w:r w:rsidRPr="00102F0C">
        <w:rPr>
          <w:rFonts w:ascii="Times New Roman" w:hAnsi="Times New Roman"/>
          <w:sz w:val="24"/>
          <w:szCs w:val="24"/>
        </w:rPr>
        <w:t>some high school</w:t>
      </w:r>
      <w:r w:rsidRPr="00102F0C">
        <w:rPr>
          <w:rFonts w:ascii="Times New Roman" w:hAnsi="Times New Roman" w:hint="eastAsia"/>
          <w:sz w:val="24"/>
          <w:szCs w:val="24"/>
        </w:rPr>
        <w:t xml:space="preserve"> or below</w:t>
      </w:r>
      <w:r w:rsidRPr="00102F0C">
        <w:rPr>
          <w:rFonts w:ascii="Times New Roman" w:hAnsi="Times New Roman"/>
          <w:sz w:val="24"/>
          <w:szCs w:val="24"/>
        </w:rPr>
        <w:t>, high school graduate, college graduate, graduate school</w:t>
      </w:r>
      <w:r w:rsidRPr="00102F0C">
        <w:rPr>
          <w:rFonts w:ascii="Times New Roman" w:hAnsi="Times New Roman" w:hint="eastAsia"/>
          <w:sz w:val="24"/>
          <w:szCs w:val="24"/>
        </w:rPr>
        <w:t>, or missing);</w:t>
      </w:r>
    </w:p>
    <w:p w:rsidR="00FC065A" w:rsidRDefault="00FC065A" w:rsidP="004357F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d</w:t>
      </w:r>
      <w:r w:rsidRPr="00873D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urther adjusted for participants perception on their standing in US society (top 20%, 30%, 40%, 50%, &lt;50%, or missing);</w:t>
      </w:r>
    </w:p>
    <w:p w:rsidR="00FC065A" w:rsidRDefault="00FC065A" w:rsidP="004357F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e</w:t>
      </w:r>
      <w:r w:rsidRPr="00873D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 w:hint="eastAsia"/>
          <w:sz w:val="24"/>
          <w:szCs w:val="24"/>
        </w:rPr>
        <w:t>urther adjusted for participants perception on their standing in local community (top 20%, 30%, 40%, 50%, &lt;50%, or missing);</w:t>
      </w:r>
    </w:p>
    <w:p w:rsidR="00FC065A" w:rsidRPr="00845E1D" w:rsidRDefault="00FC065A" w:rsidP="004357F6">
      <w:pPr>
        <w:spacing w:line="480" w:lineRule="auto"/>
        <w:jc w:val="lef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f</w:t>
      </w:r>
      <w:r w:rsidRPr="00873D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 w:hint="eastAsia"/>
          <w:sz w:val="24"/>
          <w:szCs w:val="24"/>
        </w:rPr>
        <w:t>urther adjusted for</w:t>
      </w:r>
      <w:r>
        <w:rPr>
          <w:rFonts w:ascii="Times New Roman" w:hAnsi="Times New Roman"/>
          <w:sz w:val="24"/>
          <w:szCs w:val="24"/>
        </w:rPr>
        <w:t xml:space="preserve"> years of</w:t>
      </w:r>
      <w:r w:rsidRPr="00524790">
        <w:t xml:space="preserve"> </w:t>
      </w:r>
      <w:r w:rsidRPr="00524790">
        <w:rPr>
          <w:rFonts w:ascii="Times New Roman" w:hAnsi="Times New Roman"/>
          <w:sz w:val="24"/>
          <w:szCs w:val="24"/>
        </w:rPr>
        <w:t xml:space="preserve">rotating </w:t>
      </w:r>
      <w:r>
        <w:rPr>
          <w:rFonts w:ascii="Times New Roman" w:hAnsi="Times New Roman"/>
          <w:sz w:val="24"/>
          <w:szCs w:val="24"/>
        </w:rPr>
        <w:t>n</w:t>
      </w:r>
      <w:r w:rsidRPr="00524790">
        <w:rPr>
          <w:rFonts w:ascii="Times New Roman" w:hAnsi="Times New Roman"/>
          <w:sz w:val="24"/>
          <w:szCs w:val="24"/>
        </w:rPr>
        <w:t xml:space="preserve">ight </w:t>
      </w:r>
      <w:r>
        <w:rPr>
          <w:rFonts w:ascii="Times New Roman" w:hAnsi="Times New Roman"/>
          <w:sz w:val="24"/>
          <w:szCs w:val="24"/>
        </w:rPr>
        <w:t>s</w:t>
      </w:r>
      <w:r w:rsidRPr="00524790">
        <w:rPr>
          <w:rFonts w:ascii="Times New Roman" w:hAnsi="Times New Roman"/>
          <w:sz w:val="24"/>
          <w:szCs w:val="24"/>
        </w:rPr>
        <w:t xml:space="preserve">hift </w:t>
      </w:r>
      <w:r>
        <w:rPr>
          <w:rFonts w:ascii="Times New Roman" w:hAnsi="Times New Roman"/>
          <w:sz w:val="24"/>
          <w:szCs w:val="24"/>
        </w:rPr>
        <w:t>w</w:t>
      </w:r>
      <w:r w:rsidRPr="00524790">
        <w:rPr>
          <w:rFonts w:ascii="Times New Roman" w:hAnsi="Times New Roman"/>
          <w:sz w:val="24"/>
          <w:szCs w:val="24"/>
        </w:rPr>
        <w:t>ork</w:t>
      </w:r>
      <w:r>
        <w:rPr>
          <w:rFonts w:ascii="Times New Roman" w:hAnsi="Times New Roman"/>
          <w:sz w:val="24"/>
          <w:szCs w:val="24"/>
        </w:rPr>
        <w:t xml:space="preserve"> (never, 1-2 years, 3-5 years, 6-14 years, 15 years and more, and missing).</w:t>
      </w:r>
    </w:p>
    <w:p w:rsidR="0082044D" w:rsidRPr="00FC065A" w:rsidRDefault="0082044D"/>
    <w:sectPr w:rsidR="0082044D" w:rsidRPr="00FC065A" w:rsidSect="001404AC">
      <w:pgSz w:w="11906" w:h="16838"/>
      <w:pgMar w:top="1440" w:right="1800" w:bottom="1440" w:left="6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B0" w:rsidRDefault="00AF35B0" w:rsidP="00FC065A">
      <w:r>
        <w:separator/>
      </w:r>
    </w:p>
  </w:endnote>
  <w:endnote w:type="continuationSeparator" w:id="0">
    <w:p w:rsidR="00AF35B0" w:rsidRDefault="00AF35B0" w:rsidP="00FC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B0" w:rsidRDefault="00AF35B0" w:rsidP="00FC065A">
      <w:r>
        <w:separator/>
      </w:r>
    </w:p>
  </w:footnote>
  <w:footnote w:type="continuationSeparator" w:id="0">
    <w:p w:rsidR="00AF35B0" w:rsidRDefault="00AF35B0" w:rsidP="00FC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5"/>
    <w:rsid w:val="000D7B28"/>
    <w:rsid w:val="00212CCC"/>
    <w:rsid w:val="0026602F"/>
    <w:rsid w:val="004357F6"/>
    <w:rsid w:val="00562E62"/>
    <w:rsid w:val="005A3CDF"/>
    <w:rsid w:val="0082044D"/>
    <w:rsid w:val="008E6629"/>
    <w:rsid w:val="00915DC7"/>
    <w:rsid w:val="00967BE5"/>
    <w:rsid w:val="00AF35B0"/>
    <w:rsid w:val="00BE7377"/>
    <w:rsid w:val="00E77087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495D2-F475-495E-9691-770F36E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06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065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2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E66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Jingwen Zhu</dc:creator>
  <cp:keywords/>
  <dc:description/>
  <cp:lastModifiedBy>Geng Zong</cp:lastModifiedBy>
  <cp:revision>7</cp:revision>
  <dcterms:created xsi:type="dcterms:W3CDTF">2016-04-08T19:45:00Z</dcterms:created>
  <dcterms:modified xsi:type="dcterms:W3CDTF">2016-06-13T04:19:00Z</dcterms:modified>
</cp:coreProperties>
</file>