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86B86" w14:textId="215191C8" w:rsidR="00434441" w:rsidRPr="00434441" w:rsidRDefault="00E065D2" w:rsidP="00434441">
      <w:pPr>
        <w:outlineLvl w:val="0"/>
        <w:rPr>
          <w:b/>
        </w:rPr>
      </w:pPr>
      <w:r>
        <w:rPr>
          <w:b/>
        </w:rPr>
        <w:t>S2</w:t>
      </w:r>
      <w:r w:rsidR="00F53C8C">
        <w:rPr>
          <w:b/>
        </w:rPr>
        <w:t xml:space="preserve"> Table</w:t>
      </w:r>
      <w:r w:rsidR="00434441" w:rsidRPr="00434441">
        <w:rPr>
          <w:b/>
        </w:rPr>
        <w:t>. Recommendations from the Four Global Commissions a</w:t>
      </w:r>
      <w:bookmarkStart w:id="0" w:name="_GoBack"/>
      <w:bookmarkEnd w:id="0"/>
      <w:r w:rsidR="00434441" w:rsidRPr="00434441">
        <w:rPr>
          <w:b/>
        </w:rPr>
        <w:t>ccording to the Sustainable Development Goals framework</w:t>
      </w:r>
    </w:p>
    <w:p w14:paraId="4F81C4AD" w14:textId="77777777" w:rsidR="0012692E" w:rsidRDefault="0012692E" w:rsidP="0012692E">
      <w:pPr>
        <w:rPr>
          <w:rFonts w:asciiTheme="majorHAnsi" w:hAnsiTheme="majorHAnsi"/>
        </w:rPr>
      </w:pPr>
    </w:p>
    <w:tbl>
      <w:tblPr>
        <w:tblStyle w:val="TableGrid"/>
        <w:tblW w:w="8802" w:type="dxa"/>
        <w:tblCellMar>
          <w:left w:w="72" w:type="dxa"/>
          <w:right w:w="72" w:type="dxa"/>
        </w:tblCellMar>
        <w:tblLook w:val="04A0" w:firstRow="1" w:lastRow="0" w:firstColumn="1" w:lastColumn="0" w:noHBand="0" w:noVBand="1"/>
      </w:tblPr>
      <w:tblGrid>
        <w:gridCol w:w="1872"/>
        <w:gridCol w:w="6930"/>
      </w:tblGrid>
      <w:tr w:rsidR="00E95A4A" w:rsidRPr="007B799B" w14:paraId="32404C34" w14:textId="77777777" w:rsidTr="00E95A4A">
        <w:tc>
          <w:tcPr>
            <w:tcW w:w="8802" w:type="dxa"/>
            <w:gridSpan w:val="2"/>
            <w:shd w:val="clear" w:color="auto" w:fill="8DB3E2" w:themeFill="text2" w:themeFillTint="66"/>
          </w:tcPr>
          <w:p w14:paraId="40630840" w14:textId="77777777" w:rsidR="00E95A4A" w:rsidRPr="007352EC" w:rsidRDefault="00E95A4A" w:rsidP="00BA1656">
            <w:pPr>
              <w:rPr>
                <w:sz w:val="20"/>
                <w:szCs w:val="20"/>
              </w:rPr>
            </w:pPr>
            <w:r w:rsidRPr="007352EC">
              <w:rPr>
                <w:rFonts w:eastAsiaTheme="minorHAnsi"/>
                <w:b/>
                <w:sz w:val="20"/>
                <w:szCs w:val="20"/>
              </w:rPr>
              <w:t>Goal 3: Ensure healthy lives and promote well-being for all at all ages</w:t>
            </w:r>
          </w:p>
        </w:tc>
      </w:tr>
      <w:tr w:rsidR="00E95A4A" w:rsidRPr="007B799B" w14:paraId="61B80E2C" w14:textId="77777777" w:rsidTr="00E95A4A">
        <w:tc>
          <w:tcPr>
            <w:tcW w:w="1872" w:type="dxa"/>
          </w:tcPr>
          <w:p w14:paraId="67B82F45" w14:textId="77777777" w:rsidR="00E95A4A" w:rsidRPr="00BA1AAB" w:rsidRDefault="00E95A4A" w:rsidP="00BA1656">
            <w:pPr>
              <w:rPr>
                <w:i/>
                <w:sz w:val="16"/>
                <w:szCs w:val="16"/>
              </w:rPr>
            </w:pPr>
            <w:r w:rsidRPr="00BA1AAB">
              <w:rPr>
                <w:rFonts w:eastAsiaTheme="minorHAnsi"/>
                <w:i/>
                <w:sz w:val="16"/>
                <w:szCs w:val="16"/>
              </w:rPr>
              <w:t>CGHRF</w:t>
            </w:r>
          </w:p>
        </w:tc>
        <w:tc>
          <w:tcPr>
            <w:tcW w:w="6930" w:type="dxa"/>
          </w:tcPr>
          <w:p w14:paraId="1FFA55BE" w14:textId="77777777" w:rsidR="00E95A4A" w:rsidRPr="007B799B" w:rsidRDefault="00E95A4A" w:rsidP="00BA1656">
            <w:pPr>
              <w:spacing w:before="20" w:after="20"/>
              <w:rPr>
                <w:rFonts w:eastAsiaTheme="minorHAnsi"/>
                <w:sz w:val="16"/>
                <w:szCs w:val="16"/>
              </w:rPr>
            </w:pPr>
            <w:r w:rsidRPr="007B799B">
              <w:rPr>
                <w:rFonts w:eastAsiaTheme="minorHAnsi"/>
                <w:sz w:val="16"/>
                <w:szCs w:val="16"/>
              </w:rPr>
              <w:t>No recommendation.</w:t>
            </w:r>
          </w:p>
        </w:tc>
      </w:tr>
      <w:tr w:rsidR="00E95A4A" w:rsidRPr="007B799B" w14:paraId="47805113" w14:textId="77777777" w:rsidTr="00E95A4A">
        <w:tc>
          <w:tcPr>
            <w:tcW w:w="1872" w:type="dxa"/>
          </w:tcPr>
          <w:p w14:paraId="6D049801" w14:textId="77777777" w:rsidR="00E95A4A" w:rsidRPr="00BA1AAB" w:rsidRDefault="00E95A4A" w:rsidP="00BA1656">
            <w:pPr>
              <w:rPr>
                <w:i/>
                <w:sz w:val="16"/>
                <w:szCs w:val="16"/>
              </w:rPr>
            </w:pPr>
            <w:r w:rsidRPr="00BA1AAB">
              <w:rPr>
                <w:rFonts w:eastAsiaTheme="minorHAnsi"/>
                <w:i/>
                <w:sz w:val="16"/>
                <w:szCs w:val="16"/>
              </w:rPr>
              <w:t>Harvard/LSHTM</w:t>
            </w:r>
          </w:p>
        </w:tc>
        <w:tc>
          <w:tcPr>
            <w:tcW w:w="6930" w:type="dxa"/>
          </w:tcPr>
          <w:p w14:paraId="64485F63" w14:textId="77777777" w:rsidR="00E95A4A" w:rsidRPr="007B799B" w:rsidRDefault="00E95A4A" w:rsidP="00BA1656">
            <w:pPr>
              <w:spacing w:before="20" w:after="20"/>
              <w:rPr>
                <w:rFonts w:eastAsiaTheme="minorHAnsi"/>
                <w:sz w:val="16"/>
                <w:szCs w:val="16"/>
              </w:rPr>
            </w:pPr>
            <w:r w:rsidRPr="007B799B">
              <w:rPr>
                <w:rFonts w:eastAsiaTheme="minorHAnsi"/>
                <w:sz w:val="16"/>
                <w:szCs w:val="16"/>
              </w:rPr>
              <w:t>No recommendation.</w:t>
            </w:r>
          </w:p>
        </w:tc>
      </w:tr>
      <w:tr w:rsidR="00E95A4A" w:rsidRPr="007B799B" w14:paraId="1B028BF4" w14:textId="77777777" w:rsidTr="00E95A4A">
        <w:tc>
          <w:tcPr>
            <w:tcW w:w="1872" w:type="dxa"/>
          </w:tcPr>
          <w:p w14:paraId="20B32643" w14:textId="77777777" w:rsidR="00E95A4A" w:rsidRPr="00BA1AAB" w:rsidRDefault="00E95A4A" w:rsidP="00BA1656">
            <w:pPr>
              <w:rPr>
                <w:i/>
                <w:sz w:val="16"/>
                <w:szCs w:val="16"/>
              </w:rPr>
            </w:pPr>
            <w:r w:rsidRPr="00BA1AAB">
              <w:rPr>
                <w:rFonts w:eastAsiaTheme="minorHAnsi"/>
                <w:i/>
                <w:sz w:val="16"/>
                <w:szCs w:val="16"/>
              </w:rPr>
              <w:t>UN Panel</w:t>
            </w:r>
          </w:p>
        </w:tc>
        <w:tc>
          <w:tcPr>
            <w:tcW w:w="6930" w:type="dxa"/>
          </w:tcPr>
          <w:p w14:paraId="13CFA272" w14:textId="77777777" w:rsidR="00E95A4A" w:rsidRPr="007B799B" w:rsidRDefault="00E95A4A" w:rsidP="00E95A4A">
            <w:pPr>
              <w:pStyle w:val="ListParagraph"/>
              <w:numPr>
                <w:ilvl w:val="0"/>
                <w:numId w:val="1"/>
              </w:numPr>
              <w:ind w:left="198" w:hanging="180"/>
              <w:rPr>
                <w:rFonts w:ascii="Times New Roman" w:eastAsiaTheme="minorHAnsi" w:hAnsi="Times New Roman" w:cs="Times New Roman"/>
                <w:sz w:val="16"/>
                <w:szCs w:val="16"/>
              </w:rPr>
            </w:pPr>
            <w:r w:rsidRPr="007B799B">
              <w:rPr>
                <w:rFonts w:ascii="Times New Roman" w:eastAsiaTheme="minorHAnsi" w:hAnsi="Times New Roman" w:cs="Times New Roman"/>
                <w:sz w:val="16"/>
                <w:szCs w:val="16"/>
              </w:rPr>
              <w:t>The international community must fulfill the commitments towards the SDGs, with a particular emphasis on health-sector goals. (Rec. 10)</w:t>
            </w:r>
          </w:p>
          <w:p w14:paraId="1F97BB8B" w14:textId="77777777" w:rsidR="00E95A4A" w:rsidRPr="007B799B" w:rsidRDefault="00E95A4A" w:rsidP="00E95A4A">
            <w:pPr>
              <w:pStyle w:val="ListParagraph"/>
              <w:numPr>
                <w:ilvl w:val="0"/>
                <w:numId w:val="1"/>
              </w:numPr>
              <w:ind w:left="198" w:hanging="180"/>
              <w:rPr>
                <w:rFonts w:ascii="Times New Roman" w:eastAsiaTheme="minorHAnsi" w:hAnsi="Times New Roman" w:cs="Times New Roman"/>
                <w:sz w:val="16"/>
                <w:szCs w:val="16"/>
              </w:rPr>
            </w:pPr>
            <w:r w:rsidRPr="007B799B">
              <w:rPr>
                <w:rFonts w:ascii="Times New Roman" w:eastAsiaTheme="minorHAnsi" w:hAnsi="Times New Roman" w:cs="Times New Roman"/>
                <w:sz w:val="16"/>
                <w:szCs w:val="16"/>
              </w:rPr>
              <w:t>Partners sustain their Official Development Assistance to health and direct a greater percentage to strengthening health systems under an agreed-upon government-led plan. (Rec. 11)</w:t>
            </w:r>
          </w:p>
        </w:tc>
      </w:tr>
      <w:tr w:rsidR="00E95A4A" w:rsidRPr="007B799B" w14:paraId="20DECF3E" w14:textId="77777777" w:rsidTr="00E95A4A">
        <w:tc>
          <w:tcPr>
            <w:tcW w:w="1872" w:type="dxa"/>
          </w:tcPr>
          <w:p w14:paraId="4BBFDBEB" w14:textId="77777777" w:rsidR="00E95A4A" w:rsidRPr="00BA1AAB" w:rsidRDefault="00E95A4A" w:rsidP="00BA1656">
            <w:pPr>
              <w:rPr>
                <w:rFonts w:eastAsiaTheme="minorHAnsi"/>
                <w:i/>
                <w:sz w:val="16"/>
                <w:szCs w:val="16"/>
              </w:rPr>
            </w:pPr>
            <w:r w:rsidRPr="00BA1AAB">
              <w:rPr>
                <w:rFonts w:eastAsiaTheme="minorHAnsi"/>
                <w:i/>
                <w:sz w:val="16"/>
                <w:szCs w:val="16"/>
              </w:rPr>
              <w:t>WHO Interim Assessment</w:t>
            </w:r>
          </w:p>
        </w:tc>
        <w:tc>
          <w:tcPr>
            <w:tcW w:w="6930" w:type="dxa"/>
          </w:tcPr>
          <w:p w14:paraId="1A649CC4" w14:textId="77777777" w:rsidR="00E95A4A" w:rsidRPr="007B799B" w:rsidRDefault="00E95A4A" w:rsidP="00BA1656">
            <w:pPr>
              <w:spacing w:before="20" w:after="20"/>
              <w:rPr>
                <w:rFonts w:eastAsiaTheme="minorHAnsi"/>
                <w:sz w:val="16"/>
                <w:szCs w:val="16"/>
              </w:rPr>
            </w:pPr>
            <w:r w:rsidRPr="007B799B">
              <w:rPr>
                <w:rFonts w:eastAsiaTheme="minorHAnsi"/>
                <w:sz w:val="16"/>
                <w:szCs w:val="16"/>
              </w:rPr>
              <w:t>No recommendation.</w:t>
            </w:r>
          </w:p>
        </w:tc>
      </w:tr>
      <w:tr w:rsidR="00E95A4A" w:rsidRPr="007B799B" w14:paraId="741A2353" w14:textId="77777777" w:rsidTr="00E95A4A">
        <w:tc>
          <w:tcPr>
            <w:tcW w:w="8802" w:type="dxa"/>
            <w:gridSpan w:val="2"/>
            <w:shd w:val="clear" w:color="auto" w:fill="8DB3E2" w:themeFill="text2" w:themeFillTint="66"/>
          </w:tcPr>
          <w:p w14:paraId="1EC12E4E" w14:textId="77777777" w:rsidR="00E95A4A" w:rsidRPr="007352EC" w:rsidRDefault="00E95A4A" w:rsidP="00BA1656">
            <w:pPr>
              <w:rPr>
                <w:sz w:val="20"/>
                <w:szCs w:val="20"/>
              </w:rPr>
            </w:pPr>
            <w:r w:rsidRPr="007352EC">
              <w:rPr>
                <w:rFonts w:eastAsiaTheme="minorHAnsi"/>
                <w:b/>
                <w:sz w:val="20"/>
                <w:szCs w:val="20"/>
              </w:rPr>
              <w:t xml:space="preserve">Goal 3.8: Achieve universal health coverage, including financial risk protection, access to quality essential health-care services and access to safe, effective, quality and affordable essential medicines and vaccines for all </w:t>
            </w:r>
          </w:p>
        </w:tc>
      </w:tr>
      <w:tr w:rsidR="00E95A4A" w:rsidRPr="007B799B" w14:paraId="2828E649" w14:textId="77777777" w:rsidTr="00E95A4A">
        <w:tc>
          <w:tcPr>
            <w:tcW w:w="1872" w:type="dxa"/>
            <w:vAlign w:val="center"/>
          </w:tcPr>
          <w:p w14:paraId="29CA21D0" w14:textId="77777777" w:rsidR="00E95A4A" w:rsidRPr="00BA1AAB" w:rsidRDefault="00E95A4A" w:rsidP="00BA1656">
            <w:pPr>
              <w:rPr>
                <w:i/>
                <w:sz w:val="16"/>
                <w:szCs w:val="16"/>
              </w:rPr>
            </w:pPr>
            <w:r w:rsidRPr="00BA1AAB">
              <w:rPr>
                <w:rFonts w:eastAsiaTheme="minorHAnsi"/>
                <w:i/>
                <w:sz w:val="16"/>
                <w:szCs w:val="16"/>
              </w:rPr>
              <w:t>CGHRF</w:t>
            </w:r>
          </w:p>
        </w:tc>
        <w:tc>
          <w:tcPr>
            <w:tcW w:w="6930" w:type="dxa"/>
          </w:tcPr>
          <w:p w14:paraId="4A7FE960" w14:textId="77777777" w:rsidR="00E95A4A" w:rsidRPr="007B799B" w:rsidRDefault="00E95A4A" w:rsidP="00BA1656">
            <w:pPr>
              <w:spacing w:before="20" w:after="20"/>
              <w:rPr>
                <w:rFonts w:eastAsiaTheme="minorHAnsi"/>
                <w:sz w:val="16"/>
                <w:szCs w:val="16"/>
              </w:rPr>
            </w:pPr>
            <w:r w:rsidRPr="007B799B">
              <w:rPr>
                <w:rFonts w:eastAsiaTheme="minorHAnsi"/>
                <w:sz w:val="16"/>
                <w:szCs w:val="16"/>
              </w:rPr>
              <w:t>No recommendation.</w:t>
            </w:r>
          </w:p>
        </w:tc>
      </w:tr>
      <w:tr w:rsidR="00E95A4A" w:rsidRPr="007B799B" w14:paraId="7654B88A" w14:textId="77777777" w:rsidTr="00E95A4A">
        <w:tc>
          <w:tcPr>
            <w:tcW w:w="1872" w:type="dxa"/>
            <w:vAlign w:val="center"/>
          </w:tcPr>
          <w:p w14:paraId="44175343" w14:textId="77777777" w:rsidR="00E95A4A" w:rsidRPr="00BA1AAB" w:rsidRDefault="00E95A4A" w:rsidP="00BA1656">
            <w:pPr>
              <w:rPr>
                <w:i/>
                <w:sz w:val="16"/>
                <w:szCs w:val="16"/>
              </w:rPr>
            </w:pPr>
            <w:r w:rsidRPr="00BA1AAB">
              <w:rPr>
                <w:rFonts w:eastAsiaTheme="minorHAnsi"/>
                <w:i/>
                <w:sz w:val="16"/>
                <w:szCs w:val="16"/>
              </w:rPr>
              <w:t>Harvard/LSHTM</w:t>
            </w:r>
          </w:p>
        </w:tc>
        <w:tc>
          <w:tcPr>
            <w:tcW w:w="6930" w:type="dxa"/>
          </w:tcPr>
          <w:p w14:paraId="4DE21BE3" w14:textId="77777777" w:rsidR="00E95A4A" w:rsidRPr="007B799B" w:rsidRDefault="00E95A4A" w:rsidP="00BA1656">
            <w:pPr>
              <w:spacing w:before="20" w:after="20"/>
              <w:rPr>
                <w:rFonts w:eastAsiaTheme="minorHAnsi"/>
                <w:sz w:val="16"/>
                <w:szCs w:val="16"/>
              </w:rPr>
            </w:pPr>
            <w:r w:rsidRPr="007B799B">
              <w:rPr>
                <w:rFonts w:eastAsiaTheme="minorHAnsi"/>
                <w:sz w:val="16"/>
                <w:szCs w:val="16"/>
              </w:rPr>
              <w:t>No recommendation.</w:t>
            </w:r>
          </w:p>
        </w:tc>
      </w:tr>
      <w:tr w:rsidR="00E95A4A" w:rsidRPr="007B799B" w14:paraId="502E5EBA" w14:textId="77777777" w:rsidTr="00E95A4A">
        <w:tc>
          <w:tcPr>
            <w:tcW w:w="1872" w:type="dxa"/>
            <w:vAlign w:val="center"/>
          </w:tcPr>
          <w:p w14:paraId="2B38879C" w14:textId="77777777" w:rsidR="00E95A4A" w:rsidRPr="00BA1AAB" w:rsidRDefault="00E95A4A" w:rsidP="00BA1656">
            <w:pPr>
              <w:rPr>
                <w:i/>
                <w:sz w:val="16"/>
                <w:szCs w:val="16"/>
              </w:rPr>
            </w:pPr>
            <w:r w:rsidRPr="00BA1AAB">
              <w:rPr>
                <w:rFonts w:eastAsiaTheme="minorHAnsi"/>
                <w:i/>
                <w:sz w:val="16"/>
                <w:szCs w:val="16"/>
              </w:rPr>
              <w:t>UN Panel</w:t>
            </w:r>
          </w:p>
        </w:tc>
        <w:tc>
          <w:tcPr>
            <w:tcW w:w="6930" w:type="dxa"/>
          </w:tcPr>
          <w:p w14:paraId="32B740B7" w14:textId="77777777" w:rsidR="00E95A4A" w:rsidRPr="007B799B" w:rsidRDefault="00E95A4A" w:rsidP="00E95A4A">
            <w:pPr>
              <w:pStyle w:val="ListParagraph"/>
              <w:numPr>
                <w:ilvl w:val="0"/>
                <w:numId w:val="2"/>
              </w:numPr>
              <w:ind w:left="198" w:hanging="180"/>
              <w:rPr>
                <w:rFonts w:ascii="Times New Roman" w:hAnsi="Times New Roman" w:cs="Times New Roman"/>
                <w:sz w:val="16"/>
                <w:szCs w:val="16"/>
              </w:rPr>
            </w:pPr>
            <w:r w:rsidRPr="007B799B">
              <w:rPr>
                <w:rFonts w:ascii="Times New Roman" w:eastAsiaTheme="minorHAnsi" w:hAnsi="Times New Roman" w:cs="Times New Roman"/>
                <w:sz w:val="16"/>
                <w:szCs w:val="16"/>
              </w:rPr>
              <w:t>WHO works closely with development actors to ensure that development programming supports health systems and thereby helps improve universal and equitable access to quality health. (Rec. 12)</w:t>
            </w:r>
          </w:p>
          <w:p w14:paraId="3B3A8C8A" w14:textId="77777777" w:rsidR="00E95A4A" w:rsidRPr="007B799B" w:rsidRDefault="00E95A4A" w:rsidP="00E95A4A">
            <w:pPr>
              <w:pStyle w:val="ListParagraph"/>
              <w:numPr>
                <w:ilvl w:val="0"/>
                <w:numId w:val="2"/>
              </w:numPr>
              <w:ind w:left="198" w:hanging="180"/>
              <w:rPr>
                <w:rFonts w:ascii="Times New Roman" w:hAnsi="Times New Roman" w:cs="Times New Roman"/>
                <w:sz w:val="16"/>
                <w:szCs w:val="16"/>
              </w:rPr>
            </w:pPr>
            <w:r w:rsidRPr="007B799B">
              <w:rPr>
                <w:rFonts w:ascii="Times New Roman" w:eastAsiaTheme="minorHAnsi" w:hAnsi="Times New Roman" w:cs="Times New Roman"/>
                <w:sz w:val="16"/>
                <w:szCs w:val="16"/>
              </w:rPr>
              <w:t>Urgent measures are taken to ensure universal access to and affordability of medicines, vaccines and other life-saving products. (Rec. 14)</w:t>
            </w:r>
          </w:p>
        </w:tc>
      </w:tr>
      <w:tr w:rsidR="00E95A4A" w:rsidRPr="007B799B" w14:paraId="508CC945" w14:textId="77777777" w:rsidTr="00E95A4A">
        <w:tc>
          <w:tcPr>
            <w:tcW w:w="1872" w:type="dxa"/>
            <w:vAlign w:val="center"/>
          </w:tcPr>
          <w:p w14:paraId="1DF4E22F" w14:textId="77777777" w:rsidR="00E95A4A" w:rsidRPr="00BA1AAB" w:rsidRDefault="00E95A4A" w:rsidP="00BA1656">
            <w:pPr>
              <w:rPr>
                <w:rFonts w:eastAsiaTheme="minorHAnsi"/>
                <w:i/>
                <w:sz w:val="16"/>
                <w:szCs w:val="16"/>
              </w:rPr>
            </w:pPr>
            <w:r w:rsidRPr="00BA1AAB">
              <w:rPr>
                <w:rFonts w:eastAsiaTheme="minorHAnsi"/>
                <w:i/>
                <w:sz w:val="16"/>
                <w:szCs w:val="16"/>
              </w:rPr>
              <w:t>WHO Interim Assessment</w:t>
            </w:r>
          </w:p>
        </w:tc>
        <w:tc>
          <w:tcPr>
            <w:tcW w:w="6930" w:type="dxa"/>
          </w:tcPr>
          <w:p w14:paraId="5695EC08" w14:textId="77777777" w:rsidR="00E95A4A" w:rsidRPr="007B799B" w:rsidRDefault="00E95A4A" w:rsidP="00BA1656">
            <w:pPr>
              <w:spacing w:before="20" w:after="20"/>
              <w:rPr>
                <w:rFonts w:eastAsiaTheme="minorHAnsi"/>
                <w:sz w:val="16"/>
                <w:szCs w:val="16"/>
              </w:rPr>
            </w:pPr>
            <w:r w:rsidRPr="007B799B">
              <w:rPr>
                <w:rFonts w:eastAsiaTheme="minorHAnsi"/>
                <w:sz w:val="16"/>
                <w:szCs w:val="16"/>
              </w:rPr>
              <w:t>No recommendation.</w:t>
            </w:r>
          </w:p>
        </w:tc>
      </w:tr>
      <w:tr w:rsidR="00E95A4A" w:rsidRPr="007B799B" w14:paraId="0A011314" w14:textId="77777777" w:rsidTr="00E95A4A">
        <w:tc>
          <w:tcPr>
            <w:tcW w:w="8802" w:type="dxa"/>
            <w:gridSpan w:val="2"/>
            <w:shd w:val="clear" w:color="auto" w:fill="8DB3E2" w:themeFill="text2" w:themeFillTint="66"/>
          </w:tcPr>
          <w:p w14:paraId="44123827" w14:textId="77777777" w:rsidR="00E95A4A" w:rsidRPr="007B799B" w:rsidRDefault="00E95A4A" w:rsidP="00BA1656">
            <w:pPr>
              <w:rPr>
                <w:sz w:val="20"/>
                <w:szCs w:val="20"/>
              </w:rPr>
            </w:pPr>
            <w:r>
              <w:rPr>
                <w:rFonts w:eastAsiaTheme="minorHAnsi"/>
                <w:b/>
                <w:sz w:val="20"/>
                <w:szCs w:val="20"/>
              </w:rPr>
              <w:t xml:space="preserve">Goal 3.b: </w:t>
            </w:r>
            <w:r w:rsidRPr="007B799B">
              <w:rPr>
                <w:rFonts w:eastAsiaTheme="minorHAnsi"/>
                <w:b/>
                <w:sz w:val="20"/>
                <w:szCs w:val="20"/>
              </w:rPr>
              <w:t>Support the research and development of vaccines and medicines for the communicable and non-communicable diseases that primarily affect developing countries, provide access to affordable essential medicines and vaccines, in accordance with the Doha Declaration on the TRIPS Agreement and Public Health, which affirms the right of developing countries to use to the full the provisions in the Agreement on Trade-Related Aspects of Intellectual Property Rights regarding flexibilities to protect public health, and, in particular, provide acces</w:t>
            </w:r>
            <w:r>
              <w:rPr>
                <w:rFonts w:eastAsiaTheme="minorHAnsi"/>
                <w:b/>
                <w:sz w:val="20"/>
                <w:szCs w:val="20"/>
              </w:rPr>
              <w:t xml:space="preserve">s to medicines for all  </w:t>
            </w:r>
          </w:p>
        </w:tc>
      </w:tr>
      <w:tr w:rsidR="00E95A4A" w:rsidRPr="007B799B" w14:paraId="55C41D09" w14:textId="77777777" w:rsidTr="00E95A4A">
        <w:tc>
          <w:tcPr>
            <w:tcW w:w="1872" w:type="dxa"/>
            <w:vAlign w:val="center"/>
          </w:tcPr>
          <w:p w14:paraId="664590BF" w14:textId="77777777" w:rsidR="00E95A4A" w:rsidRPr="00BA1AAB" w:rsidRDefault="00E95A4A" w:rsidP="00BA1656">
            <w:pPr>
              <w:rPr>
                <w:i/>
                <w:sz w:val="16"/>
                <w:szCs w:val="16"/>
              </w:rPr>
            </w:pPr>
            <w:r w:rsidRPr="00BA1AAB">
              <w:rPr>
                <w:rFonts w:eastAsiaTheme="minorHAnsi"/>
                <w:i/>
                <w:sz w:val="16"/>
                <w:szCs w:val="16"/>
              </w:rPr>
              <w:t>CGHRF</w:t>
            </w:r>
          </w:p>
        </w:tc>
        <w:tc>
          <w:tcPr>
            <w:tcW w:w="6930" w:type="dxa"/>
          </w:tcPr>
          <w:p w14:paraId="15CEEF38" w14:textId="77777777" w:rsidR="00E95A4A" w:rsidRPr="007B799B" w:rsidRDefault="00E95A4A" w:rsidP="00E95A4A">
            <w:pPr>
              <w:pStyle w:val="ListParagraph"/>
              <w:numPr>
                <w:ilvl w:val="0"/>
                <w:numId w:val="4"/>
              </w:numPr>
              <w:ind w:left="252" w:hanging="180"/>
              <w:rPr>
                <w:rFonts w:ascii="Times New Roman" w:eastAsiaTheme="minorHAnsi" w:hAnsi="Times New Roman" w:cs="Times New Roman"/>
                <w:sz w:val="16"/>
                <w:szCs w:val="16"/>
              </w:rPr>
            </w:pPr>
            <w:r w:rsidRPr="007B799B">
              <w:rPr>
                <w:rFonts w:ascii="Times New Roman" w:eastAsiaTheme="minorHAnsi" w:hAnsi="Times New Roman" w:cs="Times New Roman"/>
                <w:sz w:val="16"/>
                <w:szCs w:val="16"/>
              </w:rPr>
              <w:t>WHO should establish an independent PPDC, accountable to the TGB, to galvanize acceleration of relevant R&amp;D, define priorities, and mobilize and allocate resources. (Rec. D1)</w:t>
            </w:r>
          </w:p>
          <w:p w14:paraId="3EBBE62D" w14:textId="77777777" w:rsidR="00E95A4A" w:rsidRPr="007B799B" w:rsidRDefault="00E95A4A" w:rsidP="00E95A4A">
            <w:pPr>
              <w:pStyle w:val="ListParagraph"/>
              <w:numPr>
                <w:ilvl w:val="0"/>
                <w:numId w:val="3"/>
              </w:numPr>
              <w:ind w:left="252" w:hanging="180"/>
              <w:rPr>
                <w:rFonts w:ascii="Times New Roman" w:hAnsi="Times New Roman" w:cs="Times New Roman"/>
                <w:sz w:val="16"/>
                <w:szCs w:val="16"/>
              </w:rPr>
            </w:pPr>
            <w:r w:rsidRPr="007B799B">
              <w:rPr>
                <w:rFonts w:ascii="Times New Roman" w:eastAsiaTheme="minorHAnsi" w:hAnsi="Times New Roman" w:cs="Times New Roman"/>
                <w:sz w:val="16"/>
                <w:szCs w:val="16"/>
              </w:rPr>
              <w:t>WHO should work with global R&amp;D stakeholders to catalyze the commitment of $1 billion/</w:t>
            </w:r>
            <w:proofErr w:type="spellStart"/>
            <w:r w:rsidRPr="007B799B">
              <w:rPr>
                <w:rFonts w:ascii="Times New Roman" w:eastAsiaTheme="minorHAnsi" w:hAnsi="Times New Roman" w:cs="Times New Roman"/>
                <w:sz w:val="16"/>
                <w:szCs w:val="16"/>
              </w:rPr>
              <w:t>yr</w:t>
            </w:r>
            <w:proofErr w:type="spellEnd"/>
            <w:r w:rsidRPr="007B799B">
              <w:rPr>
                <w:rFonts w:ascii="Times New Roman" w:eastAsiaTheme="minorHAnsi" w:hAnsi="Times New Roman" w:cs="Times New Roman"/>
                <w:sz w:val="16"/>
                <w:szCs w:val="16"/>
              </w:rPr>
              <w:t xml:space="preserve"> to maintain a portfolio of projects coordinated by the PPDC. (Rec. D2)</w:t>
            </w:r>
          </w:p>
          <w:p w14:paraId="497A13FB" w14:textId="77777777" w:rsidR="00E95A4A" w:rsidRPr="007B799B" w:rsidRDefault="00E95A4A" w:rsidP="00E95A4A">
            <w:pPr>
              <w:pStyle w:val="ListParagraph"/>
              <w:numPr>
                <w:ilvl w:val="0"/>
                <w:numId w:val="3"/>
              </w:numPr>
              <w:ind w:left="252" w:hanging="180"/>
              <w:rPr>
                <w:rFonts w:ascii="Times New Roman" w:hAnsi="Times New Roman" w:cs="Times New Roman"/>
                <w:sz w:val="16"/>
                <w:szCs w:val="16"/>
              </w:rPr>
            </w:pPr>
            <w:r w:rsidRPr="007B799B">
              <w:rPr>
                <w:rFonts w:ascii="Times New Roman" w:eastAsiaTheme="minorHAnsi" w:hAnsi="Times New Roman" w:cs="Times New Roman"/>
                <w:sz w:val="16"/>
                <w:szCs w:val="16"/>
              </w:rPr>
              <w:t>PPDC should convene regulatory agencies, industry stakeholders, and research organizations to commit to the following actions:</w:t>
            </w:r>
          </w:p>
          <w:p w14:paraId="6B5D5089" w14:textId="77777777" w:rsidR="00E95A4A" w:rsidRPr="007B799B" w:rsidRDefault="00E95A4A" w:rsidP="00BA1656">
            <w:pPr>
              <w:pStyle w:val="ListParagraph"/>
              <w:numPr>
                <w:ilvl w:val="1"/>
                <w:numId w:val="3"/>
              </w:numPr>
              <w:ind w:left="432" w:hanging="180"/>
              <w:rPr>
                <w:rFonts w:ascii="Times New Roman" w:hAnsi="Times New Roman" w:cs="Times New Roman"/>
                <w:sz w:val="16"/>
                <w:szCs w:val="16"/>
              </w:rPr>
            </w:pPr>
            <w:r w:rsidRPr="007B799B">
              <w:rPr>
                <w:rFonts w:ascii="Times New Roman" w:eastAsiaTheme="minorHAnsi" w:hAnsi="Times New Roman" w:cs="Times New Roman"/>
                <w:sz w:val="16"/>
                <w:szCs w:val="16"/>
              </w:rPr>
              <w:t>Adopting R&amp;D approaches during crises that maintain consistently high scientific standards.</w:t>
            </w:r>
          </w:p>
          <w:p w14:paraId="75E77521" w14:textId="77777777" w:rsidR="00E95A4A" w:rsidRPr="007B799B" w:rsidRDefault="00E95A4A" w:rsidP="00BA1656">
            <w:pPr>
              <w:pStyle w:val="ListParagraph"/>
              <w:numPr>
                <w:ilvl w:val="1"/>
                <w:numId w:val="3"/>
              </w:numPr>
              <w:ind w:left="432" w:hanging="180"/>
              <w:rPr>
                <w:rFonts w:ascii="Times New Roman" w:hAnsi="Times New Roman" w:cs="Times New Roman"/>
                <w:sz w:val="16"/>
                <w:szCs w:val="16"/>
              </w:rPr>
            </w:pPr>
            <w:r w:rsidRPr="007B799B">
              <w:rPr>
                <w:rFonts w:ascii="Times New Roman" w:eastAsiaTheme="minorHAnsi" w:hAnsi="Times New Roman" w:cs="Times New Roman"/>
                <w:sz w:val="16"/>
                <w:szCs w:val="16"/>
              </w:rPr>
              <w:t>Defining protocols and approaches to engage local scientists and community members in the conduct of research.</w:t>
            </w:r>
          </w:p>
          <w:p w14:paraId="4B85596A" w14:textId="77777777" w:rsidR="00E95A4A" w:rsidRPr="007B799B" w:rsidRDefault="00E95A4A" w:rsidP="00BA1656">
            <w:pPr>
              <w:pStyle w:val="ListParagraph"/>
              <w:numPr>
                <w:ilvl w:val="1"/>
                <w:numId w:val="3"/>
              </w:numPr>
              <w:ind w:left="432" w:hanging="180"/>
              <w:rPr>
                <w:rFonts w:ascii="Times New Roman" w:hAnsi="Times New Roman" w:cs="Times New Roman"/>
                <w:sz w:val="16"/>
                <w:szCs w:val="16"/>
              </w:rPr>
            </w:pPr>
            <w:r w:rsidRPr="007B799B">
              <w:rPr>
                <w:rFonts w:ascii="Times New Roman" w:eastAsiaTheme="minorHAnsi" w:hAnsi="Times New Roman" w:cs="Times New Roman"/>
                <w:sz w:val="16"/>
                <w:szCs w:val="16"/>
              </w:rPr>
              <w:t>Agreeing on ways to expedite medical product approval, manufacture, and distribution. (Rec. D3)</w:t>
            </w:r>
          </w:p>
        </w:tc>
      </w:tr>
      <w:tr w:rsidR="00E95A4A" w:rsidRPr="007B799B" w14:paraId="420484EC" w14:textId="77777777" w:rsidTr="00E95A4A">
        <w:tc>
          <w:tcPr>
            <w:tcW w:w="1872" w:type="dxa"/>
            <w:vAlign w:val="center"/>
          </w:tcPr>
          <w:p w14:paraId="5F9AC0D4" w14:textId="77777777" w:rsidR="00E95A4A" w:rsidRPr="00BA1AAB" w:rsidRDefault="00E95A4A" w:rsidP="00BA1656">
            <w:pPr>
              <w:rPr>
                <w:i/>
                <w:sz w:val="16"/>
                <w:szCs w:val="16"/>
              </w:rPr>
            </w:pPr>
            <w:r w:rsidRPr="00BA1AAB">
              <w:rPr>
                <w:rFonts w:eastAsiaTheme="minorHAnsi"/>
                <w:i/>
                <w:sz w:val="16"/>
                <w:szCs w:val="16"/>
              </w:rPr>
              <w:t>Harvard/LSHTM</w:t>
            </w:r>
          </w:p>
        </w:tc>
        <w:tc>
          <w:tcPr>
            <w:tcW w:w="6930" w:type="dxa"/>
          </w:tcPr>
          <w:p w14:paraId="4EE467B2" w14:textId="77777777" w:rsidR="00E95A4A" w:rsidRPr="007B799B" w:rsidRDefault="00E95A4A" w:rsidP="00BA1656">
            <w:pPr>
              <w:pStyle w:val="ListParagraph"/>
              <w:numPr>
                <w:ilvl w:val="0"/>
                <w:numId w:val="5"/>
              </w:numPr>
              <w:ind w:left="252" w:hanging="180"/>
              <w:rPr>
                <w:rFonts w:ascii="Times New Roman" w:hAnsi="Times New Roman" w:cs="Times New Roman"/>
                <w:sz w:val="16"/>
                <w:szCs w:val="16"/>
              </w:rPr>
            </w:pPr>
            <w:r w:rsidRPr="007B799B">
              <w:rPr>
                <w:rFonts w:ascii="Times New Roman" w:eastAsiaTheme="minorHAnsi" w:hAnsi="Times New Roman" w:cs="Times New Roman"/>
                <w:sz w:val="16"/>
                <w:szCs w:val="16"/>
              </w:rPr>
              <w:t>Develop a framework of rules to enable, govern, and ensure access to the benefits of research. (Rec. 6)</w:t>
            </w:r>
          </w:p>
          <w:p w14:paraId="2B6AF9F9" w14:textId="77777777" w:rsidR="00E95A4A" w:rsidRPr="007B799B" w:rsidRDefault="00E95A4A" w:rsidP="00BA1656">
            <w:pPr>
              <w:pStyle w:val="ListParagraph"/>
              <w:numPr>
                <w:ilvl w:val="0"/>
                <w:numId w:val="5"/>
              </w:numPr>
              <w:ind w:left="252" w:hanging="180"/>
              <w:rPr>
                <w:rFonts w:ascii="Times New Roman" w:hAnsi="Times New Roman" w:cs="Times New Roman"/>
                <w:sz w:val="16"/>
                <w:szCs w:val="16"/>
              </w:rPr>
            </w:pPr>
            <w:r w:rsidRPr="007B799B">
              <w:rPr>
                <w:rFonts w:ascii="Times New Roman" w:eastAsiaTheme="minorHAnsi" w:hAnsi="Times New Roman" w:cs="Times New Roman"/>
                <w:sz w:val="16"/>
                <w:szCs w:val="16"/>
              </w:rPr>
              <w:t xml:space="preserve">Establish a global facility to finance, accelerate, and </w:t>
            </w:r>
            <w:proofErr w:type="spellStart"/>
            <w:r w:rsidRPr="007B799B">
              <w:rPr>
                <w:rFonts w:ascii="Times New Roman" w:eastAsiaTheme="minorHAnsi" w:hAnsi="Times New Roman" w:cs="Times New Roman"/>
                <w:sz w:val="16"/>
                <w:szCs w:val="16"/>
              </w:rPr>
              <w:t>prioritise</w:t>
            </w:r>
            <w:proofErr w:type="spellEnd"/>
            <w:r w:rsidRPr="007B799B">
              <w:rPr>
                <w:rFonts w:ascii="Times New Roman" w:eastAsiaTheme="minorHAnsi" w:hAnsi="Times New Roman" w:cs="Times New Roman"/>
                <w:sz w:val="16"/>
                <w:szCs w:val="16"/>
              </w:rPr>
              <w:t xml:space="preserve"> research and development. (Rec. 7)</w:t>
            </w:r>
          </w:p>
        </w:tc>
      </w:tr>
      <w:tr w:rsidR="00E95A4A" w:rsidRPr="007B799B" w14:paraId="75A82072" w14:textId="77777777" w:rsidTr="00E95A4A">
        <w:tc>
          <w:tcPr>
            <w:tcW w:w="1872" w:type="dxa"/>
            <w:vAlign w:val="center"/>
          </w:tcPr>
          <w:p w14:paraId="426C25CE" w14:textId="77777777" w:rsidR="00E95A4A" w:rsidRPr="00BA1AAB" w:rsidRDefault="00E95A4A" w:rsidP="00BA1656">
            <w:pPr>
              <w:rPr>
                <w:i/>
                <w:sz w:val="16"/>
                <w:szCs w:val="16"/>
              </w:rPr>
            </w:pPr>
            <w:r w:rsidRPr="00BA1AAB">
              <w:rPr>
                <w:rFonts w:eastAsiaTheme="minorHAnsi"/>
                <w:i/>
                <w:sz w:val="16"/>
                <w:szCs w:val="16"/>
              </w:rPr>
              <w:t>UN Panel</w:t>
            </w:r>
          </w:p>
        </w:tc>
        <w:tc>
          <w:tcPr>
            <w:tcW w:w="6930" w:type="dxa"/>
          </w:tcPr>
          <w:p w14:paraId="49F32208" w14:textId="77777777" w:rsidR="00E95A4A" w:rsidRPr="007B799B" w:rsidRDefault="00E95A4A" w:rsidP="00BA1656">
            <w:pPr>
              <w:pStyle w:val="ListParagraph"/>
              <w:numPr>
                <w:ilvl w:val="0"/>
                <w:numId w:val="6"/>
              </w:numPr>
              <w:ind w:left="252" w:hanging="180"/>
              <w:rPr>
                <w:rFonts w:ascii="Times New Roman" w:hAnsi="Times New Roman" w:cs="Times New Roman"/>
                <w:sz w:val="16"/>
                <w:szCs w:val="16"/>
              </w:rPr>
            </w:pPr>
            <w:r w:rsidRPr="007B799B">
              <w:rPr>
                <w:rFonts w:ascii="Times New Roman" w:eastAsiaTheme="minorHAnsi" w:hAnsi="Times New Roman" w:cs="Times New Roman"/>
                <w:sz w:val="16"/>
                <w:szCs w:val="16"/>
              </w:rPr>
              <w:t>WHO coordinates the prioritization of global R&amp;D efforts for neglected diseases that pose the greatest threat of turning into health crises. (Rec. 13)</w:t>
            </w:r>
          </w:p>
          <w:p w14:paraId="0F6D70B7" w14:textId="77777777" w:rsidR="00E95A4A" w:rsidRPr="007B799B" w:rsidRDefault="00E95A4A" w:rsidP="00BA1656">
            <w:pPr>
              <w:pStyle w:val="ListParagraph"/>
              <w:numPr>
                <w:ilvl w:val="0"/>
                <w:numId w:val="6"/>
              </w:numPr>
              <w:ind w:left="252" w:hanging="180"/>
              <w:rPr>
                <w:rFonts w:ascii="Times New Roman" w:hAnsi="Times New Roman" w:cs="Times New Roman"/>
                <w:sz w:val="16"/>
                <w:szCs w:val="16"/>
              </w:rPr>
            </w:pPr>
            <w:r w:rsidRPr="007B799B">
              <w:rPr>
                <w:rFonts w:ascii="Times New Roman" w:eastAsiaTheme="minorHAnsi" w:hAnsi="Times New Roman" w:cs="Times New Roman"/>
                <w:sz w:val="16"/>
                <w:szCs w:val="16"/>
              </w:rPr>
              <w:t>WHO convenes its Member States to re-negotiate the Pandemic Influenza Preparedness Framework with a view to including other novel pathogens, making it legally binding, and achieving an appropriate balance between obligations and benefits, in accordance with the principles of the 2010 Nagoya Protocol to the Convention on Biological Diversity. (Rec. 15)</w:t>
            </w:r>
          </w:p>
          <w:p w14:paraId="7489CDDB" w14:textId="77777777" w:rsidR="00E95A4A" w:rsidRPr="007B799B" w:rsidRDefault="00E95A4A" w:rsidP="00BA1656">
            <w:pPr>
              <w:pStyle w:val="ListParagraph"/>
              <w:numPr>
                <w:ilvl w:val="0"/>
                <w:numId w:val="6"/>
              </w:numPr>
              <w:ind w:left="252" w:hanging="180"/>
              <w:rPr>
                <w:rFonts w:ascii="Times New Roman" w:hAnsi="Times New Roman" w:cs="Times New Roman"/>
                <w:sz w:val="16"/>
                <w:szCs w:val="16"/>
              </w:rPr>
            </w:pPr>
            <w:r w:rsidRPr="007B799B">
              <w:rPr>
                <w:rFonts w:ascii="Times New Roman" w:eastAsiaTheme="minorHAnsi" w:hAnsi="Times New Roman" w:cs="Times New Roman"/>
                <w:sz w:val="16"/>
                <w:szCs w:val="16"/>
              </w:rPr>
              <w:t>WHO leads efforts to assist developing countries in building research and manufacturing capacities for vaccines, therapeutics and diagnostics, including through South-South cooperation. (Rec. 16)</w:t>
            </w:r>
          </w:p>
          <w:p w14:paraId="65AB3F4B" w14:textId="77777777" w:rsidR="00E95A4A" w:rsidRPr="007B799B" w:rsidRDefault="00E95A4A" w:rsidP="00BA1656">
            <w:pPr>
              <w:pStyle w:val="ListParagraph"/>
              <w:numPr>
                <w:ilvl w:val="0"/>
                <w:numId w:val="6"/>
              </w:numPr>
              <w:ind w:left="252" w:hanging="180"/>
              <w:rPr>
                <w:rFonts w:ascii="Times New Roman" w:hAnsi="Times New Roman" w:cs="Times New Roman"/>
                <w:sz w:val="16"/>
                <w:szCs w:val="16"/>
              </w:rPr>
            </w:pPr>
            <w:r w:rsidRPr="007B799B">
              <w:rPr>
                <w:rFonts w:ascii="Times New Roman" w:eastAsiaTheme="minorHAnsi" w:hAnsi="Times New Roman" w:cs="Times New Roman"/>
                <w:sz w:val="16"/>
                <w:szCs w:val="16"/>
              </w:rPr>
              <w:t>WHO oversees the establishment and management of an international fund of at least $1 billion per annum to support R&amp;D of vaccines, therapeutics and rapid diagnostics for neglected communicable diseases. (Rec. 22)</w:t>
            </w:r>
          </w:p>
        </w:tc>
      </w:tr>
      <w:tr w:rsidR="00E95A4A" w:rsidRPr="007B799B" w14:paraId="1E9E7597" w14:textId="77777777" w:rsidTr="00E95A4A">
        <w:tc>
          <w:tcPr>
            <w:tcW w:w="1872" w:type="dxa"/>
            <w:vAlign w:val="center"/>
          </w:tcPr>
          <w:p w14:paraId="4DF1AD73" w14:textId="77777777" w:rsidR="00E95A4A" w:rsidRPr="00BA1AAB" w:rsidRDefault="00E95A4A" w:rsidP="00BA1656">
            <w:pPr>
              <w:rPr>
                <w:rFonts w:eastAsiaTheme="minorHAnsi"/>
                <w:i/>
                <w:sz w:val="16"/>
                <w:szCs w:val="16"/>
              </w:rPr>
            </w:pPr>
            <w:r w:rsidRPr="00BA1AAB">
              <w:rPr>
                <w:rFonts w:eastAsiaTheme="minorHAnsi"/>
                <w:i/>
                <w:sz w:val="16"/>
                <w:szCs w:val="16"/>
              </w:rPr>
              <w:t>WHO Interim Assessment</w:t>
            </w:r>
          </w:p>
        </w:tc>
        <w:tc>
          <w:tcPr>
            <w:tcW w:w="6930" w:type="dxa"/>
          </w:tcPr>
          <w:p w14:paraId="4B97EE51" w14:textId="77777777" w:rsidR="00E95A4A" w:rsidRPr="007B799B" w:rsidRDefault="00E95A4A" w:rsidP="00BA1656">
            <w:pPr>
              <w:pStyle w:val="ListParagraph"/>
              <w:numPr>
                <w:ilvl w:val="0"/>
                <w:numId w:val="7"/>
              </w:numPr>
              <w:ind w:left="252" w:hanging="180"/>
              <w:rPr>
                <w:rFonts w:ascii="Times New Roman" w:hAnsi="Times New Roman" w:cs="Times New Roman"/>
                <w:sz w:val="16"/>
                <w:szCs w:val="16"/>
              </w:rPr>
            </w:pPr>
            <w:r w:rsidRPr="007B799B">
              <w:rPr>
                <w:rFonts w:ascii="Times New Roman" w:eastAsiaTheme="minorHAnsi" w:hAnsi="Times New Roman" w:cs="Times New Roman"/>
                <w:sz w:val="16"/>
                <w:szCs w:val="16"/>
              </w:rPr>
              <w:t>WHO should play a central convening role in research and development efforts in future emergencies, including the acceleration of the development of appropriate diagnostics, vaccines, therapeutics and medical and information technology. (Rec. 16)</w:t>
            </w:r>
          </w:p>
        </w:tc>
      </w:tr>
      <w:tr w:rsidR="00E95A4A" w:rsidRPr="007B799B" w14:paraId="099913E1" w14:textId="77777777" w:rsidTr="00E95A4A">
        <w:tc>
          <w:tcPr>
            <w:tcW w:w="8802" w:type="dxa"/>
            <w:gridSpan w:val="2"/>
            <w:shd w:val="clear" w:color="auto" w:fill="8DB3E2" w:themeFill="text2" w:themeFillTint="66"/>
          </w:tcPr>
          <w:p w14:paraId="4011E55E" w14:textId="77777777" w:rsidR="00E95A4A" w:rsidRPr="007B799B" w:rsidRDefault="00E95A4A" w:rsidP="00BA1656">
            <w:pPr>
              <w:rPr>
                <w:sz w:val="20"/>
                <w:szCs w:val="20"/>
              </w:rPr>
            </w:pPr>
            <w:r>
              <w:rPr>
                <w:rFonts w:eastAsiaTheme="minorHAnsi"/>
                <w:b/>
                <w:sz w:val="20"/>
                <w:szCs w:val="20"/>
              </w:rPr>
              <w:t xml:space="preserve">Goal 3.c: </w:t>
            </w:r>
            <w:r w:rsidRPr="007B799B">
              <w:rPr>
                <w:rFonts w:eastAsiaTheme="minorHAnsi"/>
                <w:b/>
                <w:sz w:val="20"/>
                <w:szCs w:val="20"/>
              </w:rPr>
              <w:t>Substantially increase health financing and the recruitment, development, training and retention of the health workforce in developing countries, especially in least developed countries and small i</w:t>
            </w:r>
            <w:r>
              <w:rPr>
                <w:rFonts w:eastAsiaTheme="minorHAnsi"/>
                <w:b/>
                <w:sz w:val="20"/>
                <w:szCs w:val="20"/>
              </w:rPr>
              <w:t>sland developing States</w:t>
            </w:r>
          </w:p>
        </w:tc>
      </w:tr>
      <w:tr w:rsidR="00E95A4A" w:rsidRPr="007B799B" w14:paraId="734CB50E" w14:textId="77777777" w:rsidTr="00E95A4A">
        <w:tc>
          <w:tcPr>
            <w:tcW w:w="1872" w:type="dxa"/>
            <w:vAlign w:val="center"/>
          </w:tcPr>
          <w:p w14:paraId="509C5237" w14:textId="77777777" w:rsidR="00E95A4A" w:rsidRPr="007352EC" w:rsidRDefault="00E95A4A" w:rsidP="00BA1656">
            <w:pPr>
              <w:rPr>
                <w:i/>
                <w:sz w:val="16"/>
                <w:szCs w:val="16"/>
              </w:rPr>
            </w:pPr>
            <w:r w:rsidRPr="007352EC">
              <w:rPr>
                <w:rFonts w:eastAsiaTheme="minorHAnsi"/>
                <w:i/>
                <w:sz w:val="16"/>
                <w:szCs w:val="16"/>
              </w:rPr>
              <w:t>CGHRF</w:t>
            </w:r>
          </w:p>
        </w:tc>
        <w:tc>
          <w:tcPr>
            <w:tcW w:w="6930" w:type="dxa"/>
          </w:tcPr>
          <w:p w14:paraId="180AD9A8" w14:textId="77777777" w:rsidR="00E95A4A" w:rsidRPr="007B799B" w:rsidRDefault="00E95A4A" w:rsidP="00BA1656">
            <w:pPr>
              <w:spacing w:before="20" w:after="20"/>
              <w:rPr>
                <w:rFonts w:eastAsiaTheme="minorHAnsi"/>
                <w:sz w:val="16"/>
                <w:szCs w:val="16"/>
              </w:rPr>
            </w:pPr>
            <w:r w:rsidRPr="007B799B">
              <w:rPr>
                <w:rFonts w:eastAsiaTheme="minorHAnsi"/>
                <w:sz w:val="16"/>
                <w:szCs w:val="16"/>
              </w:rPr>
              <w:t>No recommendation.</w:t>
            </w:r>
          </w:p>
        </w:tc>
      </w:tr>
      <w:tr w:rsidR="00E95A4A" w:rsidRPr="007B799B" w14:paraId="22D675ED" w14:textId="77777777" w:rsidTr="00E95A4A">
        <w:tc>
          <w:tcPr>
            <w:tcW w:w="1872" w:type="dxa"/>
            <w:vAlign w:val="center"/>
          </w:tcPr>
          <w:p w14:paraId="60CACEAC" w14:textId="77777777" w:rsidR="00E95A4A" w:rsidRPr="007352EC" w:rsidRDefault="00E95A4A" w:rsidP="00BA1656">
            <w:pPr>
              <w:rPr>
                <w:i/>
                <w:sz w:val="16"/>
                <w:szCs w:val="16"/>
              </w:rPr>
            </w:pPr>
            <w:r w:rsidRPr="007352EC">
              <w:rPr>
                <w:rFonts w:eastAsiaTheme="minorHAnsi"/>
                <w:i/>
                <w:sz w:val="16"/>
                <w:szCs w:val="16"/>
              </w:rPr>
              <w:t>Harvard/LSHTM</w:t>
            </w:r>
          </w:p>
        </w:tc>
        <w:tc>
          <w:tcPr>
            <w:tcW w:w="6930" w:type="dxa"/>
          </w:tcPr>
          <w:p w14:paraId="5F678E99" w14:textId="77777777" w:rsidR="00E95A4A" w:rsidRPr="007B799B" w:rsidRDefault="00E95A4A" w:rsidP="00BA1656">
            <w:pPr>
              <w:spacing w:before="20" w:after="20"/>
              <w:rPr>
                <w:rFonts w:eastAsiaTheme="minorHAnsi"/>
                <w:sz w:val="16"/>
                <w:szCs w:val="16"/>
              </w:rPr>
            </w:pPr>
            <w:r w:rsidRPr="007B799B">
              <w:rPr>
                <w:rFonts w:eastAsiaTheme="minorHAnsi"/>
                <w:sz w:val="16"/>
                <w:szCs w:val="16"/>
              </w:rPr>
              <w:t>No recommendation.</w:t>
            </w:r>
          </w:p>
        </w:tc>
      </w:tr>
      <w:tr w:rsidR="00E95A4A" w:rsidRPr="007B799B" w14:paraId="43D7E104" w14:textId="77777777" w:rsidTr="00E95A4A">
        <w:tc>
          <w:tcPr>
            <w:tcW w:w="1872" w:type="dxa"/>
            <w:vAlign w:val="center"/>
          </w:tcPr>
          <w:p w14:paraId="1876BF9F" w14:textId="77777777" w:rsidR="00E95A4A" w:rsidRPr="007352EC" w:rsidRDefault="00E95A4A" w:rsidP="00BA1656">
            <w:pPr>
              <w:rPr>
                <w:i/>
                <w:sz w:val="16"/>
                <w:szCs w:val="16"/>
              </w:rPr>
            </w:pPr>
            <w:r w:rsidRPr="007352EC">
              <w:rPr>
                <w:rFonts w:eastAsiaTheme="minorHAnsi"/>
                <w:i/>
                <w:sz w:val="16"/>
                <w:szCs w:val="16"/>
              </w:rPr>
              <w:t>UN Panel</w:t>
            </w:r>
          </w:p>
        </w:tc>
        <w:tc>
          <w:tcPr>
            <w:tcW w:w="6930" w:type="dxa"/>
          </w:tcPr>
          <w:p w14:paraId="1EA1E4EB" w14:textId="77777777" w:rsidR="00E95A4A" w:rsidRPr="007B799B" w:rsidRDefault="00E95A4A" w:rsidP="00BA1656">
            <w:pPr>
              <w:pStyle w:val="ListParagraph"/>
              <w:numPr>
                <w:ilvl w:val="0"/>
                <w:numId w:val="7"/>
              </w:numPr>
              <w:ind w:left="254" w:hanging="180"/>
              <w:rPr>
                <w:rFonts w:ascii="Times New Roman" w:hAnsi="Times New Roman" w:cs="Times New Roman"/>
                <w:sz w:val="16"/>
                <w:szCs w:val="16"/>
              </w:rPr>
            </w:pPr>
            <w:r w:rsidRPr="007B799B">
              <w:rPr>
                <w:rFonts w:ascii="Times New Roman" w:hAnsi="Times New Roman" w:cs="Times New Roman"/>
                <w:sz w:val="16"/>
                <w:szCs w:val="16"/>
              </w:rPr>
              <w:t>Governments increase investment in the training of health professionals and establish Community Health Workers (CHWs) systems that are appropriate to country circumstances. (Rec. 2)</w:t>
            </w:r>
          </w:p>
        </w:tc>
      </w:tr>
      <w:tr w:rsidR="00E95A4A" w:rsidRPr="007B799B" w14:paraId="0F475A4E" w14:textId="77777777" w:rsidTr="00E95A4A">
        <w:tc>
          <w:tcPr>
            <w:tcW w:w="1872" w:type="dxa"/>
            <w:vAlign w:val="center"/>
          </w:tcPr>
          <w:p w14:paraId="4BE02188" w14:textId="77777777" w:rsidR="00E95A4A" w:rsidRPr="007352EC" w:rsidRDefault="00E95A4A" w:rsidP="00BA1656">
            <w:pPr>
              <w:rPr>
                <w:rFonts w:eastAsiaTheme="minorHAnsi"/>
                <w:i/>
                <w:sz w:val="16"/>
                <w:szCs w:val="16"/>
              </w:rPr>
            </w:pPr>
            <w:r w:rsidRPr="007352EC">
              <w:rPr>
                <w:rFonts w:eastAsiaTheme="minorHAnsi"/>
                <w:i/>
                <w:sz w:val="16"/>
                <w:szCs w:val="16"/>
              </w:rPr>
              <w:lastRenderedPageBreak/>
              <w:t>WHO Interim Assessment</w:t>
            </w:r>
          </w:p>
        </w:tc>
        <w:tc>
          <w:tcPr>
            <w:tcW w:w="6930" w:type="dxa"/>
          </w:tcPr>
          <w:p w14:paraId="70733864" w14:textId="77777777" w:rsidR="00E95A4A" w:rsidRPr="007B799B" w:rsidRDefault="00E95A4A" w:rsidP="00BA1656">
            <w:pPr>
              <w:spacing w:before="20" w:after="20"/>
              <w:rPr>
                <w:rFonts w:eastAsiaTheme="minorHAnsi"/>
                <w:sz w:val="16"/>
                <w:szCs w:val="16"/>
              </w:rPr>
            </w:pPr>
            <w:r w:rsidRPr="007B799B">
              <w:rPr>
                <w:rFonts w:eastAsiaTheme="minorHAnsi"/>
                <w:sz w:val="16"/>
                <w:szCs w:val="16"/>
              </w:rPr>
              <w:t>No recommendation.</w:t>
            </w:r>
          </w:p>
        </w:tc>
      </w:tr>
      <w:tr w:rsidR="00E95A4A" w:rsidRPr="007B799B" w14:paraId="62E42D3C" w14:textId="77777777" w:rsidTr="00E95A4A">
        <w:tc>
          <w:tcPr>
            <w:tcW w:w="8802" w:type="dxa"/>
            <w:gridSpan w:val="2"/>
            <w:shd w:val="clear" w:color="auto" w:fill="8DB3E2" w:themeFill="text2" w:themeFillTint="66"/>
            <w:vAlign w:val="center"/>
          </w:tcPr>
          <w:p w14:paraId="3F600D1F" w14:textId="77777777" w:rsidR="00E95A4A" w:rsidRPr="007B799B" w:rsidRDefault="00E95A4A" w:rsidP="00BA1656">
            <w:pPr>
              <w:rPr>
                <w:rFonts w:eastAsiaTheme="minorHAnsi"/>
                <w:b/>
                <w:sz w:val="20"/>
                <w:szCs w:val="20"/>
              </w:rPr>
            </w:pPr>
            <w:r>
              <w:rPr>
                <w:rFonts w:eastAsiaTheme="minorHAnsi"/>
                <w:b/>
                <w:sz w:val="20"/>
                <w:szCs w:val="20"/>
              </w:rPr>
              <w:t xml:space="preserve">Goal 3.d: </w:t>
            </w:r>
            <w:r w:rsidRPr="007B799B">
              <w:rPr>
                <w:rFonts w:eastAsiaTheme="minorHAnsi"/>
                <w:b/>
                <w:sz w:val="20"/>
                <w:szCs w:val="20"/>
              </w:rPr>
              <w:t>Strengthen the capacity of all countries, in particular developing countries, for early warning, risk reduction and management of national an</w:t>
            </w:r>
            <w:r>
              <w:rPr>
                <w:rFonts w:eastAsiaTheme="minorHAnsi"/>
                <w:b/>
                <w:sz w:val="20"/>
                <w:szCs w:val="20"/>
              </w:rPr>
              <w:t xml:space="preserve">d global health risks </w:t>
            </w:r>
          </w:p>
        </w:tc>
      </w:tr>
      <w:tr w:rsidR="00E95A4A" w:rsidRPr="007B799B" w14:paraId="5866C6B0" w14:textId="77777777" w:rsidTr="00E95A4A">
        <w:tc>
          <w:tcPr>
            <w:tcW w:w="1872" w:type="dxa"/>
            <w:vAlign w:val="center"/>
          </w:tcPr>
          <w:p w14:paraId="66A841DE" w14:textId="77777777" w:rsidR="00E95A4A" w:rsidRPr="007352EC" w:rsidRDefault="00E95A4A" w:rsidP="00BA1656">
            <w:pPr>
              <w:rPr>
                <w:i/>
                <w:sz w:val="16"/>
                <w:szCs w:val="16"/>
              </w:rPr>
            </w:pPr>
            <w:r w:rsidRPr="007352EC">
              <w:rPr>
                <w:rFonts w:eastAsiaTheme="minorHAnsi"/>
                <w:i/>
                <w:sz w:val="16"/>
                <w:szCs w:val="16"/>
              </w:rPr>
              <w:t>CGHRF</w:t>
            </w:r>
          </w:p>
        </w:tc>
        <w:tc>
          <w:tcPr>
            <w:tcW w:w="6930" w:type="dxa"/>
          </w:tcPr>
          <w:p w14:paraId="5FF3D124" w14:textId="77777777" w:rsidR="00E95A4A" w:rsidRPr="00610510" w:rsidRDefault="00E95A4A" w:rsidP="00BA1656">
            <w:pPr>
              <w:pStyle w:val="ListParagraph"/>
              <w:numPr>
                <w:ilvl w:val="0"/>
                <w:numId w:val="7"/>
              </w:numPr>
              <w:ind w:left="254" w:hanging="180"/>
              <w:rPr>
                <w:rFonts w:ascii="Times New Roman" w:hAnsi="Times New Roman" w:cs="Times New Roman"/>
                <w:sz w:val="16"/>
                <w:szCs w:val="16"/>
              </w:rPr>
            </w:pPr>
            <w:r w:rsidRPr="00610510">
              <w:rPr>
                <w:rFonts w:ascii="Times New Roman" w:eastAsiaTheme="minorHAnsi" w:hAnsi="Times New Roman" w:cs="Times New Roman"/>
                <w:sz w:val="16"/>
                <w:szCs w:val="16"/>
              </w:rPr>
              <w:t>WHO and member states should develop an agreed-on, precise definition and benchmarks for national core capabilities, and functioning, based on IHR and other efforts (GHSA and OIE Terrestrial Animal Health Code). (Rec. B1)</w:t>
            </w:r>
          </w:p>
          <w:p w14:paraId="27AB36B5" w14:textId="77777777" w:rsidR="00E95A4A" w:rsidRPr="00610510" w:rsidRDefault="00E95A4A" w:rsidP="00BA1656">
            <w:pPr>
              <w:pStyle w:val="ListParagraph"/>
              <w:numPr>
                <w:ilvl w:val="0"/>
                <w:numId w:val="7"/>
              </w:numPr>
              <w:ind w:left="254" w:hanging="180"/>
              <w:rPr>
                <w:rFonts w:ascii="Times New Roman" w:hAnsi="Times New Roman" w:cs="Times New Roman"/>
                <w:sz w:val="16"/>
                <w:szCs w:val="16"/>
              </w:rPr>
            </w:pPr>
            <w:r w:rsidRPr="00610510">
              <w:rPr>
                <w:rFonts w:ascii="Times New Roman" w:eastAsiaTheme="minorHAnsi" w:hAnsi="Times New Roman" w:cs="Times New Roman"/>
                <w:sz w:val="16"/>
                <w:szCs w:val="16"/>
              </w:rPr>
              <w:t>WHO should devise a regular, independent, transparent, and objective assessment mechanism to evaluate country performance against benchmarks defined in B.1. (Rec. B2)</w:t>
            </w:r>
          </w:p>
          <w:p w14:paraId="6E5E956B" w14:textId="77777777" w:rsidR="00E95A4A" w:rsidRPr="00610510" w:rsidRDefault="00E95A4A" w:rsidP="00BA1656">
            <w:pPr>
              <w:pStyle w:val="ListParagraph"/>
              <w:numPr>
                <w:ilvl w:val="0"/>
                <w:numId w:val="7"/>
              </w:numPr>
              <w:ind w:left="254" w:hanging="180"/>
              <w:rPr>
                <w:rFonts w:ascii="Times New Roman" w:hAnsi="Times New Roman" w:cs="Times New Roman"/>
                <w:sz w:val="16"/>
                <w:szCs w:val="16"/>
              </w:rPr>
            </w:pPr>
            <w:r w:rsidRPr="00610510">
              <w:rPr>
                <w:rFonts w:ascii="Times New Roman" w:eastAsiaTheme="minorHAnsi" w:hAnsi="Times New Roman" w:cs="Times New Roman"/>
                <w:sz w:val="16"/>
                <w:szCs w:val="16"/>
              </w:rPr>
              <w:t>All countries should commit to participate in external assessment process (B.2), including publication of results. (Rec. B3)</w:t>
            </w:r>
          </w:p>
          <w:p w14:paraId="3D9717A4" w14:textId="77777777" w:rsidR="00E95A4A" w:rsidRPr="00610510" w:rsidRDefault="00E95A4A" w:rsidP="00BA1656">
            <w:pPr>
              <w:pStyle w:val="ListParagraph"/>
              <w:numPr>
                <w:ilvl w:val="0"/>
                <w:numId w:val="7"/>
              </w:numPr>
              <w:ind w:left="254" w:hanging="180"/>
              <w:rPr>
                <w:rFonts w:ascii="Times New Roman" w:hAnsi="Times New Roman" w:cs="Times New Roman"/>
                <w:sz w:val="16"/>
                <w:szCs w:val="16"/>
              </w:rPr>
            </w:pPr>
            <w:r w:rsidRPr="00610510">
              <w:rPr>
                <w:rFonts w:ascii="Times New Roman" w:eastAsiaTheme="minorHAnsi" w:hAnsi="Times New Roman" w:cs="Times New Roman"/>
                <w:sz w:val="16"/>
                <w:szCs w:val="16"/>
              </w:rPr>
              <w:t>WB, bilateral, and multilateral donors should declare that related funding will be conditional on a country’s participation in external assessment process (B.2). (Rec. B4)</w:t>
            </w:r>
          </w:p>
          <w:p w14:paraId="6872CC76" w14:textId="77777777" w:rsidR="00E95A4A" w:rsidRPr="00610510" w:rsidRDefault="00E95A4A" w:rsidP="00BA1656">
            <w:pPr>
              <w:pStyle w:val="ListParagraph"/>
              <w:numPr>
                <w:ilvl w:val="0"/>
                <w:numId w:val="7"/>
              </w:numPr>
              <w:ind w:left="254" w:hanging="180"/>
              <w:rPr>
                <w:rFonts w:ascii="Times New Roman" w:hAnsi="Times New Roman" w:cs="Times New Roman"/>
                <w:sz w:val="16"/>
                <w:szCs w:val="16"/>
              </w:rPr>
            </w:pPr>
            <w:r w:rsidRPr="00610510">
              <w:rPr>
                <w:rFonts w:ascii="Times New Roman" w:eastAsiaTheme="minorHAnsi" w:hAnsi="Times New Roman" w:cs="Times New Roman"/>
                <w:sz w:val="16"/>
                <w:szCs w:val="16"/>
              </w:rPr>
              <w:t>IMF should include pandemic preparedness in its economic and policy assessments of individual countries, based on outcomes of the external assessment of national core capacities. (Rec. B5)</w:t>
            </w:r>
          </w:p>
          <w:p w14:paraId="171ABB90" w14:textId="77777777" w:rsidR="00E95A4A" w:rsidRPr="00610510" w:rsidRDefault="00E95A4A" w:rsidP="00BA1656">
            <w:pPr>
              <w:pStyle w:val="ListParagraph"/>
              <w:numPr>
                <w:ilvl w:val="0"/>
                <w:numId w:val="7"/>
              </w:numPr>
              <w:ind w:left="254" w:hanging="180"/>
              <w:rPr>
                <w:rFonts w:ascii="Times New Roman" w:hAnsi="Times New Roman" w:cs="Times New Roman"/>
                <w:sz w:val="16"/>
                <w:szCs w:val="16"/>
              </w:rPr>
            </w:pPr>
            <w:r w:rsidRPr="00610510">
              <w:rPr>
                <w:rFonts w:ascii="Times New Roman" w:eastAsiaTheme="minorHAnsi" w:hAnsi="Times New Roman" w:cs="Times New Roman"/>
                <w:sz w:val="16"/>
                <w:szCs w:val="16"/>
              </w:rPr>
              <w:t>Countries should develop plans to achieve and maintain benchmark core capacities by mid-2017 (target to achieve full compliance with the benchmarks by 2020). (Rec. B6)</w:t>
            </w:r>
          </w:p>
          <w:p w14:paraId="779A3DFA" w14:textId="77777777" w:rsidR="00E95A4A" w:rsidRPr="00610510" w:rsidRDefault="00E95A4A" w:rsidP="00BA1656">
            <w:pPr>
              <w:pStyle w:val="ListParagraph"/>
              <w:numPr>
                <w:ilvl w:val="0"/>
                <w:numId w:val="7"/>
              </w:numPr>
              <w:ind w:left="254" w:hanging="180"/>
              <w:rPr>
                <w:rFonts w:ascii="Times New Roman" w:hAnsi="Times New Roman" w:cs="Times New Roman"/>
                <w:sz w:val="16"/>
                <w:szCs w:val="16"/>
              </w:rPr>
            </w:pPr>
            <w:r w:rsidRPr="00610510">
              <w:rPr>
                <w:rFonts w:ascii="Times New Roman" w:eastAsiaTheme="minorHAnsi" w:hAnsi="Times New Roman" w:cs="Times New Roman"/>
                <w:sz w:val="16"/>
                <w:szCs w:val="16"/>
              </w:rPr>
              <w:t>WHO should provide technical support to fill countries’ gaps in core capacities and achieve benchmark performance. (Rec. B7)</w:t>
            </w:r>
          </w:p>
          <w:p w14:paraId="7348A8A3" w14:textId="77777777" w:rsidR="00E95A4A" w:rsidRPr="00610510" w:rsidRDefault="00E95A4A" w:rsidP="00BA1656">
            <w:pPr>
              <w:pStyle w:val="ListParagraph"/>
              <w:numPr>
                <w:ilvl w:val="0"/>
                <w:numId w:val="7"/>
              </w:numPr>
              <w:ind w:left="254" w:hanging="180"/>
              <w:rPr>
                <w:rFonts w:ascii="Times New Roman" w:hAnsi="Times New Roman" w:cs="Times New Roman"/>
                <w:sz w:val="16"/>
                <w:szCs w:val="16"/>
              </w:rPr>
            </w:pPr>
            <w:r w:rsidRPr="00610510">
              <w:rPr>
                <w:rFonts w:ascii="Times New Roman" w:eastAsiaTheme="minorHAnsi" w:hAnsi="Times New Roman" w:cs="Times New Roman"/>
                <w:sz w:val="16"/>
                <w:szCs w:val="16"/>
              </w:rPr>
              <w:t>National governments should develop domestic resourcing plans to finance improvement and maintenance of core capacities as set out in plans (B.6). (Rec. B8)</w:t>
            </w:r>
          </w:p>
          <w:p w14:paraId="457A6921" w14:textId="77777777" w:rsidR="00E95A4A" w:rsidRPr="00610510" w:rsidRDefault="00E95A4A" w:rsidP="00BA1656">
            <w:pPr>
              <w:pStyle w:val="ListParagraph"/>
              <w:numPr>
                <w:ilvl w:val="0"/>
                <w:numId w:val="7"/>
              </w:numPr>
              <w:ind w:left="254" w:hanging="180"/>
              <w:rPr>
                <w:rFonts w:ascii="Times New Roman" w:hAnsi="Times New Roman" w:cs="Times New Roman"/>
                <w:sz w:val="16"/>
                <w:szCs w:val="16"/>
              </w:rPr>
            </w:pPr>
            <w:r w:rsidRPr="00610510">
              <w:rPr>
                <w:rFonts w:ascii="Times New Roman" w:eastAsiaTheme="minorHAnsi" w:hAnsi="Times New Roman" w:cs="Times New Roman"/>
                <w:sz w:val="16"/>
                <w:szCs w:val="16"/>
              </w:rPr>
              <w:t>WB should convene other multilateral donors to secure financial support for lower-middle-income and low-income countries in delivering plans (B.6). (Rec. B9)</w:t>
            </w:r>
          </w:p>
          <w:p w14:paraId="041FF0D5" w14:textId="77777777" w:rsidR="00E95A4A" w:rsidRPr="00610510" w:rsidRDefault="00E95A4A" w:rsidP="00BA1656">
            <w:pPr>
              <w:pStyle w:val="ListParagraph"/>
              <w:numPr>
                <w:ilvl w:val="0"/>
                <w:numId w:val="7"/>
              </w:numPr>
              <w:ind w:left="254" w:hanging="180"/>
              <w:rPr>
                <w:rFonts w:ascii="Times New Roman" w:hAnsi="Times New Roman" w:cs="Times New Roman"/>
                <w:sz w:val="16"/>
                <w:szCs w:val="16"/>
              </w:rPr>
            </w:pPr>
            <w:r w:rsidRPr="00610510">
              <w:rPr>
                <w:rFonts w:ascii="Times New Roman" w:eastAsiaTheme="minorHAnsi" w:hAnsi="Times New Roman" w:cs="Times New Roman"/>
                <w:sz w:val="16"/>
                <w:szCs w:val="16"/>
              </w:rPr>
              <w:t>WHO should create a CHEPR to lead the global effort toward outbreak preparedness and response. This center should be governed by an independent TGB. (Rec. C1)</w:t>
            </w:r>
          </w:p>
        </w:tc>
      </w:tr>
      <w:tr w:rsidR="00E95A4A" w:rsidRPr="007B799B" w14:paraId="14C1CCF4" w14:textId="77777777" w:rsidTr="00E95A4A">
        <w:tc>
          <w:tcPr>
            <w:tcW w:w="1872" w:type="dxa"/>
            <w:vAlign w:val="center"/>
          </w:tcPr>
          <w:p w14:paraId="79E12753" w14:textId="77777777" w:rsidR="00E95A4A" w:rsidRPr="007352EC" w:rsidRDefault="00E95A4A" w:rsidP="00BA1656">
            <w:pPr>
              <w:rPr>
                <w:i/>
                <w:sz w:val="16"/>
                <w:szCs w:val="16"/>
              </w:rPr>
            </w:pPr>
            <w:r w:rsidRPr="007352EC">
              <w:rPr>
                <w:rFonts w:eastAsiaTheme="minorHAnsi"/>
                <w:i/>
                <w:sz w:val="16"/>
                <w:szCs w:val="16"/>
              </w:rPr>
              <w:t>Harvard/LSHTM</w:t>
            </w:r>
          </w:p>
        </w:tc>
        <w:tc>
          <w:tcPr>
            <w:tcW w:w="6930" w:type="dxa"/>
          </w:tcPr>
          <w:p w14:paraId="4DAE8FBE" w14:textId="77777777" w:rsidR="00E95A4A" w:rsidRPr="00610510" w:rsidRDefault="00E95A4A" w:rsidP="00BA1656">
            <w:pPr>
              <w:pStyle w:val="ListParagraph"/>
              <w:numPr>
                <w:ilvl w:val="0"/>
                <w:numId w:val="8"/>
              </w:numPr>
              <w:ind w:left="254" w:hanging="180"/>
              <w:rPr>
                <w:rFonts w:ascii="Times New Roman" w:hAnsi="Times New Roman" w:cs="Times New Roman"/>
                <w:sz w:val="16"/>
                <w:szCs w:val="16"/>
              </w:rPr>
            </w:pPr>
            <w:r w:rsidRPr="00610510">
              <w:rPr>
                <w:rFonts w:ascii="Times New Roman" w:eastAsiaTheme="minorHAnsi" w:hAnsi="Times New Roman" w:cs="Times New Roman"/>
                <w:sz w:val="16"/>
                <w:szCs w:val="16"/>
              </w:rPr>
              <w:t>Develop a global strategy to invest in, monitor, and sustain national core capacities. (Rec. 1)</w:t>
            </w:r>
          </w:p>
          <w:p w14:paraId="3CCD37C7" w14:textId="77777777" w:rsidR="00E95A4A" w:rsidRPr="00610510" w:rsidRDefault="00E95A4A" w:rsidP="00BA1656">
            <w:pPr>
              <w:pStyle w:val="ListParagraph"/>
              <w:numPr>
                <w:ilvl w:val="0"/>
                <w:numId w:val="8"/>
              </w:numPr>
              <w:ind w:left="254" w:hanging="180"/>
              <w:rPr>
                <w:rFonts w:ascii="Times New Roman" w:hAnsi="Times New Roman" w:cs="Times New Roman"/>
                <w:sz w:val="16"/>
                <w:szCs w:val="16"/>
              </w:rPr>
            </w:pPr>
            <w:proofErr w:type="spellStart"/>
            <w:r w:rsidRPr="00610510">
              <w:rPr>
                <w:rFonts w:ascii="Times New Roman" w:eastAsiaTheme="minorHAnsi" w:hAnsi="Times New Roman" w:cs="Times New Roman"/>
                <w:sz w:val="16"/>
                <w:szCs w:val="16"/>
              </w:rPr>
              <w:t>Institutionalise</w:t>
            </w:r>
            <w:proofErr w:type="spellEnd"/>
            <w:r w:rsidRPr="00610510">
              <w:rPr>
                <w:rFonts w:ascii="Times New Roman" w:eastAsiaTheme="minorHAnsi" w:hAnsi="Times New Roman" w:cs="Times New Roman"/>
                <w:sz w:val="16"/>
                <w:szCs w:val="16"/>
              </w:rPr>
              <w:t xml:space="preserve"> accountability by creating an independent Accountability Commission for Disease Outbreak Prevention and Response. (Rec. 5)</w:t>
            </w:r>
          </w:p>
          <w:p w14:paraId="27E19946" w14:textId="77777777" w:rsidR="00E95A4A" w:rsidRPr="00610510" w:rsidRDefault="00E95A4A" w:rsidP="00BA1656">
            <w:pPr>
              <w:pStyle w:val="ListParagraph"/>
              <w:numPr>
                <w:ilvl w:val="0"/>
                <w:numId w:val="8"/>
              </w:numPr>
              <w:ind w:left="254" w:hanging="180"/>
              <w:rPr>
                <w:rFonts w:ascii="Times New Roman" w:hAnsi="Times New Roman" w:cs="Times New Roman"/>
                <w:sz w:val="16"/>
                <w:szCs w:val="16"/>
              </w:rPr>
            </w:pPr>
            <w:r w:rsidRPr="00610510">
              <w:rPr>
                <w:rFonts w:ascii="Times New Roman" w:eastAsiaTheme="minorHAnsi" w:hAnsi="Times New Roman" w:cs="Times New Roman"/>
                <w:sz w:val="16"/>
                <w:szCs w:val="16"/>
              </w:rPr>
              <w:t>Create a unified CEPR with clear responsibility, adequate capacity, and strong lines of accountability. (Rec. 3)</w:t>
            </w:r>
          </w:p>
        </w:tc>
      </w:tr>
      <w:tr w:rsidR="00E95A4A" w:rsidRPr="007B799B" w14:paraId="05A98036" w14:textId="77777777" w:rsidTr="00E95A4A">
        <w:tc>
          <w:tcPr>
            <w:tcW w:w="1872" w:type="dxa"/>
            <w:vAlign w:val="center"/>
          </w:tcPr>
          <w:p w14:paraId="69E05ACB" w14:textId="77777777" w:rsidR="00E95A4A" w:rsidRPr="007352EC" w:rsidRDefault="00E95A4A" w:rsidP="00BA1656">
            <w:pPr>
              <w:rPr>
                <w:i/>
                <w:sz w:val="16"/>
                <w:szCs w:val="16"/>
              </w:rPr>
            </w:pPr>
            <w:r w:rsidRPr="007352EC">
              <w:rPr>
                <w:rFonts w:eastAsiaTheme="minorHAnsi"/>
                <w:i/>
                <w:sz w:val="16"/>
                <w:szCs w:val="16"/>
              </w:rPr>
              <w:t>UN Panel</w:t>
            </w:r>
          </w:p>
        </w:tc>
        <w:tc>
          <w:tcPr>
            <w:tcW w:w="6930" w:type="dxa"/>
          </w:tcPr>
          <w:p w14:paraId="5F0819C0" w14:textId="77777777" w:rsidR="00E95A4A" w:rsidRPr="00610510" w:rsidRDefault="00E95A4A" w:rsidP="00BA1656">
            <w:pPr>
              <w:pStyle w:val="ListParagraph"/>
              <w:numPr>
                <w:ilvl w:val="0"/>
                <w:numId w:val="10"/>
              </w:numPr>
              <w:ind w:left="254" w:hanging="180"/>
              <w:rPr>
                <w:rFonts w:ascii="Times New Roman" w:eastAsiaTheme="minorHAnsi" w:hAnsi="Times New Roman" w:cs="Times New Roman"/>
                <w:sz w:val="16"/>
                <w:szCs w:val="16"/>
              </w:rPr>
            </w:pPr>
            <w:r w:rsidRPr="00610510">
              <w:rPr>
                <w:rFonts w:ascii="Times New Roman" w:eastAsiaTheme="minorHAnsi" w:hAnsi="Times New Roman" w:cs="Times New Roman"/>
                <w:sz w:val="16"/>
                <w:szCs w:val="16"/>
              </w:rPr>
              <w:t>WHO strengthens its periodic review of compliance with the IHR Core Capacity requirements. (Rec. 6)</w:t>
            </w:r>
          </w:p>
          <w:p w14:paraId="54D0CC31" w14:textId="77777777" w:rsidR="00E95A4A" w:rsidRPr="00610510" w:rsidRDefault="00E95A4A" w:rsidP="00BA1656">
            <w:pPr>
              <w:pStyle w:val="ListParagraph"/>
              <w:numPr>
                <w:ilvl w:val="0"/>
                <w:numId w:val="9"/>
              </w:numPr>
              <w:ind w:left="254" w:hanging="180"/>
              <w:rPr>
                <w:rFonts w:ascii="Times New Roman" w:hAnsi="Times New Roman" w:cs="Times New Roman"/>
                <w:sz w:val="16"/>
                <w:szCs w:val="16"/>
              </w:rPr>
            </w:pPr>
            <w:r w:rsidRPr="00610510">
              <w:rPr>
                <w:rFonts w:ascii="Times New Roman" w:eastAsiaTheme="minorHAnsi" w:hAnsi="Times New Roman" w:cs="Times New Roman"/>
                <w:sz w:val="16"/>
                <w:szCs w:val="16"/>
              </w:rPr>
              <w:t>By 2020, States Parties to the IHR, with appropriate international cooperation, are in full compliance with the IHR Core Capacity requirements. (Rec. 1)</w:t>
            </w:r>
          </w:p>
          <w:p w14:paraId="69364DCA" w14:textId="77777777" w:rsidR="00E95A4A" w:rsidRPr="00610510" w:rsidRDefault="00E95A4A" w:rsidP="00BA1656">
            <w:pPr>
              <w:pStyle w:val="ListParagraph"/>
              <w:numPr>
                <w:ilvl w:val="0"/>
                <w:numId w:val="9"/>
              </w:numPr>
              <w:ind w:left="254" w:hanging="180"/>
              <w:rPr>
                <w:rFonts w:ascii="Times New Roman" w:hAnsi="Times New Roman" w:cs="Times New Roman"/>
                <w:sz w:val="16"/>
                <w:szCs w:val="16"/>
              </w:rPr>
            </w:pPr>
            <w:r w:rsidRPr="00610510">
              <w:rPr>
                <w:rFonts w:ascii="Times New Roman" w:eastAsiaTheme="minorHAnsi" w:hAnsi="Times New Roman" w:cs="Times New Roman"/>
                <w:sz w:val="16"/>
                <w:szCs w:val="16"/>
              </w:rPr>
              <w:t>WHODG leads urgent efforts, in partnership with the WB, Regional Development Banks, other international organizations, partners, foundations and the private sector, to mobilize financial and technical support to build IHR Core Capacities. (Rec. 17)</w:t>
            </w:r>
          </w:p>
          <w:p w14:paraId="63531DFD" w14:textId="77777777" w:rsidR="00E95A4A" w:rsidRPr="00610510" w:rsidRDefault="00E95A4A" w:rsidP="00BA1656">
            <w:pPr>
              <w:pStyle w:val="ListParagraph"/>
              <w:numPr>
                <w:ilvl w:val="0"/>
                <w:numId w:val="9"/>
              </w:numPr>
              <w:ind w:left="254" w:hanging="180"/>
              <w:rPr>
                <w:rFonts w:ascii="Times New Roman" w:hAnsi="Times New Roman" w:cs="Times New Roman"/>
                <w:sz w:val="16"/>
                <w:szCs w:val="16"/>
              </w:rPr>
            </w:pPr>
            <w:r w:rsidRPr="00610510">
              <w:rPr>
                <w:rFonts w:ascii="Times New Roman" w:eastAsiaTheme="minorHAnsi" w:hAnsi="Times New Roman" w:cs="Times New Roman"/>
                <w:sz w:val="16"/>
                <w:szCs w:val="16"/>
              </w:rPr>
              <w:t>Regional and sub-regional organizations develop or strengthen standing capacities to monitor, prevent and respond to health crises, supported by the WHO. (Rec. 5)</w:t>
            </w:r>
          </w:p>
          <w:p w14:paraId="06B26A6D" w14:textId="77777777" w:rsidR="00E95A4A" w:rsidRPr="00610510" w:rsidRDefault="00E95A4A" w:rsidP="00BA1656">
            <w:pPr>
              <w:pStyle w:val="ListParagraph"/>
              <w:numPr>
                <w:ilvl w:val="0"/>
                <w:numId w:val="9"/>
              </w:numPr>
              <w:ind w:left="254" w:hanging="180"/>
              <w:rPr>
                <w:rFonts w:ascii="Times New Roman" w:hAnsi="Times New Roman" w:cs="Times New Roman"/>
                <w:sz w:val="16"/>
                <w:szCs w:val="16"/>
              </w:rPr>
            </w:pPr>
            <w:r w:rsidRPr="00610510">
              <w:rPr>
                <w:rFonts w:ascii="Times New Roman" w:eastAsiaTheme="minorHAnsi" w:hAnsi="Times New Roman" w:cs="Times New Roman"/>
                <w:sz w:val="16"/>
                <w:szCs w:val="16"/>
              </w:rPr>
              <w:t>UN General Assembly immediately creates a High-level Council on Global Public Health Crises to ensure the world is prepared and able to respond to public health crises. (Rec. 26)</w:t>
            </w:r>
          </w:p>
        </w:tc>
      </w:tr>
      <w:tr w:rsidR="00E95A4A" w:rsidRPr="007B799B" w14:paraId="7571C428" w14:textId="77777777" w:rsidTr="00E95A4A">
        <w:tc>
          <w:tcPr>
            <w:tcW w:w="1872" w:type="dxa"/>
            <w:vAlign w:val="center"/>
          </w:tcPr>
          <w:p w14:paraId="52A85C53" w14:textId="77777777" w:rsidR="00E95A4A" w:rsidRPr="007352EC" w:rsidRDefault="00E95A4A" w:rsidP="00BA1656">
            <w:pPr>
              <w:rPr>
                <w:rFonts w:eastAsiaTheme="minorHAnsi"/>
                <w:i/>
                <w:sz w:val="16"/>
                <w:szCs w:val="16"/>
              </w:rPr>
            </w:pPr>
            <w:r w:rsidRPr="007352EC">
              <w:rPr>
                <w:rFonts w:eastAsiaTheme="minorHAnsi"/>
                <w:i/>
                <w:sz w:val="16"/>
                <w:szCs w:val="16"/>
              </w:rPr>
              <w:t>WHO Interim Assessment</w:t>
            </w:r>
          </w:p>
        </w:tc>
        <w:tc>
          <w:tcPr>
            <w:tcW w:w="6930" w:type="dxa"/>
          </w:tcPr>
          <w:p w14:paraId="1FEACBA6" w14:textId="77777777" w:rsidR="00E95A4A" w:rsidRPr="00610510" w:rsidRDefault="00E95A4A" w:rsidP="00BA1656">
            <w:pPr>
              <w:pStyle w:val="ListParagraph"/>
              <w:numPr>
                <w:ilvl w:val="0"/>
                <w:numId w:val="11"/>
              </w:numPr>
              <w:ind w:left="254" w:hanging="180"/>
              <w:rPr>
                <w:rFonts w:ascii="Times New Roman" w:hAnsi="Times New Roman" w:cs="Times New Roman"/>
                <w:sz w:val="16"/>
                <w:szCs w:val="16"/>
              </w:rPr>
            </w:pPr>
            <w:r w:rsidRPr="00610510">
              <w:rPr>
                <w:rFonts w:ascii="Times New Roman" w:eastAsiaTheme="minorHAnsi" w:hAnsi="Times New Roman" w:cs="Times New Roman"/>
                <w:sz w:val="16"/>
                <w:szCs w:val="16"/>
              </w:rPr>
              <w:t>WHO should propose a prioritized and costed plan, based on independently assessed information, to develop core capacities required under the IHR for all countries. The financing of this plan is to be done in close partnership with the WB. (Rec. 1)</w:t>
            </w:r>
          </w:p>
          <w:p w14:paraId="0D935D93" w14:textId="77777777" w:rsidR="00E95A4A" w:rsidRPr="00610510" w:rsidRDefault="00E95A4A" w:rsidP="00BA1656">
            <w:pPr>
              <w:pStyle w:val="ListParagraph"/>
              <w:numPr>
                <w:ilvl w:val="0"/>
                <w:numId w:val="11"/>
              </w:numPr>
              <w:ind w:left="254" w:hanging="180"/>
              <w:rPr>
                <w:rFonts w:ascii="Times New Roman" w:hAnsi="Times New Roman" w:cs="Times New Roman"/>
                <w:sz w:val="16"/>
                <w:szCs w:val="16"/>
              </w:rPr>
            </w:pPr>
            <w:r w:rsidRPr="00610510">
              <w:rPr>
                <w:rFonts w:ascii="Times New Roman" w:eastAsiaTheme="minorHAnsi" w:hAnsi="Times New Roman" w:cs="Times New Roman"/>
                <w:sz w:val="16"/>
                <w:szCs w:val="16"/>
              </w:rPr>
              <w:t>WHO should establish the WHO CEPR, which will be based on the currently separate outbreak control and humanitarian areas of work. WHO CEPR will need to develop new organizational structures and procedures to achieve full preparedness and response capacity. (Rec. 11)</w:t>
            </w:r>
          </w:p>
          <w:p w14:paraId="697981B4" w14:textId="77777777" w:rsidR="00E95A4A" w:rsidRPr="00610510" w:rsidRDefault="00E95A4A" w:rsidP="00BA1656">
            <w:pPr>
              <w:pStyle w:val="ListParagraph"/>
              <w:numPr>
                <w:ilvl w:val="0"/>
                <w:numId w:val="11"/>
              </w:numPr>
              <w:ind w:left="254" w:hanging="180"/>
              <w:rPr>
                <w:rFonts w:ascii="Times New Roman" w:hAnsi="Times New Roman" w:cs="Times New Roman"/>
                <w:sz w:val="16"/>
                <w:szCs w:val="16"/>
              </w:rPr>
            </w:pPr>
            <w:r w:rsidRPr="00610510">
              <w:rPr>
                <w:rFonts w:ascii="Times New Roman" w:eastAsiaTheme="minorHAnsi" w:hAnsi="Times New Roman" w:cs="Times New Roman"/>
                <w:sz w:val="16"/>
                <w:szCs w:val="16"/>
              </w:rPr>
              <w:t>WHO, through the WHODG, should immediately establish an independent Board to oversee the WHO CEPR. It should guide the development of the new WHO CEPR and report on its progress to the Executive Board, Health Assembly and the UN Inter-Agency Standing Committee. The Chair of this Board should provide an annual report on global health security to the Executive Board, Health Assembly and the UN General Assembly. (Rec. 12)</w:t>
            </w:r>
          </w:p>
        </w:tc>
      </w:tr>
      <w:tr w:rsidR="00E95A4A" w:rsidRPr="007B799B" w14:paraId="3362811E" w14:textId="77777777" w:rsidTr="00E95A4A">
        <w:tc>
          <w:tcPr>
            <w:tcW w:w="8802" w:type="dxa"/>
            <w:gridSpan w:val="2"/>
            <w:shd w:val="clear" w:color="auto" w:fill="8DB3E2" w:themeFill="text2" w:themeFillTint="66"/>
          </w:tcPr>
          <w:p w14:paraId="287F36B5" w14:textId="77777777" w:rsidR="00E95A4A" w:rsidRPr="00610510" w:rsidRDefault="00E95A4A" w:rsidP="00BA1656">
            <w:pPr>
              <w:rPr>
                <w:sz w:val="20"/>
                <w:szCs w:val="20"/>
              </w:rPr>
            </w:pPr>
            <w:r>
              <w:rPr>
                <w:rFonts w:eastAsiaTheme="minorHAnsi"/>
                <w:b/>
                <w:sz w:val="20"/>
                <w:szCs w:val="20"/>
              </w:rPr>
              <w:t xml:space="preserve">Goal 5: </w:t>
            </w:r>
            <w:r w:rsidRPr="00610510">
              <w:rPr>
                <w:rFonts w:eastAsiaTheme="minorHAnsi"/>
                <w:b/>
                <w:sz w:val="20"/>
                <w:szCs w:val="20"/>
              </w:rPr>
              <w:t xml:space="preserve">Achieve gender equality and </w:t>
            </w:r>
            <w:r>
              <w:rPr>
                <w:rFonts w:eastAsiaTheme="minorHAnsi"/>
                <w:b/>
                <w:sz w:val="20"/>
                <w:szCs w:val="20"/>
              </w:rPr>
              <w:t>empower all women and girls</w:t>
            </w:r>
          </w:p>
        </w:tc>
      </w:tr>
      <w:tr w:rsidR="00E95A4A" w:rsidRPr="007B799B" w14:paraId="1262F4BE" w14:textId="77777777" w:rsidTr="00E95A4A">
        <w:tc>
          <w:tcPr>
            <w:tcW w:w="1872" w:type="dxa"/>
            <w:vAlign w:val="center"/>
          </w:tcPr>
          <w:p w14:paraId="65001AB0" w14:textId="77777777" w:rsidR="00E95A4A" w:rsidRPr="007352EC" w:rsidRDefault="00E95A4A" w:rsidP="00BA1656">
            <w:pPr>
              <w:rPr>
                <w:i/>
                <w:sz w:val="16"/>
                <w:szCs w:val="16"/>
              </w:rPr>
            </w:pPr>
            <w:r w:rsidRPr="007352EC">
              <w:rPr>
                <w:rFonts w:eastAsiaTheme="minorHAnsi"/>
                <w:i/>
                <w:sz w:val="16"/>
                <w:szCs w:val="16"/>
              </w:rPr>
              <w:t>CGHRF</w:t>
            </w:r>
          </w:p>
        </w:tc>
        <w:tc>
          <w:tcPr>
            <w:tcW w:w="6930" w:type="dxa"/>
          </w:tcPr>
          <w:p w14:paraId="500CB405" w14:textId="77777777" w:rsidR="00E95A4A" w:rsidRPr="007B799B" w:rsidRDefault="00E95A4A" w:rsidP="00BA1656">
            <w:pPr>
              <w:spacing w:before="20" w:after="20"/>
              <w:rPr>
                <w:rFonts w:eastAsiaTheme="minorHAnsi"/>
                <w:sz w:val="16"/>
                <w:szCs w:val="16"/>
              </w:rPr>
            </w:pPr>
            <w:r w:rsidRPr="007B799B">
              <w:rPr>
                <w:rFonts w:eastAsiaTheme="minorHAnsi"/>
                <w:sz w:val="16"/>
                <w:szCs w:val="16"/>
              </w:rPr>
              <w:t>No recommendation.</w:t>
            </w:r>
          </w:p>
        </w:tc>
      </w:tr>
      <w:tr w:rsidR="00E95A4A" w:rsidRPr="007B799B" w14:paraId="714627E6" w14:textId="77777777" w:rsidTr="00E95A4A">
        <w:tc>
          <w:tcPr>
            <w:tcW w:w="1872" w:type="dxa"/>
            <w:vAlign w:val="center"/>
          </w:tcPr>
          <w:p w14:paraId="7953D717" w14:textId="77777777" w:rsidR="00E95A4A" w:rsidRPr="007352EC" w:rsidRDefault="00E95A4A" w:rsidP="00BA1656">
            <w:pPr>
              <w:rPr>
                <w:i/>
                <w:sz w:val="16"/>
                <w:szCs w:val="16"/>
              </w:rPr>
            </w:pPr>
            <w:r w:rsidRPr="007352EC">
              <w:rPr>
                <w:rFonts w:eastAsiaTheme="minorHAnsi"/>
                <w:i/>
                <w:sz w:val="16"/>
                <w:szCs w:val="16"/>
              </w:rPr>
              <w:t>Harvard/LSHTM</w:t>
            </w:r>
          </w:p>
        </w:tc>
        <w:tc>
          <w:tcPr>
            <w:tcW w:w="6930" w:type="dxa"/>
          </w:tcPr>
          <w:p w14:paraId="206F84CB" w14:textId="77777777" w:rsidR="00E95A4A" w:rsidRPr="007B799B" w:rsidRDefault="00E95A4A" w:rsidP="00BA1656">
            <w:pPr>
              <w:spacing w:before="20" w:after="20"/>
              <w:rPr>
                <w:rFonts w:eastAsiaTheme="minorHAnsi"/>
                <w:sz w:val="16"/>
                <w:szCs w:val="16"/>
              </w:rPr>
            </w:pPr>
            <w:r w:rsidRPr="007B799B">
              <w:rPr>
                <w:rFonts w:eastAsiaTheme="minorHAnsi"/>
                <w:sz w:val="16"/>
                <w:szCs w:val="16"/>
              </w:rPr>
              <w:t>No recommendation.</w:t>
            </w:r>
          </w:p>
        </w:tc>
      </w:tr>
      <w:tr w:rsidR="00E95A4A" w:rsidRPr="007B799B" w14:paraId="5DD75B6B" w14:textId="77777777" w:rsidTr="00E95A4A">
        <w:trPr>
          <w:trHeight w:val="332"/>
        </w:trPr>
        <w:tc>
          <w:tcPr>
            <w:tcW w:w="1872" w:type="dxa"/>
            <w:vAlign w:val="center"/>
          </w:tcPr>
          <w:p w14:paraId="2B759FB0" w14:textId="77777777" w:rsidR="00E95A4A" w:rsidRPr="007352EC" w:rsidRDefault="00E95A4A" w:rsidP="00BA1656">
            <w:pPr>
              <w:rPr>
                <w:i/>
                <w:sz w:val="16"/>
                <w:szCs w:val="16"/>
              </w:rPr>
            </w:pPr>
            <w:r w:rsidRPr="007352EC">
              <w:rPr>
                <w:rFonts w:eastAsiaTheme="minorHAnsi"/>
                <w:i/>
                <w:sz w:val="16"/>
                <w:szCs w:val="16"/>
              </w:rPr>
              <w:t>UN Panel</w:t>
            </w:r>
          </w:p>
        </w:tc>
        <w:tc>
          <w:tcPr>
            <w:tcW w:w="6930" w:type="dxa"/>
          </w:tcPr>
          <w:p w14:paraId="5A7BE399" w14:textId="77777777" w:rsidR="00E95A4A" w:rsidRPr="007352EC" w:rsidRDefault="00E95A4A" w:rsidP="00BA1656">
            <w:pPr>
              <w:pStyle w:val="ListParagraph"/>
              <w:numPr>
                <w:ilvl w:val="0"/>
                <w:numId w:val="12"/>
              </w:numPr>
              <w:ind w:left="288" w:hanging="180"/>
              <w:rPr>
                <w:rFonts w:ascii="Times New Roman" w:hAnsi="Times New Roman" w:cs="Times New Roman"/>
                <w:sz w:val="16"/>
                <w:szCs w:val="16"/>
              </w:rPr>
            </w:pPr>
            <w:r w:rsidRPr="007352EC">
              <w:rPr>
                <w:rFonts w:ascii="Times New Roman" w:eastAsiaTheme="minorHAnsi" w:hAnsi="Times New Roman" w:cs="Times New Roman"/>
                <w:sz w:val="16"/>
                <w:szCs w:val="16"/>
              </w:rPr>
              <w:t>Outbreak preparedness and response efforts should take into account and address the gender dimension. (Rec. 4)</w:t>
            </w:r>
          </w:p>
        </w:tc>
      </w:tr>
      <w:tr w:rsidR="00E95A4A" w:rsidRPr="007B799B" w14:paraId="5387122E" w14:textId="77777777" w:rsidTr="00E95A4A">
        <w:tc>
          <w:tcPr>
            <w:tcW w:w="1872" w:type="dxa"/>
            <w:vAlign w:val="center"/>
          </w:tcPr>
          <w:p w14:paraId="29DAF4DC" w14:textId="77777777" w:rsidR="00E95A4A" w:rsidRPr="007352EC" w:rsidRDefault="00E95A4A" w:rsidP="00BA1656">
            <w:pPr>
              <w:rPr>
                <w:rFonts w:eastAsiaTheme="minorHAnsi"/>
                <w:i/>
                <w:sz w:val="16"/>
                <w:szCs w:val="16"/>
              </w:rPr>
            </w:pPr>
            <w:r w:rsidRPr="007352EC">
              <w:rPr>
                <w:rFonts w:eastAsiaTheme="minorHAnsi"/>
                <w:i/>
                <w:sz w:val="16"/>
                <w:szCs w:val="16"/>
              </w:rPr>
              <w:t>WHO Interim Assessment</w:t>
            </w:r>
          </w:p>
        </w:tc>
        <w:tc>
          <w:tcPr>
            <w:tcW w:w="6930" w:type="dxa"/>
          </w:tcPr>
          <w:p w14:paraId="4FF05F5B" w14:textId="77777777" w:rsidR="00E95A4A" w:rsidRPr="007B799B" w:rsidRDefault="00E95A4A" w:rsidP="00BA1656">
            <w:pPr>
              <w:spacing w:before="20" w:after="20"/>
              <w:rPr>
                <w:rFonts w:eastAsiaTheme="minorHAnsi"/>
                <w:sz w:val="16"/>
                <w:szCs w:val="16"/>
              </w:rPr>
            </w:pPr>
            <w:r w:rsidRPr="007B799B">
              <w:rPr>
                <w:rFonts w:eastAsiaTheme="minorHAnsi"/>
                <w:sz w:val="16"/>
                <w:szCs w:val="16"/>
              </w:rPr>
              <w:t>No recommendation.</w:t>
            </w:r>
          </w:p>
        </w:tc>
      </w:tr>
      <w:tr w:rsidR="00E95A4A" w:rsidRPr="007B799B" w14:paraId="1B7733C9" w14:textId="77777777" w:rsidTr="00E95A4A">
        <w:tc>
          <w:tcPr>
            <w:tcW w:w="8802" w:type="dxa"/>
            <w:gridSpan w:val="2"/>
            <w:shd w:val="clear" w:color="auto" w:fill="8DB3E2" w:themeFill="text2" w:themeFillTint="66"/>
          </w:tcPr>
          <w:p w14:paraId="7FD14CAB" w14:textId="77777777" w:rsidR="00E95A4A" w:rsidRPr="007352EC" w:rsidRDefault="00E95A4A" w:rsidP="00BA1656">
            <w:pPr>
              <w:rPr>
                <w:sz w:val="20"/>
                <w:szCs w:val="20"/>
              </w:rPr>
            </w:pPr>
            <w:r>
              <w:rPr>
                <w:rFonts w:eastAsiaTheme="minorHAnsi"/>
                <w:b/>
                <w:sz w:val="20"/>
                <w:szCs w:val="20"/>
              </w:rPr>
              <w:t xml:space="preserve">Goal 11.5: </w:t>
            </w:r>
            <w:r w:rsidRPr="007352EC">
              <w:rPr>
                <w:rFonts w:eastAsiaTheme="minorHAnsi"/>
                <w:b/>
                <w:sz w:val="20"/>
                <w:szCs w:val="20"/>
              </w:rPr>
              <w:t>By 2030, significantly reduce the number of deaths and the number of people affected and substantially decrease the direct economic losses relative to global gross domestic product caused by disasters, including water-related disasters, with a focus on protecting the poor and peop</w:t>
            </w:r>
            <w:r>
              <w:rPr>
                <w:rFonts w:eastAsiaTheme="minorHAnsi"/>
                <w:b/>
                <w:sz w:val="20"/>
                <w:szCs w:val="20"/>
              </w:rPr>
              <w:t>le in vulnerable situations</w:t>
            </w:r>
          </w:p>
        </w:tc>
      </w:tr>
      <w:tr w:rsidR="00E95A4A" w:rsidRPr="007B799B" w14:paraId="117E5BAD" w14:textId="77777777" w:rsidTr="00E95A4A">
        <w:tc>
          <w:tcPr>
            <w:tcW w:w="1872" w:type="dxa"/>
            <w:vAlign w:val="center"/>
          </w:tcPr>
          <w:p w14:paraId="470A5CA4" w14:textId="77777777" w:rsidR="00E95A4A" w:rsidRPr="007352EC" w:rsidRDefault="00E95A4A" w:rsidP="00BA1656">
            <w:pPr>
              <w:rPr>
                <w:i/>
                <w:sz w:val="16"/>
                <w:szCs w:val="16"/>
              </w:rPr>
            </w:pPr>
            <w:r w:rsidRPr="007352EC">
              <w:rPr>
                <w:rFonts w:eastAsiaTheme="minorHAnsi"/>
                <w:i/>
                <w:sz w:val="16"/>
                <w:szCs w:val="16"/>
              </w:rPr>
              <w:t>CGHRF</w:t>
            </w:r>
          </w:p>
        </w:tc>
        <w:tc>
          <w:tcPr>
            <w:tcW w:w="6930" w:type="dxa"/>
          </w:tcPr>
          <w:p w14:paraId="7390E960" w14:textId="77777777" w:rsidR="00E95A4A" w:rsidRPr="007352EC" w:rsidRDefault="00E95A4A" w:rsidP="00BA1656">
            <w:pPr>
              <w:pStyle w:val="ListParagraph"/>
              <w:numPr>
                <w:ilvl w:val="0"/>
                <w:numId w:val="12"/>
              </w:numPr>
              <w:ind w:left="288" w:hanging="180"/>
              <w:rPr>
                <w:rFonts w:ascii="Times New Roman" w:hAnsi="Times New Roman" w:cs="Times New Roman"/>
                <w:sz w:val="16"/>
                <w:szCs w:val="16"/>
              </w:rPr>
            </w:pPr>
            <w:r w:rsidRPr="007352EC">
              <w:rPr>
                <w:rFonts w:ascii="Times New Roman" w:eastAsiaTheme="minorHAnsi" w:hAnsi="Times New Roman" w:cs="Times New Roman"/>
                <w:sz w:val="16"/>
                <w:szCs w:val="16"/>
              </w:rPr>
              <w:t>WHA should agree on new mechanisms for holding governments publicly accountable for performance under the IHR and broader GHRF, including protocols for avoiding delays in data and alerts and unnecessary restrictions on trade or travel. (Rec. C.8)</w:t>
            </w:r>
          </w:p>
          <w:p w14:paraId="1955F400" w14:textId="77777777" w:rsidR="00E95A4A" w:rsidRPr="007352EC" w:rsidRDefault="00E95A4A" w:rsidP="00BA1656">
            <w:pPr>
              <w:pStyle w:val="ListParagraph"/>
              <w:numPr>
                <w:ilvl w:val="0"/>
                <w:numId w:val="12"/>
              </w:numPr>
              <w:ind w:left="288" w:hanging="180"/>
              <w:rPr>
                <w:rFonts w:ascii="Times New Roman" w:hAnsi="Times New Roman" w:cs="Times New Roman"/>
                <w:sz w:val="16"/>
                <w:szCs w:val="16"/>
              </w:rPr>
            </w:pPr>
            <w:r w:rsidRPr="007352EC">
              <w:rPr>
                <w:rFonts w:ascii="Times New Roman" w:eastAsiaTheme="minorHAnsi" w:hAnsi="Times New Roman" w:cs="Times New Roman"/>
                <w:sz w:val="16"/>
                <w:szCs w:val="16"/>
              </w:rPr>
              <w:lastRenderedPageBreak/>
              <w:t>IMF should ensure capability to provide budgetary support to governments raising alerts of outbreaks. (Rec. C.10)</w:t>
            </w:r>
          </w:p>
        </w:tc>
      </w:tr>
      <w:tr w:rsidR="00E95A4A" w:rsidRPr="007B799B" w14:paraId="6C3BCC56" w14:textId="77777777" w:rsidTr="00E95A4A">
        <w:tc>
          <w:tcPr>
            <w:tcW w:w="1872" w:type="dxa"/>
            <w:vAlign w:val="center"/>
          </w:tcPr>
          <w:p w14:paraId="378FADC0" w14:textId="77777777" w:rsidR="00E95A4A" w:rsidRPr="007352EC" w:rsidRDefault="00E95A4A" w:rsidP="00BA1656">
            <w:pPr>
              <w:rPr>
                <w:i/>
                <w:sz w:val="16"/>
                <w:szCs w:val="16"/>
              </w:rPr>
            </w:pPr>
            <w:r w:rsidRPr="007352EC">
              <w:rPr>
                <w:rFonts w:eastAsiaTheme="minorHAnsi"/>
                <w:i/>
                <w:sz w:val="16"/>
                <w:szCs w:val="16"/>
              </w:rPr>
              <w:lastRenderedPageBreak/>
              <w:t>Harvard/LSHTM</w:t>
            </w:r>
          </w:p>
        </w:tc>
        <w:tc>
          <w:tcPr>
            <w:tcW w:w="6930" w:type="dxa"/>
          </w:tcPr>
          <w:p w14:paraId="1E09778B" w14:textId="77777777" w:rsidR="00E95A4A" w:rsidRPr="007352EC" w:rsidRDefault="00E95A4A" w:rsidP="00BA1656">
            <w:pPr>
              <w:pStyle w:val="ListParagraph"/>
              <w:numPr>
                <w:ilvl w:val="0"/>
                <w:numId w:val="13"/>
              </w:numPr>
              <w:ind w:left="288" w:hanging="180"/>
              <w:rPr>
                <w:rFonts w:ascii="Times New Roman" w:hAnsi="Times New Roman" w:cs="Times New Roman"/>
                <w:sz w:val="16"/>
                <w:szCs w:val="16"/>
              </w:rPr>
            </w:pPr>
            <w:r w:rsidRPr="007352EC">
              <w:rPr>
                <w:rFonts w:ascii="Times New Roman" w:eastAsiaTheme="minorHAnsi" w:hAnsi="Times New Roman" w:cs="Times New Roman"/>
                <w:sz w:val="16"/>
                <w:szCs w:val="16"/>
              </w:rPr>
              <w:t>Strengthen incentives for early reporting of outbreaks and science-based justifications for trade and travel restrictions. (Rec. 2)</w:t>
            </w:r>
          </w:p>
        </w:tc>
      </w:tr>
      <w:tr w:rsidR="00E95A4A" w:rsidRPr="007B799B" w14:paraId="67003DFF" w14:textId="77777777" w:rsidTr="00E95A4A">
        <w:trPr>
          <w:trHeight w:val="90"/>
        </w:trPr>
        <w:tc>
          <w:tcPr>
            <w:tcW w:w="1872" w:type="dxa"/>
            <w:vAlign w:val="center"/>
          </w:tcPr>
          <w:p w14:paraId="4D1AEBF6" w14:textId="77777777" w:rsidR="00E95A4A" w:rsidRPr="007352EC" w:rsidRDefault="00E95A4A" w:rsidP="00BA1656">
            <w:pPr>
              <w:rPr>
                <w:i/>
                <w:sz w:val="16"/>
                <w:szCs w:val="16"/>
              </w:rPr>
            </w:pPr>
            <w:r w:rsidRPr="007352EC">
              <w:rPr>
                <w:rFonts w:eastAsiaTheme="minorHAnsi"/>
                <w:i/>
                <w:sz w:val="16"/>
                <w:szCs w:val="16"/>
              </w:rPr>
              <w:t>UN Panel</w:t>
            </w:r>
          </w:p>
        </w:tc>
        <w:tc>
          <w:tcPr>
            <w:tcW w:w="6930" w:type="dxa"/>
          </w:tcPr>
          <w:p w14:paraId="1CDB2BCA" w14:textId="77777777" w:rsidR="00E95A4A" w:rsidRPr="007352EC" w:rsidRDefault="00E95A4A" w:rsidP="00BA1656">
            <w:pPr>
              <w:pStyle w:val="ListParagraph"/>
              <w:numPr>
                <w:ilvl w:val="0"/>
                <w:numId w:val="13"/>
              </w:numPr>
              <w:ind w:left="288" w:hanging="180"/>
              <w:rPr>
                <w:rFonts w:ascii="Times New Roman" w:hAnsi="Times New Roman" w:cs="Times New Roman"/>
                <w:sz w:val="16"/>
                <w:szCs w:val="16"/>
              </w:rPr>
            </w:pPr>
            <w:r w:rsidRPr="007352EC">
              <w:rPr>
                <w:rFonts w:ascii="Times New Roman" w:eastAsiaTheme="minorHAnsi" w:hAnsi="Times New Roman" w:cs="Times New Roman"/>
                <w:sz w:val="16"/>
                <w:szCs w:val="16"/>
              </w:rPr>
              <w:t>WTO and WHO convene an informal joint Commission of Experts to study possible measures to strengthen coherence between the IHR and the WTO legal frameworks regarding trade restrictions imposed for public health reasons. (Rec. 24)</w:t>
            </w:r>
          </w:p>
          <w:p w14:paraId="1F2B9BAF" w14:textId="77777777" w:rsidR="00E95A4A" w:rsidRPr="007352EC" w:rsidRDefault="00E95A4A" w:rsidP="00BA1656">
            <w:pPr>
              <w:pStyle w:val="ListParagraph"/>
              <w:numPr>
                <w:ilvl w:val="0"/>
                <w:numId w:val="13"/>
              </w:numPr>
              <w:ind w:left="288" w:hanging="180"/>
              <w:rPr>
                <w:rFonts w:ascii="Times New Roman" w:hAnsi="Times New Roman" w:cs="Times New Roman"/>
                <w:sz w:val="16"/>
                <w:szCs w:val="16"/>
              </w:rPr>
            </w:pPr>
            <w:r w:rsidRPr="007352EC">
              <w:rPr>
                <w:rFonts w:ascii="Times New Roman" w:eastAsiaTheme="minorHAnsi" w:hAnsi="Times New Roman" w:cs="Times New Roman"/>
                <w:sz w:val="16"/>
                <w:szCs w:val="16"/>
              </w:rPr>
              <w:t>IHR Review Committee considers developing mechanisms to rapidly address unilateral action by states and others who are in contravention of temporary recommendations issued by the WHO as part of a PHEIC announcement. (Rec. 23)</w:t>
            </w:r>
          </w:p>
        </w:tc>
      </w:tr>
      <w:tr w:rsidR="00E95A4A" w:rsidRPr="007B799B" w14:paraId="3C246FE8" w14:textId="77777777" w:rsidTr="00E95A4A">
        <w:tc>
          <w:tcPr>
            <w:tcW w:w="1872" w:type="dxa"/>
            <w:vAlign w:val="center"/>
          </w:tcPr>
          <w:p w14:paraId="0F574D09" w14:textId="77777777" w:rsidR="00E95A4A" w:rsidRPr="007352EC" w:rsidRDefault="00E95A4A" w:rsidP="00BA1656">
            <w:pPr>
              <w:rPr>
                <w:rFonts w:eastAsiaTheme="minorHAnsi"/>
                <w:i/>
                <w:sz w:val="16"/>
                <w:szCs w:val="16"/>
              </w:rPr>
            </w:pPr>
            <w:r w:rsidRPr="007352EC">
              <w:rPr>
                <w:rFonts w:eastAsiaTheme="minorHAnsi"/>
                <w:i/>
                <w:sz w:val="16"/>
                <w:szCs w:val="16"/>
              </w:rPr>
              <w:t>WHO Interim Assessment</w:t>
            </w:r>
          </w:p>
        </w:tc>
        <w:tc>
          <w:tcPr>
            <w:tcW w:w="6930" w:type="dxa"/>
          </w:tcPr>
          <w:p w14:paraId="23330D3D" w14:textId="77777777" w:rsidR="00E95A4A" w:rsidRPr="007352EC" w:rsidRDefault="00E95A4A" w:rsidP="00BA1656">
            <w:pPr>
              <w:pStyle w:val="ListParagraph"/>
              <w:numPr>
                <w:ilvl w:val="0"/>
                <w:numId w:val="14"/>
              </w:numPr>
              <w:ind w:left="288" w:hanging="180"/>
              <w:rPr>
                <w:rFonts w:ascii="Times New Roman" w:hAnsi="Times New Roman" w:cs="Times New Roman"/>
                <w:sz w:val="16"/>
                <w:szCs w:val="16"/>
              </w:rPr>
            </w:pPr>
            <w:r w:rsidRPr="007352EC">
              <w:rPr>
                <w:rFonts w:ascii="Times New Roman" w:eastAsiaTheme="minorHAnsi" w:hAnsi="Times New Roman" w:cs="Times New Roman"/>
                <w:sz w:val="16"/>
                <w:szCs w:val="16"/>
              </w:rPr>
              <w:t>The IHR Review Committee for Ebola should consider incentives for encouraging countries to notify public health risks to WHO. These might include innovative financing mechanisms such as insurance triggered to mitigate adverse economic effects. (Rec. 3)</w:t>
            </w:r>
          </w:p>
          <w:p w14:paraId="788FB51F" w14:textId="77777777" w:rsidR="00E95A4A" w:rsidRPr="007352EC" w:rsidRDefault="00E95A4A" w:rsidP="00BA1656">
            <w:pPr>
              <w:pStyle w:val="ListParagraph"/>
              <w:numPr>
                <w:ilvl w:val="0"/>
                <w:numId w:val="14"/>
              </w:numPr>
              <w:ind w:left="288" w:hanging="180"/>
              <w:rPr>
                <w:rFonts w:ascii="Times New Roman" w:hAnsi="Times New Roman" w:cs="Times New Roman"/>
                <w:sz w:val="16"/>
                <w:szCs w:val="16"/>
              </w:rPr>
            </w:pPr>
            <w:r w:rsidRPr="007352EC">
              <w:rPr>
                <w:rFonts w:ascii="Times New Roman" w:hAnsi="Times New Roman" w:cs="Times New Roman"/>
                <w:sz w:val="16"/>
                <w:szCs w:val="16"/>
              </w:rPr>
              <w:t>I</w:t>
            </w:r>
            <w:r w:rsidRPr="007352EC">
              <w:rPr>
                <w:rFonts w:ascii="Times New Roman" w:eastAsiaTheme="minorHAnsi" w:hAnsi="Times New Roman" w:cs="Times New Roman"/>
                <w:sz w:val="16"/>
                <w:szCs w:val="16"/>
              </w:rPr>
              <w:t>HR Review Committee for Ebola should consider disincentives to discourage countries from taking measures that interfere with traffic and trade beyond those recommended by WHO. (Rec. 4)</w:t>
            </w:r>
          </w:p>
        </w:tc>
      </w:tr>
      <w:tr w:rsidR="00E95A4A" w:rsidRPr="007B799B" w14:paraId="7A82D966" w14:textId="77777777" w:rsidTr="00E95A4A">
        <w:tc>
          <w:tcPr>
            <w:tcW w:w="8802" w:type="dxa"/>
            <w:gridSpan w:val="2"/>
            <w:shd w:val="clear" w:color="auto" w:fill="8DB3E2" w:themeFill="text2" w:themeFillTint="66"/>
          </w:tcPr>
          <w:p w14:paraId="5CE5E4AE" w14:textId="77777777" w:rsidR="00E95A4A" w:rsidRPr="007352EC" w:rsidRDefault="00E95A4A" w:rsidP="00BA1656">
            <w:pPr>
              <w:rPr>
                <w:sz w:val="20"/>
                <w:szCs w:val="20"/>
              </w:rPr>
            </w:pPr>
            <w:r>
              <w:rPr>
                <w:rFonts w:eastAsiaTheme="minorHAnsi"/>
                <w:b/>
                <w:sz w:val="20"/>
                <w:szCs w:val="20"/>
              </w:rPr>
              <w:t xml:space="preserve">Goal 13.1: </w:t>
            </w:r>
            <w:r w:rsidRPr="007352EC">
              <w:rPr>
                <w:rFonts w:eastAsiaTheme="minorHAnsi"/>
                <w:b/>
                <w:sz w:val="20"/>
                <w:szCs w:val="20"/>
              </w:rPr>
              <w:t>Strengthen resilience and adaptive capacity to climate-related hazards and natural di</w:t>
            </w:r>
            <w:r>
              <w:rPr>
                <w:rFonts w:eastAsiaTheme="minorHAnsi"/>
                <w:b/>
                <w:sz w:val="20"/>
                <w:szCs w:val="20"/>
              </w:rPr>
              <w:t>sasters in all countries</w:t>
            </w:r>
          </w:p>
        </w:tc>
      </w:tr>
      <w:tr w:rsidR="00E95A4A" w:rsidRPr="007B799B" w14:paraId="4B28DAA0" w14:textId="77777777" w:rsidTr="00E95A4A">
        <w:tc>
          <w:tcPr>
            <w:tcW w:w="1872" w:type="dxa"/>
            <w:vAlign w:val="center"/>
          </w:tcPr>
          <w:p w14:paraId="08DB175E" w14:textId="77777777" w:rsidR="00E95A4A" w:rsidRPr="007352EC" w:rsidRDefault="00E95A4A" w:rsidP="00BA1656">
            <w:pPr>
              <w:rPr>
                <w:i/>
                <w:sz w:val="16"/>
                <w:szCs w:val="16"/>
              </w:rPr>
            </w:pPr>
            <w:r w:rsidRPr="007352EC">
              <w:rPr>
                <w:rFonts w:eastAsiaTheme="minorHAnsi"/>
                <w:i/>
                <w:sz w:val="16"/>
                <w:szCs w:val="16"/>
              </w:rPr>
              <w:t>CGHRF</w:t>
            </w:r>
          </w:p>
        </w:tc>
        <w:tc>
          <w:tcPr>
            <w:tcW w:w="6930" w:type="dxa"/>
          </w:tcPr>
          <w:p w14:paraId="581C279F" w14:textId="77777777" w:rsidR="00E95A4A" w:rsidRPr="007352EC" w:rsidRDefault="00E95A4A" w:rsidP="00BA1656">
            <w:pPr>
              <w:pStyle w:val="ListParagraph"/>
              <w:numPr>
                <w:ilvl w:val="0"/>
                <w:numId w:val="16"/>
              </w:numPr>
              <w:ind w:left="288" w:hanging="180"/>
              <w:rPr>
                <w:rFonts w:ascii="Times New Roman" w:hAnsi="Times New Roman" w:cs="Times New Roman"/>
                <w:sz w:val="16"/>
                <w:szCs w:val="16"/>
              </w:rPr>
            </w:pPr>
            <w:r w:rsidRPr="007352EC">
              <w:rPr>
                <w:rFonts w:ascii="Times New Roman" w:eastAsiaTheme="minorHAnsi" w:hAnsi="Times New Roman" w:cs="Times New Roman"/>
                <w:sz w:val="16"/>
                <w:szCs w:val="16"/>
              </w:rPr>
              <w:t>UNSG should work with the WHO and other parts of the UN system to develop strategies for sustaining health system capabilities and infrastructure in fragile and failed states and in war zones, to the extent possible. (Rec. B.10)</w:t>
            </w:r>
          </w:p>
        </w:tc>
      </w:tr>
      <w:tr w:rsidR="00E95A4A" w:rsidRPr="007B799B" w14:paraId="4F2C3C15" w14:textId="77777777" w:rsidTr="00E95A4A">
        <w:tc>
          <w:tcPr>
            <w:tcW w:w="1872" w:type="dxa"/>
            <w:vAlign w:val="center"/>
          </w:tcPr>
          <w:p w14:paraId="7957FA1F" w14:textId="77777777" w:rsidR="00E95A4A" w:rsidRPr="007352EC" w:rsidRDefault="00E95A4A" w:rsidP="00BA1656">
            <w:pPr>
              <w:rPr>
                <w:i/>
                <w:sz w:val="16"/>
                <w:szCs w:val="16"/>
              </w:rPr>
            </w:pPr>
            <w:r w:rsidRPr="007352EC">
              <w:rPr>
                <w:rFonts w:eastAsiaTheme="minorHAnsi"/>
                <w:i/>
                <w:sz w:val="16"/>
                <w:szCs w:val="16"/>
              </w:rPr>
              <w:t>Harvard/LSHTM</w:t>
            </w:r>
          </w:p>
        </w:tc>
        <w:tc>
          <w:tcPr>
            <w:tcW w:w="6930" w:type="dxa"/>
          </w:tcPr>
          <w:p w14:paraId="3F237AD6" w14:textId="77777777" w:rsidR="00E95A4A" w:rsidRPr="007B799B" w:rsidRDefault="00E95A4A" w:rsidP="00BA1656">
            <w:pPr>
              <w:spacing w:before="20" w:after="20"/>
              <w:rPr>
                <w:rFonts w:eastAsiaTheme="minorHAnsi"/>
                <w:sz w:val="16"/>
                <w:szCs w:val="16"/>
              </w:rPr>
            </w:pPr>
            <w:r w:rsidRPr="007B799B">
              <w:rPr>
                <w:rFonts w:eastAsiaTheme="minorHAnsi"/>
                <w:sz w:val="16"/>
                <w:szCs w:val="16"/>
              </w:rPr>
              <w:t>No recommendation.</w:t>
            </w:r>
          </w:p>
        </w:tc>
      </w:tr>
      <w:tr w:rsidR="00E95A4A" w:rsidRPr="007B799B" w14:paraId="6DFF9387" w14:textId="77777777" w:rsidTr="00E95A4A">
        <w:trPr>
          <w:trHeight w:val="503"/>
        </w:trPr>
        <w:tc>
          <w:tcPr>
            <w:tcW w:w="1872" w:type="dxa"/>
            <w:vAlign w:val="center"/>
          </w:tcPr>
          <w:p w14:paraId="6F09D162" w14:textId="77777777" w:rsidR="00E95A4A" w:rsidRPr="007352EC" w:rsidRDefault="00E95A4A" w:rsidP="00BA1656">
            <w:pPr>
              <w:rPr>
                <w:i/>
                <w:sz w:val="16"/>
                <w:szCs w:val="16"/>
              </w:rPr>
            </w:pPr>
            <w:r w:rsidRPr="007352EC">
              <w:rPr>
                <w:rFonts w:eastAsiaTheme="minorHAnsi"/>
                <w:i/>
                <w:sz w:val="16"/>
                <w:szCs w:val="16"/>
              </w:rPr>
              <w:t>UN Panel</w:t>
            </w:r>
          </w:p>
        </w:tc>
        <w:tc>
          <w:tcPr>
            <w:tcW w:w="6930" w:type="dxa"/>
          </w:tcPr>
          <w:p w14:paraId="66B2A20C" w14:textId="77777777" w:rsidR="00E95A4A" w:rsidRPr="007352EC" w:rsidRDefault="00E95A4A" w:rsidP="00BA1656">
            <w:pPr>
              <w:pStyle w:val="ListParagraph"/>
              <w:numPr>
                <w:ilvl w:val="0"/>
                <w:numId w:val="15"/>
              </w:numPr>
              <w:ind w:left="288" w:hanging="180"/>
              <w:rPr>
                <w:rFonts w:ascii="Times New Roman" w:hAnsi="Times New Roman" w:cs="Times New Roman"/>
                <w:sz w:val="16"/>
                <w:szCs w:val="16"/>
              </w:rPr>
            </w:pPr>
            <w:r w:rsidRPr="007352EC">
              <w:rPr>
                <w:rFonts w:ascii="Times New Roman" w:eastAsiaTheme="minorHAnsi" w:hAnsi="Times New Roman" w:cs="Times New Roman"/>
                <w:sz w:val="16"/>
                <w:szCs w:val="16"/>
              </w:rPr>
              <w:t>Partners sustain their Official Development Assistance to health and direct a greater percentage to strengthening health systems under an agreed-upon government-led plan. (Rec. 3)</w:t>
            </w:r>
          </w:p>
        </w:tc>
      </w:tr>
      <w:tr w:rsidR="00E95A4A" w:rsidRPr="007B799B" w14:paraId="794468E8" w14:textId="77777777" w:rsidTr="00E95A4A">
        <w:tc>
          <w:tcPr>
            <w:tcW w:w="1872" w:type="dxa"/>
            <w:vAlign w:val="center"/>
          </w:tcPr>
          <w:p w14:paraId="00CB94D6" w14:textId="77777777" w:rsidR="00E95A4A" w:rsidRPr="007352EC" w:rsidRDefault="00E95A4A" w:rsidP="00BA1656">
            <w:pPr>
              <w:rPr>
                <w:rFonts w:eastAsiaTheme="minorHAnsi"/>
                <w:i/>
                <w:sz w:val="16"/>
                <w:szCs w:val="16"/>
              </w:rPr>
            </w:pPr>
            <w:r w:rsidRPr="007352EC">
              <w:rPr>
                <w:rFonts w:eastAsiaTheme="minorHAnsi"/>
                <w:i/>
                <w:sz w:val="16"/>
                <w:szCs w:val="16"/>
              </w:rPr>
              <w:t>WHO Interim Assessment</w:t>
            </w:r>
          </w:p>
        </w:tc>
        <w:tc>
          <w:tcPr>
            <w:tcW w:w="6930" w:type="dxa"/>
          </w:tcPr>
          <w:p w14:paraId="1D1993B6" w14:textId="77777777" w:rsidR="00E95A4A" w:rsidRPr="007B799B" w:rsidRDefault="00E95A4A" w:rsidP="00BA1656">
            <w:pPr>
              <w:spacing w:before="20" w:after="20"/>
              <w:rPr>
                <w:rFonts w:eastAsiaTheme="minorHAnsi"/>
                <w:sz w:val="16"/>
                <w:szCs w:val="16"/>
              </w:rPr>
            </w:pPr>
            <w:r w:rsidRPr="007B799B">
              <w:rPr>
                <w:rFonts w:eastAsiaTheme="minorHAnsi"/>
                <w:sz w:val="16"/>
                <w:szCs w:val="16"/>
              </w:rPr>
              <w:t>No recommendation.</w:t>
            </w:r>
          </w:p>
        </w:tc>
      </w:tr>
    </w:tbl>
    <w:p w14:paraId="50799609" w14:textId="77777777" w:rsidR="00434441" w:rsidRDefault="00434441" w:rsidP="0012692E">
      <w:pPr>
        <w:rPr>
          <w:rFonts w:asciiTheme="majorHAnsi" w:hAnsiTheme="majorHAnsi"/>
        </w:rPr>
      </w:pPr>
    </w:p>
    <w:p w14:paraId="637DC257" w14:textId="77777777" w:rsidR="00E95A4A" w:rsidRPr="006775BC" w:rsidRDefault="00E95A4A" w:rsidP="0012692E">
      <w:pPr>
        <w:rPr>
          <w:rFonts w:asciiTheme="majorHAnsi" w:hAnsiTheme="majorHAnsi"/>
        </w:rPr>
      </w:pPr>
    </w:p>
    <w:p w14:paraId="6A957319" w14:textId="77777777" w:rsidR="0012692E" w:rsidRPr="002A6CB7" w:rsidRDefault="002A6CB7" w:rsidP="0012692E">
      <w:pPr>
        <w:rPr>
          <w:b/>
        </w:rPr>
      </w:pPr>
      <w:r w:rsidRPr="002A6CB7">
        <w:rPr>
          <w:b/>
          <w:sz w:val="18"/>
          <w:szCs w:val="18"/>
        </w:rPr>
        <w:t xml:space="preserve">Abbreviations used in </w:t>
      </w:r>
      <w:r w:rsidR="00E065D2">
        <w:rPr>
          <w:b/>
          <w:sz w:val="18"/>
          <w:szCs w:val="18"/>
        </w:rPr>
        <w:t xml:space="preserve">Supplementary </w:t>
      </w:r>
      <w:r w:rsidRPr="002A6CB7">
        <w:rPr>
          <w:b/>
          <w:sz w:val="18"/>
          <w:szCs w:val="18"/>
        </w:rPr>
        <w:t xml:space="preserve">Table </w:t>
      </w:r>
      <w:r w:rsidR="00E065D2">
        <w:rPr>
          <w:b/>
          <w:sz w:val="18"/>
          <w:szCs w:val="18"/>
        </w:rPr>
        <w:t>2</w:t>
      </w:r>
    </w:p>
    <w:tbl>
      <w:tblPr>
        <w:tblStyle w:val="TableGrid"/>
        <w:tblW w:w="8838" w:type="dxa"/>
        <w:tblLayout w:type="fixed"/>
        <w:tblLook w:val="04A0" w:firstRow="1" w:lastRow="0" w:firstColumn="1" w:lastColumn="0" w:noHBand="0" w:noVBand="1"/>
      </w:tblPr>
      <w:tblGrid>
        <w:gridCol w:w="811"/>
        <w:gridCol w:w="3707"/>
        <w:gridCol w:w="990"/>
        <w:gridCol w:w="3330"/>
      </w:tblGrid>
      <w:tr w:rsidR="002A6CB7" w:rsidRPr="00434441" w14:paraId="6EA32FCD" w14:textId="77777777" w:rsidTr="002A6CB7">
        <w:tc>
          <w:tcPr>
            <w:tcW w:w="811" w:type="dxa"/>
          </w:tcPr>
          <w:p w14:paraId="026D6AB7" w14:textId="77777777" w:rsidR="00434441" w:rsidRPr="00E95A4A" w:rsidRDefault="00434441" w:rsidP="00434441">
            <w:pPr>
              <w:rPr>
                <w:i/>
                <w:sz w:val="18"/>
                <w:szCs w:val="18"/>
              </w:rPr>
            </w:pPr>
            <w:r w:rsidRPr="00E95A4A">
              <w:rPr>
                <w:i/>
                <w:sz w:val="18"/>
                <w:szCs w:val="18"/>
              </w:rPr>
              <w:t>CEPR</w:t>
            </w:r>
          </w:p>
        </w:tc>
        <w:tc>
          <w:tcPr>
            <w:tcW w:w="3707" w:type="dxa"/>
          </w:tcPr>
          <w:p w14:paraId="3AA39FC9" w14:textId="77777777" w:rsidR="00434441" w:rsidRPr="00434441" w:rsidRDefault="00434441" w:rsidP="00434441">
            <w:pPr>
              <w:rPr>
                <w:sz w:val="18"/>
                <w:szCs w:val="18"/>
              </w:rPr>
            </w:pPr>
            <w:r w:rsidRPr="00434441">
              <w:rPr>
                <w:sz w:val="18"/>
                <w:szCs w:val="18"/>
              </w:rPr>
              <w:t>Centre for Emergency Preparedness and Response</w:t>
            </w:r>
          </w:p>
        </w:tc>
        <w:tc>
          <w:tcPr>
            <w:tcW w:w="990" w:type="dxa"/>
          </w:tcPr>
          <w:p w14:paraId="3235A96E" w14:textId="77777777" w:rsidR="00434441" w:rsidRPr="00E95A4A" w:rsidRDefault="00434441" w:rsidP="00434441">
            <w:pPr>
              <w:rPr>
                <w:i/>
                <w:sz w:val="18"/>
                <w:szCs w:val="18"/>
              </w:rPr>
            </w:pPr>
            <w:r w:rsidRPr="00E95A4A">
              <w:rPr>
                <w:i/>
                <w:sz w:val="18"/>
                <w:szCs w:val="18"/>
              </w:rPr>
              <w:t>PPDC</w:t>
            </w:r>
          </w:p>
        </w:tc>
        <w:tc>
          <w:tcPr>
            <w:tcW w:w="3330" w:type="dxa"/>
          </w:tcPr>
          <w:p w14:paraId="4FB1AF69" w14:textId="77777777" w:rsidR="00434441" w:rsidRPr="00434441" w:rsidRDefault="00434441" w:rsidP="00434441">
            <w:pPr>
              <w:rPr>
                <w:sz w:val="18"/>
                <w:szCs w:val="18"/>
              </w:rPr>
            </w:pPr>
            <w:r w:rsidRPr="00434441">
              <w:rPr>
                <w:sz w:val="18"/>
                <w:szCs w:val="18"/>
              </w:rPr>
              <w:t>Pandemic Product Development Committee</w:t>
            </w:r>
          </w:p>
        </w:tc>
      </w:tr>
      <w:tr w:rsidR="002A6CB7" w:rsidRPr="00434441" w14:paraId="33700EFE" w14:textId="77777777" w:rsidTr="002A6CB7">
        <w:tc>
          <w:tcPr>
            <w:tcW w:w="811" w:type="dxa"/>
          </w:tcPr>
          <w:p w14:paraId="056DB174" w14:textId="77777777" w:rsidR="00434441" w:rsidRPr="00E95A4A" w:rsidRDefault="00434441" w:rsidP="00434441">
            <w:pPr>
              <w:rPr>
                <w:i/>
                <w:sz w:val="18"/>
                <w:szCs w:val="18"/>
              </w:rPr>
            </w:pPr>
            <w:r w:rsidRPr="00E95A4A">
              <w:rPr>
                <w:i/>
                <w:sz w:val="18"/>
                <w:szCs w:val="18"/>
              </w:rPr>
              <w:t>CHEPR</w:t>
            </w:r>
          </w:p>
        </w:tc>
        <w:tc>
          <w:tcPr>
            <w:tcW w:w="3707" w:type="dxa"/>
          </w:tcPr>
          <w:p w14:paraId="5C3D6ADB" w14:textId="77777777" w:rsidR="00434441" w:rsidRPr="00434441" w:rsidRDefault="00434441" w:rsidP="00434441">
            <w:pPr>
              <w:rPr>
                <w:sz w:val="18"/>
                <w:szCs w:val="18"/>
              </w:rPr>
            </w:pPr>
            <w:r w:rsidRPr="00434441">
              <w:rPr>
                <w:sz w:val="18"/>
                <w:szCs w:val="18"/>
              </w:rPr>
              <w:t>Center for Health Emergency Preparedness and Response</w:t>
            </w:r>
          </w:p>
        </w:tc>
        <w:tc>
          <w:tcPr>
            <w:tcW w:w="990" w:type="dxa"/>
          </w:tcPr>
          <w:p w14:paraId="3B394AD8" w14:textId="77777777" w:rsidR="00434441" w:rsidRPr="00E95A4A" w:rsidRDefault="00434441" w:rsidP="00434441">
            <w:pPr>
              <w:rPr>
                <w:i/>
                <w:sz w:val="18"/>
                <w:szCs w:val="18"/>
              </w:rPr>
            </w:pPr>
            <w:r w:rsidRPr="00E95A4A">
              <w:rPr>
                <w:i/>
                <w:sz w:val="18"/>
                <w:szCs w:val="18"/>
              </w:rPr>
              <w:t>R&amp;D</w:t>
            </w:r>
          </w:p>
        </w:tc>
        <w:tc>
          <w:tcPr>
            <w:tcW w:w="3330" w:type="dxa"/>
          </w:tcPr>
          <w:p w14:paraId="1FF920E7" w14:textId="77777777" w:rsidR="00434441" w:rsidRPr="00434441" w:rsidRDefault="00434441" w:rsidP="00434441">
            <w:pPr>
              <w:rPr>
                <w:sz w:val="18"/>
                <w:szCs w:val="18"/>
              </w:rPr>
            </w:pPr>
            <w:r w:rsidRPr="00434441">
              <w:rPr>
                <w:sz w:val="18"/>
                <w:szCs w:val="18"/>
              </w:rPr>
              <w:t>research and development</w:t>
            </w:r>
          </w:p>
        </w:tc>
      </w:tr>
      <w:tr w:rsidR="002A6CB7" w:rsidRPr="00434441" w14:paraId="1EB3D78E" w14:textId="77777777" w:rsidTr="002A6CB7">
        <w:tc>
          <w:tcPr>
            <w:tcW w:w="811" w:type="dxa"/>
          </w:tcPr>
          <w:p w14:paraId="6CFBEE47" w14:textId="77777777" w:rsidR="00434441" w:rsidRPr="00E95A4A" w:rsidRDefault="00434441" w:rsidP="00434441">
            <w:pPr>
              <w:rPr>
                <w:i/>
                <w:sz w:val="18"/>
                <w:szCs w:val="18"/>
              </w:rPr>
            </w:pPr>
            <w:r w:rsidRPr="00E95A4A">
              <w:rPr>
                <w:i/>
                <w:sz w:val="18"/>
                <w:szCs w:val="18"/>
              </w:rPr>
              <w:t>GHRF</w:t>
            </w:r>
          </w:p>
        </w:tc>
        <w:tc>
          <w:tcPr>
            <w:tcW w:w="3707" w:type="dxa"/>
          </w:tcPr>
          <w:p w14:paraId="17F108FD" w14:textId="77777777" w:rsidR="00434441" w:rsidRPr="00434441" w:rsidRDefault="00434441" w:rsidP="00434441">
            <w:pPr>
              <w:rPr>
                <w:sz w:val="18"/>
                <w:szCs w:val="18"/>
              </w:rPr>
            </w:pPr>
            <w:r w:rsidRPr="00434441">
              <w:rPr>
                <w:sz w:val="18"/>
                <w:szCs w:val="18"/>
              </w:rPr>
              <w:t>Global Health Risk Framework</w:t>
            </w:r>
          </w:p>
        </w:tc>
        <w:tc>
          <w:tcPr>
            <w:tcW w:w="990" w:type="dxa"/>
          </w:tcPr>
          <w:p w14:paraId="14F29AAB" w14:textId="77777777" w:rsidR="00434441" w:rsidRPr="00E95A4A" w:rsidRDefault="00434441" w:rsidP="00434441">
            <w:pPr>
              <w:rPr>
                <w:i/>
                <w:sz w:val="18"/>
                <w:szCs w:val="18"/>
              </w:rPr>
            </w:pPr>
            <w:r w:rsidRPr="00E95A4A">
              <w:rPr>
                <w:i/>
                <w:sz w:val="18"/>
                <w:szCs w:val="18"/>
              </w:rPr>
              <w:t>Rec.</w:t>
            </w:r>
          </w:p>
        </w:tc>
        <w:tc>
          <w:tcPr>
            <w:tcW w:w="3330" w:type="dxa"/>
          </w:tcPr>
          <w:p w14:paraId="3A2453E9" w14:textId="77777777" w:rsidR="00434441" w:rsidRPr="00434441" w:rsidRDefault="00434441" w:rsidP="00434441">
            <w:pPr>
              <w:rPr>
                <w:sz w:val="18"/>
                <w:szCs w:val="18"/>
              </w:rPr>
            </w:pPr>
            <w:r w:rsidRPr="00434441">
              <w:rPr>
                <w:sz w:val="18"/>
                <w:szCs w:val="18"/>
              </w:rPr>
              <w:t>recommendation</w:t>
            </w:r>
          </w:p>
        </w:tc>
      </w:tr>
      <w:tr w:rsidR="002A6CB7" w:rsidRPr="00434441" w14:paraId="2928EBBB" w14:textId="77777777" w:rsidTr="002A6CB7">
        <w:tc>
          <w:tcPr>
            <w:tcW w:w="811" w:type="dxa"/>
          </w:tcPr>
          <w:p w14:paraId="7461281E" w14:textId="77777777" w:rsidR="00434441" w:rsidRPr="00E95A4A" w:rsidRDefault="00434441" w:rsidP="00434441">
            <w:pPr>
              <w:rPr>
                <w:i/>
                <w:sz w:val="18"/>
                <w:szCs w:val="18"/>
              </w:rPr>
            </w:pPr>
            <w:r w:rsidRPr="00E95A4A">
              <w:rPr>
                <w:i/>
                <w:sz w:val="18"/>
                <w:szCs w:val="18"/>
              </w:rPr>
              <w:t>GHSA</w:t>
            </w:r>
          </w:p>
        </w:tc>
        <w:tc>
          <w:tcPr>
            <w:tcW w:w="3707" w:type="dxa"/>
          </w:tcPr>
          <w:p w14:paraId="4E4CF651" w14:textId="77777777" w:rsidR="00434441" w:rsidRPr="00434441" w:rsidRDefault="00434441" w:rsidP="00434441">
            <w:pPr>
              <w:rPr>
                <w:sz w:val="18"/>
                <w:szCs w:val="18"/>
              </w:rPr>
            </w:pPr>
            <w:r w:rsidRPr="00434441">
              <w:rPr>
                <w:sz w:val="18"/>
                <w:szCs w:val="18"/>
              </w:rPr>
              <w:t>Global Health Security Agenda</w:t>
            </w:r>
          </w:p>
        </w:tc>
        <w:tc>
          <w:tcPr>
            <w:tcW w:w="990" w:type="dxa"/>
          </w:tcPr>
          <w:p w14:paraId="79925F28" w14:textId="77777777" w:rsidR="00434441" w:rsidRPr="00E95A4A" w:rsidRDefault="00434441" w:rsidP="00434441">
            <w:pPr>
              <w:rPr>
                <w:i/>
                <w:sz w:val="18"/>
                <w:szCs w:val="18"/>
              </w:rPr>
            </w:pPr>
            <w:r w:rsidRPr="00E95A4A">
              <w:rPr>
                <w:i/>
                <w:sz w:val="18"/>
                <w:szCs w:val="18"/>
              </w:rPr>
              <w:t>TGB</w:t>
            </w:r>
          </w:p>
        </w:tc>
        <w:tc>
          <w:tcPr>
            <w:tcW w:w="3330" w:type="dxa"/>
          </w:tcPr>
          <w:p w14:paraId="7F598AA6" w14:textId="77777777" w:rsidR="00434441" w:rsidRPr="00434441" w:rsidRDefault="00434441" w:rsidP="00434441">
            <w:pPr>
              <w:rPr>
                <w:sz w:val="18"/>
                <w:szCs w:val="18"/>
              </w:rPr>
            </w:pPr>
            <w:r w:rsidRPr="00434441">
              <w:rPr>
                <w:sz w:val="18"/>
                <w:szCs w:val="18"/>
              </w:rPr>
              <w:t>Technical Governing Board</w:t>
            </w:r>
          </w:p>
        </w:tc>
      </w:tr>
      <w:tr w:rsidR="002A6CB7" w:rsidRPr="00434441" w14:paraId="59B8232A" w14:textId="77777777" w:rsidTr="002A6CB7">
        <w:tc>
          <w:tcPr>
            <w:tcW w:w="811" w:type="dxa"/>
          </w:tcPr>
          <w:p w14:paraId="21E82E4A" w14:textId="77777777" w:rsidR="00434441" w:rsidRPr="00E95A4A" w:rsidRDefault="00434441" w:rsidP="00434441">
            <w:pPr>
              <w:rPr>
                <w:i/>
                <w:sz w:val="18"/>
                <w:szCs w:val="18"/>
              </w:rPr>
            </w:pPr>
            <w:r w:rsidRPr="00E95A4A">
              <w:rPr>
                <w:i/>
                <w:sz w:val="18"/>
                <w:szCs w:val="18"/>
              </w:rPr>
              <w:t>IHR</w:t>
            </w:r>
          </w:p>
        </w:tc>
        <w:tc>
          <w:tcPr>
            <w:tcW w:w="3707" w:type="dxa"/>
          </w:tcPr>
          <w:p w14:paraId="6344A00D" w14:textId="77777777" w:rsidR="00434441" w:rsidRPr="00434441" w:rsidRDefault="00434441" w:rsidP="00434441">
            <w:pPr>
              <w:rPr>
                <w:sz w:val="18"/>
                <w:szCs w:val="18"/>
              </w:rPr>
            </w:pPr>
            <w:r w:rsidRPr="00434441">
              <w:rPr>
                <w:sz w:val="18"/>
                <w:szCs w:val="18"/>
              </w:rPr>
              <w:t>International Health Regulations</w:t>
            </w:r>
          </w:p>
        </w:tc>
        <w:tc>
          <w:tcPr>
            <w:tcW w:w="990" w:type="dxa"/>
          </w:tcPr>
          <w:p w14:paraId="5ABD0463" w14:textId="77777777" w:rsidR="00434441" w:rsidRPr="00E95A4A" w:rsidRDefault="00434441" w:rsidP="00434441">
            <w:pPr>
              <w:rPr>
                <w:i/>
                <w:sz w:val="18"/>
                <w:szCs w:val="18"/>
              </w:rPr>
            </w:pPr>
            <w:r w:rsidRPr="00E95A4A">
              <w:rPr>
                <w:i/>
                <w:sz w:val="18"/>
                <w:szCs w:val="18"/>
              </w:rPr>
              <w:t>UN</w:t>
            </w:r>
          </w:p>
        </w:tc>
        <w:tc>
          <w:tcPr>
            <w:tcW w:w="3330" w:type="dxa"/>
          </w:tcPr>
          <w:p w14:paraId="205E38DC" w14:textId="77777777" w:rsidR="00434441" w:rsidRPr="00434441" w:rsidRDefault="00434441" w:rsidP="00434441">
            <w:pPr>
              <w:rPr>
                <w:sz w:val="18"/>
                <w:szCs w:val="18"/>
              </w:rPr>
            </w:pPr>
            <w:r w:rsidRPr="00434441">
              <w:rPr>
                <w:sz w:val="18"/>
                <w:szCs w:val="18"/>
              </w:rPr>
              <w:t>United Nations</w:t>
            </w:r>
          </w:p>
        </w:tc>
      </w:tr>
      <w:tr w:rsidR="002A6CB7" w:rsidRPr="00434441" w14:paraId="2DE8D2C4" w14:textId="77777777" w:rsidTr="002A6CB7">
        <w:tc>
          <w:tcPr>
            <w:tcW w:w="811" w:type="dxa"/>
          </w:tcPr>
          <w:p w14:paraId="0829FAE5" w14:textId="77777777" w:rsidR="00434441" w:rsidRPr="00E95A4A" w:rsidRDefault="00434441" w:rsidP="00434441">
            <w:pPr>
              <w:rPr>
                <w:i/>
                <w:sz w:val="18"/>
                <w:szCs w:val="18"/>
              </w:rPr>
            </w:pPr>
            <w:r w:rsidRPr="00E95A4A">
              <w:rPr>
                <w:i/>
                <w:sz w:val="18"/>
                <w:szCs w:val="18"/>
              </w:rPr>
              <w:t>IMF</w:t>
            </w:r>
          </w:p>
        </w:tc>
        <w:tc>
          <w:tcPr>
            <w:tcW w:w="3707" w:type="dxa"/>
          </w:tcPr>
          <w:p w14:paraId="4D8AE79A" w14:textId="77777777" w:rsidR="00434441" w:rsidRPr="00434441" w:rsidRDefault="00434441" w:rsidP="00434441">
            <w:pPr>
              <w:rPr>
                <w:sz w:val="18"/>
                <w:szCs w:val="18"/>
              </w:rPr>
            </w:pPr>
            <w:r w:rsidRPr="00434441">
              <w:rPr>
                <w:sz w:val="18"/>
                <w:szCs w:val="18"/>
              </w:rPr>
              <w:t>International Monetary Fund</w:t>
            </w:r>
          </w:p>
        </w:tc>
        <w:tc>
          <w:tcPr>
            <w:tcW w:w="990" w:type="dxa"/>
          </w:tcPr>
          <w:p w14:paraId="64E3D290" w14:textId="77777777" w:rsidR="00434441" w:rsidRPr="00E95A4A" w:rsidRDefault="00434441" w:rsidP="00434441">
            <w:pPr>
              <w:rPr>
                <w:i/>
                <w:sz w:val="18"/>
                <w:szCs w:val="18"/>
              </w:rPr>
            </w:pPr>
            <w:r w:rsidRPr="00E95A4A">
              <w:rPr>
                <w:i/>
                <w:sz w:val="18"/>
                <w:szCs w:val="18"/>
              </w:rPr>
              <w:t>UNSG</w:t>
            </w:r>
          </w:p>
        </w:tc>
        <w:tc>
          <w:tcPr>
            <w:tcW w:w="3330" w:type="dxa"/>
          </w:tcPr>
          <w:p w14:paraId="1311D36E" w14:textId="77777777" w:rsidR="00434441" w:rsidRPr="00434441" w:rsidRDefault="00434441" w:rsidP="00434441">
            <w:pPr>
              <w:rPr>
                <w:sz w:val="18"/>
                <w:szCs w:val="18"/>
              </w:rPr>
            </w:pPr>
            <w:r w:rsidRPr="00434441">
              <w:rPr>
                <w:sz w:val="18"/>
                <w:szCs w:val="18"/>
              </w:rPr>
              <w:t>UN Secretary General</w:t>
            </w:r>
          </w:p>
        </w:tc>
      </w:tr>
      <w:tr w:rsidR="002A6CB7" w:rsidRPr="00434441" w14:paraId="2FF1EC6D" w14:textId="77777777" w:rsidTr="002A6CB7">
        <w:tc>
          <w:tcPr>
            <w:tcW w:w="811" w:type="dxa"/>
          </w:tcPr>
          <w:p w14:paraId="57EA7EB2" w14:textId="77777777" w:rsidR="00434441" w:rsidRPr="00E95A4A" w:rsidRDefault="00434441" w:rsidP="00434441">
            <w:pPr>
              <w:rPr>
                <w:i/>
                <w:sz w:val="18"/>
                <w:szCs w:val="18"/>
              </w:rPr>
            </w:pPr>
            <w:r w:rsidRPr="00E95A4A">
              <w:rPr>
                <w:i/>
                <w:sz w:val="18"/>
                <w:szCs w:val="18"/>
              </w:rPr>
              <w:t>NFP</w:t>
            </w:r>
          </w:p>
        </w:tc>
        <w:tc>
          <w:tcPr>
            <w:tcW w:w="3707" w:type="dxa"/>
          </w:tcPr>
          <w:p w14:paraId="5A0B562B" w14:textId="77777777" w:rsidR="00434441" w:rsidRPr="00434441" w:rsidRDefault="00434441" w:rsidP="00434441">
            <w:pPr>
              <w:rPr>
                <w:sz w:val="18"/>
                <w:szCs w:val="18"/>
              </w:rPr>
            </w:pPr>
            <w:r w:rsidRPr="00434441">
              <w:rPr>
                <w:sz w:val="18"/>
                <w:szCs w:val="18"/>
              </w:rPr>
              <w:t>National Focal Point</w:t>
            </w:r>
          </w:p>
        </w:tc>
        <w:tc>
          <w:tcPr>
            <w:tcW w:w="990" w:type="dxa"/>
          </w:tcPr>
          <w:p w14:paraId="7FF591D9" w14:textId="77777777" w:rsidR="00434441" w:rsidRPr="00E95A4A" w:rsidRDefault="00434441" w:rsidP="00434441">
            <w:pPr>
              <w:rPr>
                <w:i/>
                <w:sz w:val="18"/>
                <w:szCs w:val="18"/>
              </w:rPr>
            </w:pPr>
            <w:r w:rsidRPr="00E95A4A">
              <w:rPr>
                <w:i/>
                <w:sz w:val="18"/>
                <w:szCs w:val="18"/>
              </w:rPr>
              <w:t>WB</w:t>
            </w:r>
          </w:p>
        </w:tc>
        <w:tc>
          <w:tcPr>
            <w:tcW w:w="3330" w:type="dxa"/>
          </w:tcPr>
          <w:p w14:paraId="0AE9370F" w14:textId="77777777" w:rsidR="00434441" w:rsidRPr="00434441" w:rsidRDefault="00434441" w:rsidP="00434441">
            <w:pPr>
              <w:rPr>
                <w:sz w:val="18"/>
                <w:szCs w:val="18"/>
              </w:rPr>
            </w:pPr>
            <w:r w:rsidRPr="00434441">
              <w:rPr>
                <w:sz w:val="18"/>
                <w:szCs w:val="18"/>
              </w:rPr>
              <w:t>World Bank</w:t>
            </w:r>
          </w:p>
        </w:tc>
      </w:tr>
      <w:tr w:rsidR="002A6CB7" w:rsidRPr="00434441" w14:paraId="156E752E" w14:textId="77777777" w:rsidTr="002A6CB7">
        <w:tc>
          <w:tcPr>
            <w:tcW w:w="811" w:type="dxa"/>
          </w:tcPr>
          <w:p w14:paraId="6F07F15A" w14:textId="77777777" w:rsidR="00434441" w:rsidRPr="00E95A4A" w:rsidRDefault="00434441" w:rsidP="00434441">
            <w:pPr>
              <w:rPr>
                <w:i/>
                <w:sz w:val="18"/>
                <w:szCs w:val="18"/>
              </w:rPr>
            </w:pPr>
            <w:r w:rsidRPr="00E95A4A">
              <w:rPr>
                <w:i/>
                <w:sz w:val="18"/>
                <w:szCs w:val="18"/>
              </w:rPr>
              <w:t>OCHA</w:t>
            </w:r>
          </w:p>
        </w:tc>
        <w:tc>
          <w:tcPr>
            <w:tcW w:w="3707" w:type="dxa"/>
          </w:tcPr>
          <w:p w14:paraId="1EC30F25" w14:textId="77777777" w:rsidR="00434441" w:rsidRPr="00434441" w:rsidRDefault="00434441" w:rsidP="00434441">
            <w:pPr>
              <w:rPr>
                <w:sz w:val="18"/>
                <w:szCs w:val="18"/>
              </w:rPr>
            </w:pPr>
            <w:r w:rsidRPr="00434441">
              <w:rPr>
                <w:sz w:val="18"/>
                <w:szCs w:val="18"/>
              </w:rPr>
              <w:t>Office for the Coordination of Humanitarian Affairs</w:t>
            </w:r>
          </w:p>
        </w:tc>
        <w:tc>
          <w:tcPr>
            <w:tcW w:w="990" w:type="dxa"/>
          </w:tcPr>
          <w:p w14:paraId="3C28C540" w14:textId="77777777" w:rsidR="00434441" w:rsidRPr="00E95A4A" w:rsidRDefault="00434441" w:rsidP="00434441">
            <w:pPr>
              <w:rPr>
                <w:i/>
                <w:sz w:val="18"/>
                <w:szCs w:val="18"/>
              </w:rPr>
            </w:pPr>
            <w:r w:rsidRPr="00E95A4A">
              <w:rPr>
                <w:i/>
                <w:sz w:val="18"/>
                <w:szCs w:val="18"/>
              </w:rPr>
              <w:t>WHA</w:t>
            </w:r>
          </w:p>
        </w:tc>
        <w:tc>
          <w:tcPr>
            <w:tcW w:w="3330" w:type="dxa"/>
          </w:tcPr>
          <w:p w14:paraId="0323F4AE" w14:textId="77777777" w:rsidR="00434441" w:rsidRPr="00434441" w:rsidRDefault="00434441" w:rsidP="00434441">
            <w:pPr>
              <w:rPr>
                <w:sz w:val="18"/>
                <w:szCs w:val="18"/>
              </w:rPr>
            </w:pPr>
            <w:r w:rsidRPr="00434441">
              <w:rPr>
                <w:sz w:val="18"/>
                <w:szCs w:val="18"/>
              </w:rPr>
              <w:t>World Health Assembly</w:t>
            </w:r>
          </w:p>
        </w:tc>
      </w:tr>
      <w:tr w:rsidR="002A6CB7" w:rsidRPr="00434441" w14:paraId="0AFEBF19" w14:textId="77777777" w:rsidTr="002A6CB7">
        <w:tc>
          <w:tcPr>
            <w:tcW w:w="811" w:type="dxa"/>
          </w:tcPr>
          <w:p w14:paraId="49922181" w14:textId="77777777" w:rsidR="00434441" w:rsidRPr="00E95A4A" w:rsidRDefault="00434441" w:rsidP="00434441">
            <w:pPr>
              <w:rPr>
                <w:i/>
                <w:sz w:val="18"/>
                <w:szCs w:val="18"/>
              </w:rPr>
            </w:pPr>
            <w:r w:rsidRPr="00E95A4A">
              <w:rPr>
                <w:i/>
                <w:sz w:val="18"/>
                <w:szCs w:val="18"/>
              </w:rPr>
              <w:t>OIE</w:t>
            </w:r>
          </w:p>
        </w:tc>
        <w:tc>
          <w:tcPr>
            <w:tcW w:w="3707" w:type="dxa"/>
          </w:tcPr>
          <w:p w14:paraId="061C40C3" w14:textId="77777777" w:rsidR="00434441" w:rsidRPr="00434441" w:rsidRDefault="00434441" w:rsidP="00434441">
            <w:pPr>
              <w:rPr>
                <w:sz w:val="18"/>
                <w:szCs w:val="18"/>
              </w:rPr>
            </w:pPr>
            <w:r w:rsidRPr="00434441">
              <w:rPr>
                <w:sz w:val="18"/>
                <w:szCs w:val="18"/>
              </w:rPr>
              <w:t>World Organization for Animal Health</w:t>
            </w:r>
          </w:p>
        </w:tc>
        <w:tc>
          <w:tcPr>
            <w:tcW w:w="990" w:type="dxa"/>
          </w:tcPr>
          <w:p w14:paraId="04ED25BA" w14:textId="77777777" w:rsidR="00434441" w:rsidRPr="00E95A4A" w:rsidRDefault="00434441" w:rsidP="00434441">
            <w:pPr>
              <w:rPr>
                <w:i/>
                <w:sz w:val="18"/>
                <w:szCs w:val="18"/>
              </w:rPr>
            </w:pPr>
            <w:r w:rsidRPr="00E95A4A">
              <w:rPr>
                <w:i/>
                <w:sz w:val="18"/>
                <w:szCs w:val="18"/>
              </w:rPr>
              <w:t>WHO</w:t>
            </w:r>
          </w:p>
        </w:tc>
        <w:tc>
          <w:tcPr>
            <w:tcW w:w="3330" w:type="dxa"/>
          </w:tcPr>
          <w:p w14:paraId="18CCFC7B" w14:textId="77777777" w:rsidR="00434441" w:rsidRPr="00434441" w:rsidRDefault="00434441" w:rsidP="00434441">
            <w:pPr>
              <w:rPr>
                <w:sz w:val="18"/>
                <w:szCs w:val="18"/>
              </w:rPr>
            </w:pPr>
            <w:r w:rsidRPr="00434441">
              <w:rPr>
                <w:sz w:val="18"/>
                <w:szCs w:val="18"/>
              </w:rPr>
              <w:t>World Health Organization</w:t>
            </w:r>
          </w:p>
        </w:tc>
      </w:tr>
      <w:tr w:rsidR="002A6CB7" w:rsidRPr="00434441" w14:paraId="462E5DD1" w14:textId="77777777" w:rsidTr="002A6CB7">
        <w:tc>
          <w:tcPr>
            <w:tcW w:w="811" w:type="dxa"/>
          </w:tcPr>
          <w:p w14:paraId="69F5CF56" w14:textId="77777777" w:rsidR="00434441" w:rsidRPr="00E95A4A" w:rsidRDefault="00434441" w:rsidP="00434441">
            <w:pPr>
              <w:rPr>
                <w:i/>
                <w:sz w:val="18"/>
                <w:szCs w:val="18"/>
              </w:rPr>
            </w:pPr>
            <w:r w:rsidRPr="00E95A4A">
              <w:rPr>
                <w:i/>
                <w:sz w:val="18"/>
                <w:szCs w:val="18"/>
              </w:rPr>
              <w:t>PEF</w:t>
            </w:r>
          </w:p>
        </w:tc>
        <w:tc>
          <w:tcPr>
            <w:tcW w:w="3707" w:type="dxa"/>
          </w:tcPr>
          <w:p w14:paraId="16200B5C" w14:textId="77777777" w:rsidR="00434441" w:rsidRPr="00434441" w:rsidRDefault="00434441" w:rsidP="00434441">
            <w:pPr>
              <w:rPr>
                <w:sz w:val="18"/>
                <w:szCs w:val="18"/>
              </w:rPr>
            </w:pPr>
            <w:r w:rsidRPr="00434441">
              <w:rPr>
                <w:sz w:val="18"/>
                <w:szCs w:val="18"/>
              </w:rPr>
              <w:t>Pandemic Emergency Facility,</w:t>
            </w:r>
          </w:p>
        </w:tc>
        <w:tc>
          <w:tcPr>
            <w:tcW w:w="990" w:type="dxa"/>
          </w:tcPr>
          <w:p w14:paraId="66607839" w14:textId="77777777" w:rsidR="00434441" w:rsidRPr="00E95A4A" w:rsidRDefault="00434441" w:rsidP="00434441">
            <w:pPr>
              <w:rPr>
                <w:i/>
                <w:sz w:val="18"/>
                <w:szCs w:val="18"/>
              </w:rPr>
            </w:pPr>
            <w:r w:rsidRPr="00E95A4A">
              <w:rPr>
                <w:i/>
                <w:sz w:val="18"/>
                <w:szCs w:val="18"/>
              </w:rPr>
              <w:t>WHODG</w:t>
            </w:r>
          </w:p>
        </w:tc>
        <w:tc>
          <w:tcPr>
            <w:tcW w:w="3330" w:type="dxa"/>
          </w:tcPr>
          <w:p w14:paraId="1DF11E91" w14:textId="77777777" w:rsidR="00434441" w:rsidRPr="00434441" w:rsidRDefault="00434441" w:rsidP="00434441">
            <w:pPr>
              <w:rPr>
                <w:sz w:val="18"/>
                <w:szCs w:val="18"/>
              </w:rPr>
            </w:pPr>
            <w:r w:rsidRPr="00434441">
              <w:rPr>
                <w:sz w:val="18"/>
                <w:szCs w:val="18"/>
              </w:rPr>
              <w:t>WHO Director-General</w:t>
            </w:r>
          </w:p>
        </w:tc>
      </w:tr>
      <w:tr w:rsidR="002A6CB7" w:rsidRPr="00434441" w14:paraId="4DA30BD2" w14:textId="77777777" w:rsidTr="002A6CB7">
        <w:tc>
          <w:tcPr>
            <w:tcW w:w="811" w:type="dxa"/>
          </w:tcPr>
          <w:p w14:paraId="7BD1FD27" w14:textId="77777777" w:rsidR="00434441" w:rsidRPr="00E95A4A" w:rsidRDefault="00434441" w:rsidP="00434441">
            <w:pPr>
              <w:rPr>
                <w:i/>
                <w:sz w:val="18"/>
                <w:szCs w:val="18"/>
              </w:rPr>
            </w:pPr>
            <w:r w:rsidRPr="00E95A4A">
              <w:rPr>
                <w:i/>
                <w:sz w:val="18"/>
                <w:szCs w:val="18"/>
              </w:rPr>
              <w:t>PHEIC</w:t>
            </w:r>
          </w:p>
        </w:tc>
        <w:tc>
          <w:tcPr>
            <w:tcW w:w="3707" w:type="dxa"/>
          </w:tcPr>
          <w:p w14:paraId="41E9C664" w14:textId="77777777" w:rsidR="00434441" w:rsidRPr="00434441" w:rsidRDefault="00434441" w:rsidP="00434441">
            <w:pPr>
              <w:rPr>
                <w:sz w:val="18"/>
                <w:szCs w:val="18"/>
              </w:rPr>
            </w:pPr>
            <w:r w:rsidRPr="00434441">
              <w:rPr>
                <w:sz w:val="18"/>
                <w:szCs w:val="18"/>
              </w:rPr>
              <w:t>Public Health Emergency of International Concern</w:t>
            </w:r>
          </w:p>
        </w:tc>
        <w:tc>
          <w:tcPr>
            <w:tcW w:w="990" w:type="dxa"/>
          </w:tcPr>
          <w:p w14:paraId="406CC2AB" w14:textId="77777777" w:rsidR="00434441" w:rsidRPr="00E95A4A" w:rsidRDefault="00434441" w:rsidP="00434441">
            <w:pPr>
              <w:rPr>
                <w:i/>
                <w:sz w:val="18"/>
                <w:szCs w:val="18"/>
              </w:rPr>
            </w:pPr>
            <w:r w:rsidRPr="00E95A4A">
              <w:rPr>
                <w:i/>
                <w:sz w:val="18"/>
                <w:szCs w:val="18"/>
              </w:rPr>
              <w:t>WTO</w:t>
            </w:r>
          </w:p>
        </w:tc>
        <w:tc>
          <w:tcPr>
            <w:tcW w:w="3330" w:type="dxa"/>
          </w:tcPr>
          <w:p w14:paraId="2774F9E2" w14:textId="77777777" w:rsidR="00434441" w:rsidRPr="00434441" w:rsidRDefault="00434441" w:rsidP="00434441">
            <w:pPr>
              <w:rPr>
                <w:sz w:val="18"/>
                <w:szCs w:val="18"/>
              </w:rPr>
            </w:pPr>
            <w:r w:rsidRPr="00434441">
              <w:rPr>
                <w:sz w:val="18"/>
                <w:szCs w:val="18"/>
              </w:rPr>
              <w:t>World Trade Organization</w:t>
            </w:r>
          </w:p>
        </w:tc>
      </w:tr>
    </w:tbl>
    <w:p w14:paraId="03096464" w14:textId="77777777" w:rsidR="00E33836" w:rsidRDefault="00E33836"/>
    <w:sectPr w:rsidR="00E33836" w:rsidSect="000B5F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0325C"/>
    <w:multiLevelType w:val="hybridMultilevel"/>
    <w:tmpl w:val="C8501ED4"/>
    <w:lvl w:ilvl="0" w:tplc="0B7275E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C5F2A"/>
    <w:multiLevelType w:val="hybridMultilevel"/>
    <w:tmpl w:val="C0FC3EBA"/>
    <w:lvl w:ilvl="0" w:tplc="0B7275E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47CC6"/>
    <w:multiLevelType w:val="hybridMultilevel"/>
    <w:tmpl w:val="134CC132"/>
    <w:lvl w:ilvl="0" w:tplc="0B7275E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6A748C"/>
    <w:multiLevelType w:val="hybridMultilevel"/>
    <w:tmpl w:val="E2800DCC"/>
    <w:lvl w:ilvl="0" w:tplc="0B7275E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D32C93"/>
    <w:multiLevelType w:val="hybridMultilevel"/>
    <w:tmpl w:val="64487696"/>
    <w:lvl w:ilvl="0" w:tplc="0B7275E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3C3D09"/>
    <w:multiLevelType w:val="hybridMultilevel"/>
    <w:tmpl w:val="627E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3064FC"/>
    <w:multiLevelType w:val="hybridMultilevel"/>
    <w:tmpl w:val="B360199E"/>
    <w:lvl w:ilvl="0" w:tplc="0B7275E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6E5FB2"/>
    <w:multiLevelType w:val="hybridMultilevel"/>
    <w:tmpl w:val="EC5AC352"/>
    <w:lvl w:ilvl="0" w:tplc="0B7275E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BF497A"/>
    <w:multiLevelType w:val="hybridMultilevel"/>
    <w:tmpl w:val="41F81EB8"/>
    <w:lvl w:ilvl="0" w:tplc="0B7275E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52489F"/>
    <w:multiLevelType w:val="hybridMultilevel"/>
    <w:tmpl w:val="5F2803AE"/>
    <w:lvl w:ilvl="0" w:tplc="0B7275E0">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960929"/>
    <w:multiLevelType w:val="hybridMultilevel"/>
    <w:tmpl w:val="2E665562"/>
    <w:lvl w:ilvl="0" w:tplc="0B7275E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3270B9"/>
    <w:multiLevelType w:val="hybridMultilevel"/>
    <w:tmpl w:val="690C5AF2"/>
    <w:lvl w:ilvl="0" w:tplc="0B7275E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0C3D03"/>
    <w:multiLevelType w:val="hybridMultilevel"/>
    <w:tmpl w:val="FBC66CA2"/>
    <w:lvl w:ilvl="0" w:tplc="0B7275E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E031D6"/>
    <w:multiLevelType w:val="hybridMultilevel"/>
    <w:tmpl w:val="2A9CF430"/>
    <w:lvl w:ilvl="0" w:tplc="0B7275E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4717A0"/>
    <w:multiLevelType w:val="hybridMultilevel"/>
    <w:tmpl w:val="26BEB620"/>
    <w:lvl w:ilvl="0" w:tplc="0B7275E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3A251A"/>
    <w:multiLevelType w:val="hybridMultilevel"/>
    <w:tmpl w:val="1B7CD564"/>
    <w:lvl w:ilvl="0" w:tplc="0B7275E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9"/>
  </w:num>
  <w:num w:numId="4">
    <w:abstractNumId w:val="8"/>
  </w:num>
  <w:num w:numId="5">
    <w:abstractNumId w:val="6"/>
  </w:num>
  <w:num w:numId="6">
    <w:abstractNumId w:val="14"/>
  </w:num>
  <w:num w:numId="7">
    <w:abstractNumId w:val="12"/>
  </w:num>
  <w:num w:numId="8">
    <w:abstractNumId w:val="3"/>
  </w:num>
  <w:num w:numId="9">
    <w:abstractNumId w:val="10"/>
  </w:num>
  <w:num w:numId="10">
    <w:abstractNumId w:val="7"/>
  </w:num>
  <w:num w:numId="11">
    <w:abstractNumId w:val="4"/>
  </w:num>
  <w:num w:numId="12">
    <w:abstractNumId w:val="11"/>
  </w:num>
  <w:num w:numId="13">
    <w:abstractNumId w:val="1"/>
  </w:num>
  <w:num w:numId="14">
    <w:abstractNumId w:val="13"/>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92E"/>
    <w:rsid w:val="000B5FC0"/>
    <w:rsid w:val="0012692E"/>
    <w:rsid w:val="002A6CB7"/>
    <w:rsid w:val="00434441"/>
    <w:rsid w:val="00586BFA"/>
    <w:rsid w:val="005F6041"/>
    <w:rsid w:val="006E4E9A"/>
    <w:rsid w:val="007A1C15"/>
    <w:rsid w:val="00835142"/>
    <w:rsid w:val="009C2DA9"/>
    <w:rsid w:val="00E065D2"/>
    <w:rsid w:val="00E33836"/>
    <w:rsid w:val="00E95A4A"/>
    <w:rsid w:val="00F53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59EAAF"/>
  <w14:defaultImageDpi w14:val="300"/>
  <w15:docId w15:val="{8C57E8B3-379E-4F1D-8104-834F6FAB7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92E"/>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2-Accent1">
    <w:name w:val="Medium Shading 2 Accent 1"/>
    <w:basedOn w:val="TableNormal"/>
    <w:uiPriority w:val="64"/>
    <w:rsid w:val="0012692E"/>
    <w:rPr>
      <w:rFonts w:ascii="Times New Roman" w:hAnsi="Times New Roman" w:cs="Times New Roman"/>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434441"/>
    <w:rPr>
      <w:rFonts w:ascii="Times New Roman" w:hAnsi="Times New Roman"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34441"/>
    <w:rPr>
      <w:sz w:val="18"/>
      <w:szCs w:val="18"/>
    </w:rPr>
  </w:style>
  <w:style w:type="paragraph" w:styleId="CommentText">
    <w:name w:val="annotation text"/>
    <w:basedOn w:val="Normal"/>
    <w:link w:val="CommentTextChar"/>
    <w:uiPriority w:val="99"/>
    <w:semiHidden/>
    <w:unhideWhenUsed/>
    <w:rsid w:val="00434441"/>
    <w:rPr>
      <w:rFonts w:asciiTheme="minorHAnsi" w:eastAsiaTheme="minorHAnsi" w:hAnsiTheme="minorHAnsi" w:cstheme="minorBidi"/>
      <w:lang w:eastAsia="ja-JP"/>
    </w:rPr>
  </w:style>
  <w:style w:type="character" w:customStyle="1" w:styleId="CommentTextChar">
    <w:name w:val="Comment Text Char"/>
    <w:basedOn w:val="DefaultParagraphFont"/>
    <w:link w:val="CommentText"/>
    <w:uiPriority w:val="99"/>
    <w:semiHidden/>
    <w:rsid w:val="00434441"/>
    <w:rPr>
      <w:rFonts w:eastAsiaTheme="minorHAnsi"/>
      <w:lang w:eastAsia="ja-JP"/>
    </w:rPr>
  </w:style>
  <w:style w:type="paragraph" w:styleId="BalloonText">
    <w:name w:val="Balloon Text"/>
    <w:basedOn w:val="Normal"/>
    <w:link w:val="BalloonTextChar"/>
    <w:uiPriority w:val="99"/>
    <w:semiHidden/>
    <w:unhideWhenUsed/>
    <w:rsid w:val="004344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4441"/>
    <w:rPr>
      <w:rFonts w:ascii="Lucida Grande" w:eastAsia="Calibri" w:hAnsi="Lucida Grande" w:cs="Lucida Grande"/>
      <w:sz w:val="18"/>
      <w:szCs w:val="18"/>
    </w:rPr>
  </w:style>
  <w:style w:type="paragraph" w:styleId="ListParagraph">
    <w:name w:val="List Paragraph"/>
    <w:basedOn w:val="Normal"/>
    <w:uiPriority w:val="34"/>
    <w:qFormat/>
    <w:rsid w:val="00E95A4A"/>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1802</Words>
  <Characters>10274</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DeBartolo</dc:creator>
  <cp:keywords/>
  <dc:description/>
  <cp:lastModifiedBy>Microsoft Office User</cp:lastModifiedBy>
  <cp:revision>3</cp:revision>
  <dcterms:created xsi:type="dcterms:W3CDTF">2016-04-25T10:25:00Z</dcterms:created>
  <dcterms:modified xsi:type="dcterms:W3CDTF">2016-04-25T10:25:00Z</dcterms:modified>
</cp:coreProperties>
</file>