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11" w:rsidRDefault="00834411" w:rsidP="00D543FC">
      <w:pPr>
        <w:spacing w:after="200" w:line="276" w:lineRule="auto"/>
        <w:jc w:val="both"/>
        <w:rPr>
          <w:rFonts w:asciiTheme="minorHAnsi" w:hAnsiTheme="minorHAnsi"/>
          <w:b/>
        </w:rPr>
      </w:pPr>
      <w:r>
        <w:rPr>
          <w:rFonts w:asciiTheme="minorHAnsi" w:hAnsiTheme="minorHAnsi"/>
          <w:b/>
        </w:rPr>
        <w:t>S1 Text.</w:t>
      </w:r>
    </w:p>
    <w:p w:rsidR="00D543FC" w:rsidRPr="00834411" w:rsidRDefault="00D543FC" w:rsidP="00D543FC">
      <w:pPr>
        <w:spacing w:after="200" w:line="276" w:lineRule="auto"/>
        <w:jc w:val="both"/>
        <w:rPr>
          <w:rFonts w:asciiTheme="minorHAnsi" w:hAnsiTheme="minorHAnsi"/>
          <w:b/>
        </w:rPr>
      </w:pPr>
      <w:r w:rsidRPr="00834411">
        <w:rPr>
          <w:rFonts w:asciiTheme="minorHAnsi" w:hAnsiTheme="minorHAnsi"/>
          <w:b/>
        </w:rPr>
        <w:t>GLOSSARY</w:t>
      </w:r>
    </w:p>
    <w:p w:rsidR="00D543FC" w:rsidRPr="00834411" w:rsidRDefault="00D543FC" w:rsidP="00D543FC">
      <w:pPr>
        <w:spacing w:line="360" w:lineRule="auto"/>
        <w:jc w:val="both"/>
        <w:rPr>
          <w:rFonts w:asciiTheme="minorHAnsi" w:hAnsiTheme="minorHAnsi"/>
          <w:i/>
          <w:lang w:val="en-GB"/>
        </w:rPr>
      </w:pPr>
      <w:r w:rsidRPr="00834411">
        <w:rPr>
          <w:rFonts w:asciiTheme="minorHAnsi" w:hAnsiTheme="minorHAnsi"/>
          <w:i/>
          <w:lang w:val="en-GB"/>
        </w:rPr>
        <w:t>Foodborne disease</w:t>
      </w:r>
    </w:p>
    <w:p w:rsidR="00D543FC" w:rsidRPr="00834411" w:rsidRDefault="00D543FC" w:rsidP="00D543FC">
      <w:pPr>
        <w:spacing w:line="360" w:lineRule="auto"/>
        <w:jc w:val="both"/>
        <w:rPr>
          <w:rFonts w:asciiTheme="minorHAnsi" w:hAnsiTheme="minorHAnsi"/>
          <w:lang w:val="en-GB"/>
        </w:rPr>
      </w:pPr>
      <w:r w:rsidRPr="00834411">
        <w:rPr>
          <w:rFonts w:asciiTheme="minorHAnsi" w:hAnsiTheme="minorHAnsi"/>
          <w:lang w:val="en-GB"/>
        </w:rPr>
        <w:t xml:space="preserve">A foodborne disease (FBD) can be defined as a disease commonly transmitted through ingested food. FBDs comprise a broad group of illnesses, and may be caused by microbial pathogens, parasites, chemical contaminants and </w:t>
      </w:r>
      <w:proofErr w:type="spellStart"/>
      <w:r w:rsidRPr="00834411">
        <w:rPr>
          <w:rFonts w:asciiTheme="minorHAnsi" w:hAnsiTheme="minorHAnsi"/>
          <w:lang w:val="en-GB"/>
        </w:rPr>
        <w:t>biotoxins</w:t>
      </w:r>
      <w:proofErr w:type="spellEnd"/>
      <w:r w:rsidRPr="00834411">
        <w:rPr>
          <w:rFonts w:asciiTheme="minorHAnsi" w:hAnsiTheme="minorHAnsi"/>
          <w:lang w:val="en-GB"/>
        </w:rPr>
        <w:t>.</w:t>
      </w:r>
    </w:p>
    <w:p w:rsidR="00D543FC" w:rsidRPr="00834411" w:rsidRDefault="00D543FC" w:rsidP="00D543FC">
      <w:pPr>
        <w:spacing w:line="360" w:lineRule="auto"/>
        <w:jc w:val="both"/>
        <w:rPr>
          <w:rFonts w:asciiTheme="minorHAnsi" w:hAnsiTheme="minorHAnsi"/>
          <w:lang w:val="en-GB"/>
        </w:rPr>
      </w:pPr>
    </w:p>
    <w:p w:rsidR="00D543FC" w:rsidRPr="00834411" w:rsidRDefault="00D543FC" w:rsidP="00D543FC">
      <w:pPr>
        <w:spacing w:line="360" w:lineRule="auto"/>
        <w:jc w:val="both"/>
        <w:rPr>
          <w:rFonts w:asciiTheme="minorHAnsi" w:hAnsiTheme="minorHAnsi"/>
          <w:i/>
          <w:lang w:val="en-GB"/>
        </w:rPr>
      </w:pPr>
      <w:r w:rsidRPr="00834411">
        <w:rPr>
          <w:rFonts w:asciiTheme="minorHAnsi" w:hAnsiTheme="minorHAnsi"/>
          <w:i/>
          <w:lang w:val="en-GB"/>
        </w:rPr>
        <w:t>Burden of disease</w:t>
      </w:r>
    </w:p>
    <w:p w:rsidR="00D543FC" w:rsidRPr="00834411" w:rsidRDefault="00D543FC" w:rsidP="00D543FC">
      <w:pPr>
        <w:spacing w:line="360" w:lineRule="auto"/>
        <w:jc w:val="both"/>
        <w:rPr>
          <w:rFonts w:asciiTheme="minorHAnsi" w:hAnsiTheme="minorHAnsi"/>
          <w:lang w:val="en-GB"/>
        </w:rPr>
      </w:pPr>
      <w:r w:rsidRPr="00834411">
        <w:rPr>
          <w:rFonts w:asciiTheme="minorHAnsi" w:hAnsiTheme="minorHAnsi"/>
          <w:lang w:val="en-GB"/>
        </w:rPr>
        <w:t>In the context of this Initiative, the term “burden of disease” follows the principles of the Global Burden of Disease Study, and includes the quantification of morbidity, all disabling complications and mortality in a single summary measure (DALY).</w:t>
      </w:r>
    </w:p>
    <w:p w:rsidR="00D543FC" w:rsidRPr="00834411" w:rsidRDefault="00D543FC" w:rsidP="00D543FC">
      <w:pPr>
        <w:spacing w:line="360" w:lineRule="auto"/>
        <w:jc w:val="both"/>
        <w:rPr>
          <w:rFonts w:asciiTheme="minorHAnsi" w:hAnsiTheme="minorHAnsi"/>
          <w:lang w:val="en-GB"/>
        </w:rPr>
      </w:pPr>
    </w:p>
    <w:p w:rsidR="00D543FC" w:rsidRPr="00834411" w:rsidRDefault="00D543FC" w:rsidP="00D543FC">
      <w:pPr>
        <w:spacing w:line="360" w:lineRule="auto"/>
        <w:jc w:val="both"/>
        <w:rPr>
          <w:rFonts w:asciiTheme="minorHAnsi" w:hAnsiTheme="minorHAnsi"/>
          <w:i/>
          <w:lang w:val="en-GB"/>
        </w:rPr>
      </w:pPr>
      <w:r w:rsidRPr="00834411">
        <w:rPr>
          <w:rFonts w:asciiTheme="minorHAnsi" w:hAnsiTheme="minorHAnsi"/>
          <w:i/>
          <w:lang w:val="en-GB"/>
        </w:rPr>
        <w:t>DALY (disability-adjusted life year)</w:t>
      </w:r>
    </w:p>
    <w:p w:rsidR="00D543FC" w:rsidRPr="00834411" w:rsidRDefault="00D543FC" w:rsidP="00D543FC">
      <w:pPr>
        <w:spacing w:line="360" w:lineRule="auto"/>
        <w:jc w:val="both"/>
        <w:rPr>
          <w:rFonts w:asciiTheme="minorHAnsi" w:hAnsiTheme="minorHAnsi"/>
          <w:lang w:val="en-GB"/>
        </w:rPr>
      </w:pPr>
      <w:r w:rsidRPr="00834411">
        <w:rPr>
          <w:rFonts w:asciiTheme="minorHAnsi" w:hAnsiTheme="minorHAnsi"/>
          <w:lang w:val="en-GB"/>
        </w:rPr>
        <w:t>A health gap measure that combines the years of life lost due to premature death (YLL) and the years lived with disability (YLD) from a disease or condition, for varying degrees of severity, making time itself the common metric for death and disability. One DALY equates to one year of healthy life lost.</w:t>
      </w:r>
    </w:p>
    <w:p w:rsidR="00D543FC" w:rsidRPr="00834411" w:rsidRDefault="00D543FC" w:rsidP="00D543FC">
      <w:pPr>
        <w:spacing w:line="360" w:lineRule="auto"/>
        <w:jc w:val="both"/>
        <w:rPr>
          <w:rFonts w:asciiTheme="minorHAnsi" w:hAnsiTheme="minorHAnsi"/>
          <w:lang w:val="en-GB"/>
        </w:rPr>
      </w:pPr>
    </w:p>
    <w:p w:rsidR="00D543FC" w:rsidRPr="00834411" w:rsidRDefault="00D543FC" w:rsidP="00D543FC">
      <w:pPr>
        <w:spacing w:line="360" w:lineRule="auto"/>
        <w:jc w:val="both"/>
        <w:rPr>
          <w:rFonts w:asciiTheme="minorHAnsi" w:hAnsiTheme="minorHAnsi"/>
          <w:i/>
          <w:lang w:val="en-GB"/>
        </w:rPr>
      </w:pPr>
      <w:r w:rsidRPr="00834411">
        <w:rPr>
          <w:rFonts w:asciiTheme="minorHAnsi" w:hAnsiTheme="minorHAnsi"/>
          <w:i/>
          <w:lang w:val="en-GB"/>
        </w:rPr>
        <w:t>Food</w:t>
      </w:r>
    </w:p>
    <w:p w:rsidR="00D543FC" w:rsidRPr="00834411" w:rsidRDefault="00D543FC" w:rsidP="00D543FC">
      <w:pPr>
        <w:spacing w:line="360" w:lineRule="auto"/>
        <w:jc w:val="both"/>
        <w:rPr>
          <w:rFonts w:asciiTheme="minorHAnsi" w:hAnsiTheme="minorHAnsi"/>
          <w:lang w:val="en-GB"/>
        </w:rPr>
      </w:pPr>
      <w:r w:rsidRPr="00834411">
        <w:rPr>
          <w:rFonts w:asciiTheme="minorHAnsi" w:hAnsiTheme="minorHAnsi"/>
          <w:lang w:val="en-GB"/>
        </w:rPr>
        <w:t xml:space="preserve">According to the Codex </w:t>
      </w:r>
      <w:proofErr w:type="spellStart"/>
      <w:r w:rsidRPr="00834411">
        <w:rPr>
          <w:rFonts w:asciiTheme="minorHAnsi" w:hAnsiTheme="minorHAnsi"/>
          <w:lang w:val="en-GB"/>
        </w:rPr>
        <w:t>Alimentarius</w:t>
      </w:r>
      <w:proofErr w:type="spellEnd"/>
      <w:r w:rsidRPr="00834411">
        <w:rPr>
          <w:rFonts w:asciiTheme="minorHAnsi" w:hAnsiTheme="minorHAnsi"/>
          <w:lang w:val="en-GB"/>
        </w:rPr>
        <w:t xml:space="preserve"> Commission, “food means any substance, whether processed, semi-processed or raw, which is intended for human consumption, and includes drink, chewing gum and any substance which has been used in the manufacture, preparation or treatment of food but does not include cosmetics or tobacco or substances used only as drugs”</w:t>
      </w:r>
      <w:r w:rsidRPr="00834411">
        <w:rPr>
          <w:rFonts w:asciiTheme="minorHAnsi" w:hAnsiTheme="minorHAnsi"/>
          <w:lang w:val="en-GB"/>
        </w:rPr>
        <w:fldChar w:fldCharType="begin"/>
      </w:r>
      <w:r w:rsidRPr="00834411">
        <w:rPr>
          <w:rFonts w:asciiTheme="minorHAnsi" w:hAnsiTheme="minorHAnsi"/>
          <w:lang w:val="en-GB"/>
        </w:rPr>
        <w:instrText xml:space="preserve"> ADDIN EN.CITE &lt;EndNote&gt;&lt;Cite&gt;&lt;RecNum&gt;698&lt;/RecNum&gt;&lt;DisplayText&gt;(Murray&lt;style face="italic"&gt; et al.&lt;/style&gt;, 2013)&lt;/DisplayText&gt;&lt;record&gt;&lt;rec-number&gt;698&lt;/rec-number&gt;&lt;foreign-keys&gt;&lt;key app="EN" db-id="ztw5watfq9z09oeppvdpsftqzawvzp0p2xx2" timestamp="1405984311"&gt;698&lt;/key&gt;&lt;/foreign-keys&gt;&lt;ref-type name="Journal Article"&gt;17&lt;/ref-type&gt;&lt;contributors&gt;&lt;authors&gt;&lt;author&gt;Murray, C. J.&lt;/author&gt;&lt;author&gt;Frenk, J.&lt;/author&gt;&lt;author&gt;Piot, P.&lt;/author&gt;&lt;author&gt;Mundel, T.&lt;/author&gt;&lt;/authors&gt;&lt;/contributors&gt;&lt;auth-address&gt;Institute for Health Metrics and Evaluation, University of Washington, Seattle, WA 98121, USA. cjlm@uw.edu&lt;/auth-address&gt;&lt;titles&gt;&lt;title&gt;GBD 2.0: a continuously updated global resource&lt;/title&gt;&lt;secondary-title&gt;Lancet&lt;/secondary-title&gt;&lt;alt-title&gt;Lancet&lt;/alt-title&gt;&lt;/titles&gt;&lt;periodical&gt;&lt;full-title&gt;Lancet&lt;/full-title&gt;&lt;/periodical&gt;&lt;alt-periodical&gt;&lt;full-title&gt;Lancet&lt;/full-title&gt;&lt;/alt-periodical&gt;&lt;pages&gt;9-11&lt;/pages&gt;&lt;volume&gt;382&lt;/volume&gt;&lt;number&gt;9886&lt;/number&gt;&lt;keywords&gt;&lt;keyword&gt;Epidemiologic Methods&lt;/keyword&gt;&lt;keyword&gt;Epidemiology/*statistics &amp;amp; numerical data&lt;/keyword&gt;&lt;keyword&gt;Female&lt;/keyword&gt;&lt;keyword&gt;Health Status&lt;/keyword&gt;&lt;keyword&gt;Humans&lt;/keyword&gt;&lt;keyword&gt;International Cooperation&lt;/keyword&gt;&lt;keyword&gt;Male&lt;/keyword&gt;&lt;keyword&gt;World Health/*statistics &amp;amp; numerical data&lt;/keyword&gt;&lt;/keywords&gt;&lt;dates&gt;&lt;year&gt;2013&lt;/year&gt;&lt;pub-dates&gt;&lt;date&gt;Jul 6&lt;/date&gt;&lt;/pub-dates&gt;&lt;/dates&gt;&lt;isbn&gt;1474-547X (Electronic)&amp;#xD;0140-6736 (Linking)&lt;/isbn&gt;&lt;accession-num&gt;23684252&lt;/accession-num&gt;&lt;urls&gt;&lt;related-urls&gt;&lt;url&gt;http://www.ncbi.nlm.nih.gov/pubmed/23684252&lt;/url&gt;&lt;/related-urls&gt;&lt;/urls&gt;&lt;electronic-resource-num&gt;10.1016/S0140-6736(13)60225-1&lt;/electronic-resource-num&gt;&lt;/record&gt;&lt;/Cite&gt;&lt;/EndNote&gt;</w:instrText>
      </w:r>
      <w:r w:rsidRPr="00834411">
        <w:rPr>
          <w:rFonts w:asciiTheme="minorHAnsi" w:hAnsiTheme="minorHAnsi"/>
          <w:lang w:val="en-GB"/>
        </w:rPr>
        <w:fldChar w:fldCharType="separate"/>
      </w:r>
      <w:r w:rsidRPr="00834411">
        <w:rPr>
          <w:rFonts w:asciiTheme="minorHAnsi" w:hAnsiTheme="minorHAnsi"/>
          <w:noProof/>
          <w:lang w:val="en-GB"/>
        </w:rPr>
        <w:t>(Murray</w:t>
      </w:r>
      <w:r w:rsidRPr="00834411">
        <w:rPr>
          <w:rFonts w:asciiTheme="minorHAnsi" w:hAnsiTheme="minorHAnsi"/>
          <w:i/>
          <w:noProof/>
          <w:lang w:val="en-GB"/>
        </w:rPr>
        <w:t xml:space="preserve"> et al.</w:t>
      </w:r>
      <w:r w:rsidRPr="00834411">
        <w:rPr>
          <w:rFonts w:asciiTheme="minorHAnsi" w:hAnsiTheme="minorHAnsi"/>
          <w:noProof/>
          <w:lang w:val="en-GB"/>
        </w:rPr>
        <w:t>, 2013)</w:t>
      </w:r>
      <w:r w:rsidRPr="00834411">
        <w:rPr>
          <w:rFonts w:asciiTheme="minorHAnsi" w:hAnsiTheme="minorHAnsi"/>
          <w:lang w:val="en-GB"/>
        </w:rPr>
        <w:fldChar w:fldCharType="end"/>
      </w:r>
      <w:r w:rsidRPr="00834411">
        <w:rPr>
          <w:rFonts w:asciiTheme="minorHAnsi" w:hAnsiTheme="minorHAnsi"/>
          <w:lang w:val="en-GB"/>
        </w:rPr>
        <w:t xml:space="preserve">. The definition includes all bottled drinks. </w:t>
      </w:r>
    </w:p>
    <w:p w:rsidR="00D543FC" w:rsidRPr="00834411" w:rsidRDefault="00D543FC" w:rsidP="00D543FC">
      <w:pPr>
        <w:rPr>
          <w:rStyle w:val="IntenseEmphasis"/>
          <w:rFonts w:asciiTheme="minorHAnsi" w:hAnsiTheme="minorHAnsi"/>
        </w:rPr>
      </w:pPr>
    </w:p>
    <w:p w:rsidR="00D543FC" w:rsidRPr="00834411" w:rsidRDefault="00D543FC" w:rsidP="00D543FC">
      <w:pPr>
        <w:rPr>
          <w:rFonts w:asciiTheme="minorHAnsi" w:hAnsiTheme="minorHAnsi"/>
          <w:b/>
        </w:rPr>
      </w:pPr>
    </w:p>
    <w:p w:rsidR="00D543FC" w:rsidRPr="00834411" w:rsidRDefault="00D543FC" w:rsidP="00D543FC">
      <w:pPr>
        <w:spacing w:line="360" w:lineRule="auto"/>
        <w:jc w:val="both"/>
        <w:rPr>
          <w:rFonts w:asciiTheme="minorHAnsi" w:hAnsiTheme="minorHAnsi"/>
          <w:bCs/>
          <w:i/>
          <w:iCs/>
          <w:lang w:val="en-GB"/>
        </w:rPr>
      </w:pPr>
      <w:r w:rsidRPr="00834411">
        <w:rPr>
          <w:rFonts w:asciiTheme="minorHAnsi" w:hAnsiTheme="minorHAnsi"/>
          <w:bCs/>
          <w:i/>
          <w:iCs/>
          <w:lang w:val="en-GB"/>
        </w:rPr>
        <w:t>Source attribution</w:t>
      </w:r>
    </w:p>
    <w:p w:rsidR="00D543FC" w:rsidRPr="00834411" w:rsidRDefault="00D543FC" w:rsidP="00D543FC">
      <w:pPr>
        <w:spacing w:line="360" w:lineRule="auto"/>
        <w:jc w:val="both"/>
        <w:rPr>
          <w:rFonts w:asciiTheme="minorHAnsi" w:hAnsiTheme="minorHAnsi"/>
          <w:color w:val="auto"/>
        </w:rPr>
      </w:pPr>
      <w:r w:rsidRPr="00834411">
        <w:rPr>
          <w:rFonts w:asciiTheme="minorHAnsi" w:hAnsiTheme="minorHAnsi"/>
          <w:lang w:val="en-GB"/>
        </w:rPr>
        <w:t>Source attribution (SA) is the partitioning of the human burden of a particular disease to specific sources. With regards to foodborne diseases, SA can be conducted at various</w:t>
      </w:r>
      <w:r w:rsidRPr="00834411">
        <w:rPr>
          <w:rFonts w:asciiTheme="minorHAnsi" w:hAnsiTheme="minorHAnsi"/>
        </w:rPr>
        <w:t xml:space="preserve"> points along the food distribution chain, from the animal reservoir to the point of consumption.</w:t>
      </w:r>
    </w:p>
    <w:p w:rsidR="00D543FC" w:rsidRPr="00834411" w:rsidRDefault="00D543FC" w:rsidP="00D543FC">
      <w:pPr>
        <w:autoSpaceDE w:val="0"/>
        <w:autoSpaceDN w:val="0"/>
        <w:adjustRightInd w:val="0"/>
        <w:spacing w:line="240" w:lineRule="auto"/>
        <w:rPr>
          <w:rFonts w:asciiTheme="minorHAnsi" w:hAnsiTheme="minorHAnsi"/>
          <w:color w:val="auto"/>
          <w:szCs w:val="24"/>
        </w:rPr>
      </w:pPr>
    </w:p>
    <w:p w:rsidR="00D543FC" w:rsidRPr="00834411" w:rsidRDefault="00D543FC" w:rsidP="00D543FC">
      <w:pPr>
        <w:spacing w:after="200" w:line="276" w:lineRule="auto"/>
        <w:rPr>
          <w:rFonts w:asciiTheme="minorHAnsi" w:hAnsiTheme="minorHAnsi"/>
          <w:b/>
        </w:rPr>
      </w:pPr>
      <w:r w:rsidRPr="00834411">
        <w:rPr>
          <w:rFonts w:asciiTheme="minorHAnsi" w:hAnsiTheme="minorHAnsi"/>
          <w:b/>
        </w:rPr>
        <w:br w:type="page"/>
      </w:r>
    </w:p>
    <w:p w:rsidR="00D543FC" w:rsidRPr="00834411" w:rsidRDefault="00D543FC" w:rsidP="00D543FC">
      <w:pPr>
        <w:spacing w:after="200" w:line="276" w:lineRule="auto"/>
        <w:rPr>
          <w:rFonts w:asciiTheme="minorHAnsi" w:hAnsiTheme="minorHAnsi"/>
          <w:b/>
        </w:rPr>
      </w:pPr>
      <w:r w:rsidRPr="00834411">
        <w:rPr>
          <w:rFonts w:asciiTheme="minorHAnsi" w:hAnsiTheme="minorHAnsi"/>
          <w:b/>
        </w:rPr>
        <w:lastRenderedPageBreak/>
        <w:t>ABBREVIATIONS</w:t>
      </w:r>
    </w:p>
    <w:p w:rsidR="00D543FC" w:rsidRPr="00834411" w:rsidRDefault="00D543FC" w:rsidP="00D543FC">
      <w:pPr>
        <w:spacing w:line="240" w:lineRule="auto"/>
        <w:rPr>
          <w:rFonts w:asciiTheme="minorHAnsi" w:hAnsiTheme="minorHAnsi"/>
          <w:lang w:val="it-IT"/>
        </w:rPr>
      </w:pPr>
      <w:r w:rsidRPr="00834411">
        <w:rPr>
          <w:rFonts w:asciiTheme="minorHAnsi" w:hAnsiTheme="minorHAnsi"/>
          <w:lang w:val="it-IT"/>
        </w:rPr>
        <w:t>AFR</w:t>
      </w:r>
      <w:r w:rsidRPr="00834411">
        <w:rPr>
          <w:rFonts w:asciiTheme="minorHAnsi" w:hAnsiTheme="minorHAnsi"/>
          <w:lang w:val="it-IT"/>
        </w:rPr>
        <w:tab/>
      </w:r>
      <w:r w:rsidRPr="00834411">
        <w:rPr>
          <w:rFonts w:asciiTheme="minorHAnsi" w:hAnsiTheme="minorHAnsi"/>
          <w:lang w:val="it-IT"/>
        </w:rPr>
        <w:tab/>
        <w:t>WHO African Region</w:t>
      </w:r>
    </w:p>
    <w:p w:rsidR="00D543FC" w:rsidRPr="00834411" w:rsidRDefault="00D543FC" w:rsidP="00D543FC">
      <w:pPr>
        <w:spacing w:line="240" w:lineRule="auto"/>
        <w:rPr>
          <w:rFonts w:asciiTheme="minorHAnsi" w:hAnsiTheme="minorHAnsi"/>
          <w:lang w:val="it-IT"/>
        </w:rPr>
      </w:pPr>
      <w:r w:rsidRPr="00834411">
        <w:rPr>
          <w:rFonts w:asciiTheme="minorHAnsi" w:hAnsiTheme="minorHAnsi"/>
          <w:lang w:val="it-IT"/>
        </w:rPr>
        <w:t>AMR</w:t>
      </w:r>
      <w:r w:rsidR="00A400DC">
        <w:rPr>
          <w:rFonts w:asciiTheme="minorHAnsi" w:hAnsiTheme="minorHAnsi"/>
          <w:lang w:val="it-IT"/>
        </w:rPr>
        <w:tab/>
      </w:r>
      <w:r w:rsidRPr="00834411">
        <w:rPr>
          <w:rFonts w:asciiTheme="minorHAnsi" w:hAnsiTheme="minorHAnsi"/>
          <w:lang w:val="it-IT"/>
        </w:rPr>
        <w:tab/>
        <w:t>WHO Region of the Americas</w:t>
      </w:r>
    </w:p>
    <w:p w:rsidR="00D543FC" w:rsidRPr="00834411" w:rsidRDefault="00D543FC" w:rsidP="00D543FC">
      <w:pPr>
        <w:spacing w:line="240" w:lineRule="auto"/>
        <w:rPr>
          <w:rFonts w:asciiTheme="minorHAnsi" w:hAnsiTheme="minorHAnsi"/>
          <w:lang w:val="it-IT"/>
        </w:rPr>
      </w:pPr>
      <w:r w:rsidRPr="00834411">
        <w:rPr>
          <w:rFonts w:asciiTheme="minorHAnsi" w:hAnsiTheme="minorHAnsi"/>
          <w:lang w:val="it-IT"/>
        </w:rPr>
        <w:t>CI</w:t>
      </w:r>
      <w:r w:rsidRPr="00834411">
        <w:rPr>
          <w:rFonts w:asciiTheme="minorHAnsi" w:hAnsiTheme="minorHAnsi"/>
          <w:lang w:val="it-IT"/>
        </w:rPr>
        <w:tab/>
      </w:r>
      <w:r w:rsidRPr="00834411">
        <w:rPr>
          <w:rFonts w:asciiTheme="minorHAnsi" w:hAnsiTheme="minorHAnsi"/>
          <w:lang w:val="it-IT"/>
        </w:rPr>
        <w:tab/>
        <w:t>Confidence Interval</w:t>
      </w:r>
    </w:p>
    <w:p w:rsidR="00D543FC" w:rsidRPr="00834411" w:rsidRDefault="00D543FC" w:rsidP="00D543FC">
      <w:pPr>
        <w:spacing w:line="240" w:lineRule="auto"/>
        <w:rPr>
          <w:rFonts w:asciiTheme="minorHAnsi" w:hAnsiTheme="minorHAnsi"/>
          <w:lang w:val="it-IT"/>
        </w:rPr>
      </w:pPr>
      <w:r w:rsidRPr="00834411">
        <w:rPr>
          <w:rFonts w:asciiTheme="minorHAnsi" w:hAnsiTheme="minorHAnsi"/>
          <w:lang w:val="it-IT"/>
        </w:rPr>
        <w:t>CSTF</w:t>
      </w:r>
      <w:r w:rsidRPr="00834411">
        <w:rPr>
          <w:rFonts w:asciiTheme="minorHAnsi" w:hAnsiTheme="minorHAnsi"/>
          <w:lang w:val="it-IT"/>
        </w:rPr>
        <w:tab/>
      </w:r>
      <w:r w:rsidRPr="00834411">
        <w:rPr>
          <w:rFonts w:asciiTheme="minorHAnsi" w:hAnsiTheme="minorHAnsi"/>
          <w:lang w:val="it-IT"/>
        </w:rPr>
        <w:tab/>
        <w:t>Country Studies Task Force</w:t>
      </w:r>
      <w:r w:rsidR="00F144F8" w:rsidRPr="00834411">
        <w:rPr>
          <w:rFonts w:asciiTheme="minorHAnsi" w:hAnsiTheme="minorHAnsi"/>
          <w:lang w:val="it-IT"/>
        </w:rPr>
        <w:t xml:space="preserve"> of FERG</w:t>
      </w:r>
    </w:p>
    <w:p w:rsidR="00D543FC" w:rsidRPr="00834411" w:rsidRDefault="00D543FC" w:rsidP="00D543FC">
      <w:pPr>
        <w:autoSpaceDE w:val="0"/>
        <w:autoSpaceDN w:val="0"/>
        <w:adjustRightInd w:val="0"/>
        <w:spacing w:line="240" w:lineRule="auto"/>
        <w:jc w:val="both"/>
        <w:rPr>
          <w:rFonts w:asciiTheme="minorHAnsi" w:hAnsiTheme="minorHAnsi"/>
          <w:lang w:val="it-IT"/>
        </w:rPr>
      </w:pPr>
      <w:r w:rsidRPr="00834411">
        <w:rPr>
          <w:rFonts w:asciiTheme="minorHAnsi" w:hAnsiTheme="minorHAnsi"/>
          <w:lang w:val="it-IT"/>
        </w:rPr>
        <w:t>CHERG</w:t>
      </w:r>
      <w:r w:rsidRPr="00834411">
        <w:rPr>
          <w:rFonts w:asciiTheme="minorHAnsi" w:hAnsiTheme="minorHAnsi"/>
          <w:lang w:val="it-IT"/>
        </w:rPr>
        <w:tab/>
      </w:r>
      <w:bookmarkStart w:id="0" w:name="OLE_LINK3"/>
      <w:bookmarkStart w:id="1" w:name="OLE_LINK2"/>
      <w:r w:rsidR="00A400DC">
        <w:rPr>
          <w:rFonts w:asciiTheme="minorHAnsi" w:hAnsiTheme="minorHAnsi"/>
          <w:lang w:val="it-IT"/>
        </w:rPr>
        <w:tab/>
      </w:r>
      <w:r w:rsidRPr="00834411">
        <w:rPr>
          <w:rFonts w:asciiTheme="minorHAnsi" w:hAnsiTheme="minorHAnsi"/>
          <w:lang w:val="it-IT"/>
        </w:rPr>
        <w:t>Child Health Epidemiology Reference Group</w:t>
      </w:r>
      <w:bookmarkEnd w:id="0"/>
      <w:bookmarkEnd w:id="1"/>
    </w:p>
    <w:p w:rsidR="00D543FC" w:rsidRPr="00834411" w:rsidRDefault="00D543FC" w:rsidP="00D543FC">
      <w:pPr>
        <w:autoSpaceDE w:val="0"/>
        <w:autoSpaceDN w:val="0"/>
        <w:adjustRightInd w:val="0"/>
        <w:spacing w:line="240" w:lineRule="auto"/>
        <w:jc w:val="both"/>
        <w:rPr>
          <w:rFonts w:asciiTheme="minorHAnsi" w:hAnsiTheme="minorHAnsi"/>
          <w:lang w:val="it-IT"/>
        </w:rPr>
      </w:pPr>
      <w:r w:rsidRPr="00834411">
        <w:rPr>
          <w:rFonts w:asciiTheme="minorHAnsi" w:hAnsiTheme="minorHAnsi"/>
          <w:lang w:val="it-IT"/>
        </w:rPr>
        <w:t>CSTF</w:t>
      </w:r>
      <w:r w:rsidRPr="00834411">
        <w:rPr>
          <w:rFonts w:asciiTheme="minorHAnsi" w:hAnsiTheme="minorHAnsi"/>
          <w:lang w:val="it-IT"/>
        </w:rPr>
        <w:tab/>
      </w:r>
      <w:r w:rsidRPr="00834411">
        <w:rPr>
          <w:rFonts w:asciiTheme="minorHAnsi" w:hAnsiTheme="minorHAnsi"/>
          <w:lang w:val="it-IT"/>
        </w:rPr>
        <w:tab/>
        <w:t>Country Studies Task Force</w:t>
      </w:r>
      <w:r w:rsidR="00F144F8" w:rsidRPr="00834411">
        <w:rPr>
          <w:rFonts w:asciiTheme="minorHAnsi" w:hAnsiTheme="minorHAnsi"/>
          <w:lang w:val="it-IT"/>
        </w:rPr>
        <w:t xml:space="preserve"> of FERG</w:t>
      </w:r>
    </w:p>
    <w:p w:rsidR="00D543FC"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CTF</w:t>
      </w:r>
      <w:r w:rsidRPr="00834411">
        <w:rPr>
          <w:rFonts w:asciiTheme="minorHAnsi" w:hAnsiTheme="minorHAnsi"/>
          <w:lang w:val="it-IT"/>
        </w:rPr>
        <w:tab/>
      </w:r>
      <w:r w:rsidRPr="00834411">
        <w:rPr>
          <w:rFonts w:asciiTheme="minorHAnsi" w:hAnsiTheme="minorHAnsi"/>
          <w:lang w:val="it-IT"/>
        </w:rPr>
        <w:tab/>
        <w:t>Computational Task Force</w:t>
      </w:r>
      <w:r w:rsidR="00F144F8" w:rsidRPr="00834411">
        <w:rPr>
          <w:rFonts w:asciiTheme="minorHAnsi" w:hAnsiTheme="minorHAnsi"/>
          <w:lang w:val="it-IT"/>
        </w:rPr>
        <w:t xml:space="preserve"> of FERG</w:t>
      </w:r>
    </w:p>
    <w:p w:rsidR="00D543FC"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CTTF</w:t>
      </w:r>
      <w:r w:rsidRPr="00834411">
        <w:rPr>
          <w:rFonts w:asciiTheme="minorHAnsi" w:hAnsiTheme="minorHAnsi"/>
          <w:lang w:val="it-IT"/>
        </w:rPr>
        <w:tab/>
      </w:r>
      <w:r w:rsidRPr="00834411">
        <w:rPr>
          <w:rFonts w:asciiTheme="minorHAnsi" w:hAnsiTheme="minorHAnsi"/>
          <w:lang w:val="it-IT"/>
        </w:rPr>
        <w:tab/>
        <w:t>Chemicals and Toxins Task Force</w:t>
      </w:r>
    </w:p>
    <w:p w:rsidR="00D543FC"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 xml:space="preserve">DALY </w:t>
      </w:r>
      <w:r w:rsidRPr="00834411">
        <w:rPr>
          <w:rFonts w:asciiTheme="minorHAnsi" w:hAnsiTheme="minorHAnsi"/>
          <w:lang w:val="it-IT"/>
        </w:rPr>
        <w:tab/>
      </w:r>
      <w:r w:rsidR="00A400DC">
        <w:rPr>
          <w:rFonts w:asciiTheme="minorHAnsi" w:hAnsiTheme="minorHAnsi"/>
          <w:lang w:val="it-IT"/>
        </w:rPr>
        <w:tab/>
      </w:r>
      <w:r w:rsidRPr="00834411">
        <w:rPr>
          <w:rFonts w:asciiTheme="minorHAnsi" w:hAnsiTheme="minorHAnsi"/>
          <w:lang w:val="it-IT"/>
        </w:rPr>
        <w:t>disability-adjusted life year</w:t>
      </w:r>
    </w:p>
    <w:p w:rsidR="00D543FC" w:rsidRPr="00834411" w:rsidRDefault="00D543FC" w:rsidP="00D543FC">
      <w:pPr>
        <w:autoSpaceDE w:val="0"/>
        <w:autoSpaceDN w:val="0"/>
        <w:adjustRightInd w:val="0"/>
        <w:spacing w:line="240" w:lineRule="auto"/>
        <w:rPr>
          <w:rFonts w:asciiTheme="minorHAnsi" w:hAnsiTheme="minorHAnsi"/>
          <w:lang w:val="it-IT"/>
        </w:rPr>
      </w:pPr>
      <w:r w:rsidRPr="00834411">
        <w:rPr>
          <w:rFonts w:asciiTheme="minorHAnsi" w:hAnsiTheme="minorHAnsi"/>
          <w:lang w:val="it-IT"/>
        </w:rPr>
        <w:t xml:space="preserve">EAggEC </w:t>
      </w:r>
      <w:r w:rsidRPr="00834411">
        <w:rPr>
          <w:rFonts w:asciiTheme="minorHAnsi" w:hAnsiTheme="minorHAnsi"/>
          <w:lang w:val="it-IT"/>
        </w:rPr>
        <w:tab/>
        <w:t>Enteroaggerative E. coli</w:t>
      </w:r>
    </w:p>
    <w:p w:rsidR="00D543FC"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 xml:space="preserve">EDTF </w:t>
      </w:r>
      <w:r w:rsidRPr="00834411">
        <w:rPr>
          <w:rFonts w:asciiTheme="minorHAnsi" w:hAnsiTheme="minorHAnsi"/>
          <w:lang w:val="it-IT"/>
        </w:rPr>
        <w:tab/>
      </w:r>
      <w:r w:rsidRPr="00834411">
        <w:rPr>
          <w:rFonts w:asciiTheme="minorHAnsi" w:hAnsiTheme="minorHAnsi"/>
          <w:lang w:val="it-IT"/>
        </w:rPr>
        <w:tab/>
        <w:t>Enteric Disease Task Force</w:t>
      </w:r>
      <w:r w:rsidR="00F144F8" w:rsidRPr="00834411">
        <w:rPr>
          <w:rFonts w:asciiTheme="minorHAnsi" w:hAnsiTheme="minorHAnsi"/>
          <w:lang w:val="it-IT"/>
        </w:rPr>
        <w:t xml:space="preserve"> of FERG</w:t>
      </w:r>
    </w:p>
    <w:p w:rsidR="00D543FC" w:rsidRPr="00834411" w:rsidRDefault="00D543FC" w:rsidP="00D543FC">
      <w:pPr>
        <w:spacing w:line="240" w:lineRule="auto"/>
        <w:rPr>
          <w:rFonts w:asciiTheme="minorHAnsi" w:hAnsiTheme="minorHAnsi"/>
          <w:lang w:val="it-IT"/>
        </w:rPr>
      </w:pPr>
      <w:r w:rsidRPr="00834411">
        <w:rPr>
          <w:rFonts w:asciiTheme="minorHAnsi" w:hAnsiTheme="minorHAnsi"/>
          <w:lang w:val="it-IT"/>
        </w:rPr>
        <w:t>EE</w:t>
      </w:r>
      <w:r w:rsidRPr="00834411">
        <w:rPr>
          <w:rFonts w:asciiTheme="minorHAnsi" w:hAnsiTheme="minorHAnsi"/>
          <w:lang w:val="it-IT"/>
        </w:rPr>
        <w:tab/>
      </w:r>
      <w:r w:rsidRPr="00834411">
        <w:rPr>
          <w:rFonts w:asciiTheme="minorHAnsi" w:hAnsiTheme="minorHAnsi"/>
          <w:lang w:val="it-IT"/>
        </w:rPr>
        <w:tab/>
        <w:t>Expert Elicitation</w:t>
      </w:r>
    </w:p>
    <w:p w:rsidR="00D543FC" w:rsidRPr="00834411" w:rsidRDefault="00A400DC" w:rsidP="00D543FC">
      <w:pPr>
        <w:spacing w:line="240" w:lineRule="auto"/>
        <w:rPr>
          <w:rFonts w:asciiTheme="minorHAnsi" w:hAnsiTheme="minorHAnsi"/>
          <w:lang w:val="it-IT"/>
        </w:rPr>
      </w:pPr>
      <w:r>
        <w:rPr>
          <w:rFonts w:asciiTheme="minorHAnsi" w:hAnsiTheme="minorHAnsi"/>
          <w:lang w:val="it-IT"/>
        </w:rPr>
        <w:t>EMR</w:t>
      </w:r>
      <w:r w:rsidR="00D543FC" w:rsidRPr="00834411">
        <w:rPr>
          <w:rFonts w:asciiTheme="minorHAnsi" w:hAnsiTheme="minorHAnsi"/>
          <w:lang w:val="it-IT"/>
        </w:rPr>
        <w:tab/>
      </w:r>
      <w:r w:rsidR="00D543FC" w:rsidRPr="00834411">
        <w:rPr>
          <w:rFonts w:asciiTheme="minorHAnsi" w:hAnsiTheme="minorHAnsi"/>
          <w:lang w:val="it-IT"/>
        </w:rPr>
        <w:tab/>
        <w:t>WHO Eastern Mediterranean Region</w:t>
      </w:r>
    </w:p>
    <w:p w:rsidR="00D543FC"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 xml:space="preserve">EPEC </w:t>
      </w:r>
      <w:r w:rsidRPr="00834411">
        <w:rPr>
          <w:rFonts w:asciiTheme="minorHAnsi" w:hAnsiTheme="minorHAnsi"/>
          <w:lang w:val="it-IT"/>
        </w:rPr>
        <w:tab/>
      </w:r>
      <w:r w:rsidRPr="00834411">
        <w:rPr>
          <w:rFonts w:asciiTheme="minorHAnsi" w:hAnsiTheme="minorHAnsi"/>
          <w:lang w:val="it-IT"/>
        </w:rPr>
        <w:tab/>
        <w:t>enteropathogenic Escherichia coli</w:t>
      </w:r>
    </w:p>
    <w:p w:rsidR="00D543FC"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 xml:space="preserve">ETEC </w:t>
      </w:r>
      <w:r w:rsidRPr="00834411">
        <w:rPr>
          <w:rFonts w:asciiTheme="minorHAnsi" w:hAnsiTheme="minorHAnsi"/>
          <w:lang w:val="it-IT"/>
        </w:rPr>
        <w:tab/>
      </w:r>
      <w:r w:rsidRPr="00834411">
        <w:rPr>
          <w:rFonts w:asciiTheme="minorHAnsi" w:hAnsiTheme="minorHAnsi"/>
          <w:lang w:val="it-IT"/>
        </w:rPr>
        <w:tab/>
        <w:t>enterotoxigenic Escherichia coli</w:t>
      </w:r>
    </w:p>
    <w:p w:rsidR="00D543FC" w:rsidRPr="00834411" w:rsidRDefault="00D543FC" w:rsidP="00D543FC">
      <w:pPr>
        <w:spacing w:line="240" w:lineRule="auto"/>
        <w:rPr>
          <w:rFonts w:asciiTheme="minorHAnsi" w:hAnsiTheme="minorHAnsi"/>
          <w:lang w:val="it-IT"/>
        </w:rPr>
      </w:pPr>
      <w:r w:rsidRPr="00834411">
        <w:rPr>
          <w:rFonts w:asciiTheme="minorHAnsi" w:hAnsiTheme="minorHAnsi"/>
          <w:lang w:val="it-IT"/>
        </w:rPr>
        <w:t>EUR</w:t>
      </w:r>
      <w:r w:rsidRPr="00834411">
        <w:rPr>
          <w:rFonts w:asciiTheme="minorHAnsi" w:hAnsiTheme="minorHAnsi"/>
          <w:lang w:val="it-IT"/>
        </w:rPr>
        <w:tab/>
      </w:r>
      <w:r w:rsidRPr="00834411">
        <w:rPr>
          <w:rFonts w:asciiTheme="minorHAnsi" w:hAnsiTheme="minorHAnsi"/>
          <w:lang w:val="it-IT"/>
        </w:rPr>
        <w:tab/>
        <w:t>WHO European Region</w:t>
      </w:r>
    </w:p>
    <w:p w:rsidR="00D543FC" w:rsidRPr="00834411" w:rsidRDefault="00D543FC" w:rsidP="00D543FC">
      <w:pPr>
        <w:spacing w:line="240" w:lineRule="auto"/>
        <w:rPr>
          <w:rFonts w:asciiTheme="minorHAnsi" w:hAnsiTheme="minorHAnsi"/>
          <w:lang w:val="it-IT"/>
        </w:rPr>
      </w:pPr>
      <w:r w:rsidRPr="00834411">
        <w:rPr>
          <w:rFonts w:asciiTheme="minorHAnsi" w:hAnsiTheme="minorHAnsi"/>
          <w:lang w:val="it-IT"/>
        </w:rPr>
        <w:t>FAO</w:t>
      </w:r>
      <w:r w:rsidRPr="00834411">
        <w:rPr>
          <w:rFonts w:asciiTheme="minorHAnsi" w:hAnsiTheme="minorHAnsi"/>
          <w:lang w:val="it-IT"/>
        </w:rPr>
        <w:tab/>
      </w:r>
      <w:r w:rsidRPr="00834411">
        <w:rPr>
          <w:rFonts w:asciiTheme="minorHAnsi" w:hAnsiTheme="minorHAnsi"/>
          <w:lang w:val="it-IT"/>
        </w:rPr>
        <w:tab/>
        <w:t>Food and Agriculture Organization of the United Nations</w:t>
      </w:r>
    </w:p>
    <w:p w:rsidR="00D543FC"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FERG</w:t>
      </w:r>
      <w:r w:rsidRPr="00834411">
        <w:rPr>
          <w:rFonts w:asciiTheme="minorHAnsi" w:hAnsiTheme="minorHAnsi"/>
          <w:lang w:val="it-IT"/>
        </w:rPr>
        <w:tab/>
      </w:r>
      <w:r w:rsidRPr="00834411">
        <w:rPr>
          <w:rFonts w:asciiTheme="minorHAnsi" w:hAnsiTheme="minorHAnsi"/>
          <w:lang w:val="it-IT"/>
        </w:rPr>
        <w:tab/>
        <w:t>Foodborne Disease Burden Epidemiology Reference Group</w:t>
      </w:r>
    </w:p>
    <w:p w:rsidR="00D543FC"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GBD</w:t>
      </w:r>
      <w:r w:rsidRPr="00834411">
        <w:rPr>
          <w:rFonts w:asciiTheme="minorHAnsi" w:hAnsiTheme="minorHAnsi"/>
          <w:lang w:val="it-IT"/>
        </w:rPr>
        <w:tab/>
      </w:r>
      <w:r w:rsidRPr="00834411">
        <w:rPr>
          <w:rFonts w:asciiTheme="minorHAnsi" w:hAnsiTheme="minorHAnsi"/>
          <w:lang w:val="it-IT"/>
        </w:rPr>
        <w:tab/>
        <w:t>Global Burden of Disease</w:t>
      </w:r>
    </w:p>
    <w:p w:rsidR="00D543FC" w:rsidRPr="00834411" w:rsidRDefault="00D543FC" w:rsidP="00D543FC">
      <w:pPr>
        <w:spacing w:line="240" w:lineRule="auto"/>
        <w:rPr>
          <w:rFonts w:asciiTheme="minorHAnsi" w:hAnsiTheme="minorHAnsi"/>
          <w:lang w:val="it-IT"/>
        </w:rPr>
      </w:pPr>
      <w:r w:rsidRPr="00834411">
        <w:rPr>
          <w:rFonts w:asciiTheme="minorHAnsi" w:hAnsiTheme="minorHAnsi"/>
          <w:lang w:val="it-IT"/>
        </w:rPr>
        <w:t>GBS</w:t>
      </w:r>
      <w:r w:rsidRPr="00834411">
        <w:rPr>
          <w:rFonts w:asciiTheme="minorHAnsi" w:hAnsiTheme="minorHAnsi"/>
          <w:lang w:val="it-IT"/>
        </w:rPr>
        <w:tab/>
      </w:r>
      <w:r w:rsidRPr="00834411">
        <w:rPr>
          <w:rFonts w:asciiTheme="minorHAnsi" w:hAnsiTheme="minorHAnsi"/>
          <w:lang w:val="it-IT"/>
        </w:rPr>
        <w:tab/>
        <w:t>Guillain-Barré Syndrome</w:t>
      </w:r>
    </w:p>
    <w:p w:rsidR="00D543FC" w:rsidRPr="00834411" w:rsidRDefault="00D543FC" w:rsidP="00D543FC">
      <w:pPr>
        <w:spacing w:line="240" w:lineRule="auto"/>
        <w:rPr>
          <w:rFonts w:asciiTheme="minorHAnsi" w:hAnsiTheme="minorHAnsi"/>
          <w:lang w:val="it-IT"/>
        </w:rPr>
      </w:pPr>
      <w:r w:rsidRPr="00834411">
        <w:rPr>
          <w:rFonts w:asciiTheme="minorHAnsi" w:hAnsiTheme="minorHAnsi"/>
          <w:lang w:val="it-IT"/>
        </w:rPr>
        <w:t>HAV</w:t>
      </w:r>
      <w:r w:rsidRPr="00834411">
        <w:rPr>
          <w:rFonts w:asciiTheme="minorHAnsi" w:hAnsiTheme="minorHAnsi"/>
          <w:lang w:val="it-IT"/>
        </w:rPr>
        <w:tab/>
      </w:r>
      <w:r w:rsidRPr="00834411">
        <w:rPr>
          <w:rFonts w:asciiTheme="minorHAnsi" w:hAnsiTheme="minorHAnsi"/>
          <w:lang w:val="it-IT"/>
        </w:rPr>
        <w:tab/>
        <w:t>Hepatitis A Virus</w:t>
      </w:r>
    </w:p>
    <w:p w:rsidR="00B553DB" w:rsidRPr="00834411" w:rsidRDefault="00B553DB" w:rsidP="00D543FC">
      <w:pPr>
        <w:spacing w:line="240" w:lineRule="auto"/>
        <w:rPr>
          <w:rFonts w:asciiTheme="minorHAnsi" w:hAnsiTheme="minorHAnsi"/>
          <w:lang w:val="it-IT"/>
        </w:rPr>
      </w:pPr>
      <w:r w:rsidRPr="00834411">
        <w:rPr>
          <w:rFonts w:asciiTheme="minorHAnsi" w:hAnsiTheme="minorHAnsi"/>
          <w:lang w:val="it-IT"/>
        </w:rPr>
        <w:t>iNTS</w:t>
      </w:r>
      <w:r w:rsidRPr="00834411">
        <w:rPr>
          <w:rFonts w:asciiTheme="minorHAnsi" w:hAnsiTheme="minorHAnsi"/>
          <w:lang w:val="it-IT"/>
        </w:rPr>
        <w:tab/>
      </w:r>
      <w:r w:rsidRPr="00834411">
        <w:rPr>
          <w:rFonts w:asciiTheme="minorHAnsi" w:hAnsiTheme="minorHAnsi"/>
          <w:lang w:val="it-IT"/>
        </w:rPr>
        <w:tab/>
        <w:t xml:space="preserve">Invasive Non-typhoidal </w:t>
      </w:r>
      <w:r w:rsidRPr="00834411">
        <w:rPr>
          <w:rFonts w:asciiTheme="minorHAnsi" w:hAnsiTheme="minorHAnsi"/>
          <w:i/>
          <w:lang w:val="it-IT"/>
        </w:rPr>
        <w:t xml:space="preserve">Salmonella enterica </w:t>
      </w:r>
      <w:r w:rsidRPr="00834411">
        <w:rPr>
          <w:rFonts w:asciiTheme="minorHAnsi" w:hAnsiTheme="minorHAnsi"/>
          <w:lang w:val="it-IT"/>
        </w:rPr>
        <w:t>infection</w:t>
      </w:r>
    </w:p>
    <w:p w:rsidR="00B553DB" w:rsidRPr="00834411" w:rsidRDefault="00B553DB" w:rsidP="00D543FC">
      <w:pPr>
        <w:autoSpaceDE w:val="0"/>
        <w:autoSpaceDN w:val="0"/>
        <w:adjustRightInd w:val="0"/>
        <w:spacing w:line="240" w:lineRule="auto"/>
        <w:rPr>
          <w:rFonts w:asciiTheme="minorHAnsi" w:hAnsiTheme="minorHAnsi"/>
          <w:lang w:val="it-IT"/>
        </w:rPr>
      </w:pPr>
      <w:r w:rsidRPr="00834411">
        <w:rPr>
          <w:rFonts w:asciiTheme="minorHAnsi" w:hAnsiTheme="minorHAnsi"/>
          <w:lang w:val="it-IT"/>
        </w:rPr>
        <w:t>NTS</w:t>
      </w:r>
      <w:r w:rsidRPr="00834411">
        <w:rPr>
          <w:rFonts w:asciiTheme="minorHAnsi" w:hAnsiTheme="minorHAnsi"/>
          <w:lang w:val="it-IT"/>
        </w:rPr>
        <w:tab/>
      </w:r>
      <w:r w:rsidRPr="00834411">
        <w:rPr>
          <w:rFonts w:asciiTheme="minorHAnsi" w:hAnsiTheme="minorHAnsi"/>
          <w:lang w:val="it-IT"/>
        </w:rPr>
        <w:tab/>
        <w:t xml:space="preserve">Non-typhoidal </w:t>
      </w:r>
      <w:r w:rsidRPr="00834411">
        <w:rPr>
          <w:rFonts w:asciiTheme="minorHAnsi" w:hAnsiTheme="minorHAnsi"/>
          <w:i/>
          <w:lang w:val="it-IT"/>
        </w:rPr>
        <w:t xml:space="preserve">Salmonella enterica </w:t>
      </w:r>
      <w:r w:rsidRPr="00834411">
        <w:rPr>
          <w:rFonts w:asciiTheme="minorHAnsi" w:hAnsiTheme="minorHAnsi"/>
          <w:lang w:val="it-IT"/>
        </w:rPr>
        <w:t>infection</w:t>
      </w:r>
    </w:p>
    <w:p w:rsidR="00D543FC" w:rsidRPr="00834411" w:rsidRDefault="00D543FC" w:rsidP="00D543FC">
      <w:pPr>
        <w:autoSpaceDE w:val="0"/>
        <w:autoSpaceDN w:val="0"/>
        <w:adjustRightInd w:val="0"/>
        <w:spacing w:line="240" w:lineRule="auto"/>
        <w:rPr>
          <w:rFonts w:asciiTheme="minorHAnsi" w:hAnsiTheme="minorHAnsi"/>
          <w:lang w:val="it-IT"/>
        </w:rPr>
      </w:pPr>
      <w:r w:rsidRPr="00834411">
        <w:rPr>
          <w:rFonts w:asciiTheme="minorHAnsi" w:hAnsiTheme="minorHAnsi"/>
          <w:lang w:val="it-IT"/>
        </w:rPr>
        <w:t xml:space="preserve">OIE </w:t>
      </w:r>
      <w:r w:rsidRPr="00834411">
        <w:rPr>
          <w:rFonts w:asciiTheme="minorHAnsi" w:hAnsiTheme="minorHAnsi"/>
          <w:lang w:val="it-IT"/>
        </w:rPr>
        <w:tab/>
      </w:r>
      <w:r w:rsidRPr="00834411">
        <w:rPr>
          <w:rFonts w:asciiTheme="minorHAnsi" w:hAnsiTheme="minorHAnsi"/>
          <w:lang w:val="it-IT"/>
        </w:rPr>
        <w:tab/>
        <w:t>World Organisation for Animal Health</w:t>
      </w:r>
    </w:p>
    <w:p w:rsidR="00D543FC" w:rsidRPr="00834411" w:rsidRDefault="00D543FC" w:rsidP="00D543FC">
      <w:pPr>
        <w:spacing w:line="240" w:lineRule="auto"/>
        <w:rPr>
          <w:rFonts w:asciiTheme="minorHAnsi" w:hAnsiTheme="minorHAnsi"/>
          <w:lang w:val="it-IT"/>
        </w:rPr>
      </w:pPr>
      <w:r w:rsidRPr="00834411">
        <w:rPr>
          <w:rFonts w:asciiTheme="minorHAnsi" w:hAnsiTheme="minorHAnsi"/>
          <w:lang w:val="it-IT"/>
        </w:rPr>
        <w:t>PAHO</w:t>
      </w:r>
      <w:r w:rsidRPr="00834411">
        <w:rPr>
          <w:rFonts w:asciiTheme="minorHAnsi" w:hAnsiTheme="minorHAnsi"/>
          <w:lang w:val="it-IT"/>
        </w:rPr>
        <w:tab/>
      </w:r>
      <w:r w:rsidRPr="00834411">
        <w:rPr>
          <w:rFonts w:asciiTheme="minorHAnsi" w:hAnsiTheme="minorHAnsi"/>
          <w:lang w:val="it-IT"/>
        </w:rPr>
        <w:tab/>
        <w:t>Pan American Health Organization</w:t>
      </w:r>
    </w:p>
    <w:p w:rsidR="00D543FC"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PDTF</w:t>
      </w:r>
      <w:r w:rsidRPr="00834411">
        <w:rPr>
          <w:rFonts w:asciiTheme="minorHAnsi" w:hAnsiTheme="minorHAnsi"/>
          <w:lang w:val="it-IT"/>
        </w:rPr>
        <w:tab/>
      </w:r>
      <w:r w:rsidRPr="00834411">
        <w:rPr>
          <w:rFonts w:asciiTheme="minorHAnsi" w:hAnsiTheme="minorHAnsi"/>
          <w:lang w:val="it-IT"/>
        </w:rPr>
        <w:tab/>
        <w:t>Parasitic Diseases Task Force</w:t>
      </w:r>
      <w:r w:rsidR="00F144F8" w:rsidRPr="00834411">
        <w:rPr>
          <w:rFonts w:asciiTheme="minorHAnsi" w:hAnsiTheme="minorHAnsi"/>
          <w:lang w:val="it-IT"/>
        </w:rPr>
        <w:t xml:space="preserve"> of FERG</w:t>
      </w:r>
    </w:p>
    <w:p w:rsidR="00D543FC"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SATF</w:t>
      </w:r>
      <w:r w:rsidRPr="00834411">
        <w:rPr>
          <w:rFonts w:asciiTheme="minorHAnsi" w:hAnsiTheme="minorHAnsi"/>
          <w:lang w:val="it-IT"/>
        </w:rPr>
        <w:tab/>
      </w:r>
      <w:r w:rsidRPr="00834411">
        <w:rPr>
          <w:rFonts w:asciiTheme="minorHAnsi" w:hAnsiTheme="minorHAnsi"/>
          <w:lang w:val="it-IT"/>
        </w:rPr>
        <w:tab/>
        <w:t>Source Attribution Task Force</w:t>
      </w:r>
      <w:r w:rsidR="00F144F8" w:rsidRPr="00834411">
        <w:rPr>
          <w:rFonts w:asciiTheme="minorHAnsi" w:hAnsiTheme="minorHAnsi"/>
          <w:lang w:val="it-IT"/>
        </w:rPr>
        <w:t xml:space="preserve"> of FERG</w:t>
      </w:r>
    </w:p>
    <w:p w:rsidR="00D543FC" w:rsidRPr="00834411" w:rsidRDefault="00D543FC" w:rsidP="00D543FC">
      <w:pPr>
        <w:spacing w:line="240" w:lineRule="auto"/>
        <w:rPr>
          <w:rFonts w:asciiTheme="minorHAnsi" w:hAnsiTheme="minorHAnsi"/>
          <w:lang w:val="it-IT"/>
        </w:rPr>
      </w:pPr>
      <w:r w:rsidRPr="00834411">
        <w:rPr>
          <w:rFonts w:asciiTheme="minorHAnsi" w:hAnsiTheme="minorHAnsi"/>
          <w:lang w:val="it-IT"/>
        </w:rPr>
        <w:t>SEAR</w:t>
      </w:r>
      <w:r w:rsidR="00A400DC">
        <w:rPr>
          <w:rFonts w:asciiTheme="minorHAnsi" w:hAnsiTheme="minorHAnsi"/>
          <w:lang w:val="it-IT"/>
        </w:rPr>
        <w:tab/>
      </w:r>
      <w:r w:rsidRPr="00834411">
        <w:rPr>
          <w:rFonts w:asciiTheme="minorHAnsi" w:hAnsiTheme="minorHAnsi"/>
          <w:lang w:val="it-IT"/>
        </w:rPr>
        <w:tab/>
        <w:t>WHO South-East Asian Region</w:t>
      </w:r>
    </w:p>
    <w:p w:rsidR="00D543FC"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STEC</w:t>
      </w:r>
      <w:r w:rsidRPr="00834411">
        <w:rPr>
          <w:rFonts w:asciiTheme="minorHAnsi" w:hAnsiTheme="minorHAnsi"/>
          <w:lang w:val="it-IT"/>
        </w:rPr>
        <w:tab/>
      </w:r>
      <w:r w:rsidRPr="00834411">
        <w:rPr>
          <w:rFonts w:asciiTheme="minorHAnsi" w:hAnsiTheme="minorHAnsi"/>
          <w:lang w:val="it-IT"/>
        </w:rPr>
        <w:tab/>
        <w:t>Shiga-toxin-producing Escherichia coli</w:t>
      </w:r>
    </w:p>
    <w:p w:rsidR="00D543FC"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WHO</w:t>
      </w:r>
      <w:r w:rsidRPr="00834411">
        <w:rPr>
          <w:rFonts w:asciiTheme="minorHAnsi" w:hAnsiTheme="minorHAnsi"/>
          <w:lang w:val="it-IT"/>
        </w:rPr>
        <w:tab/>
      </w:r>
      <w:r w:rsidRPr="00834411">
        <w:rPr>
          <w:rFonts w:asciiTheme="minorHAnsi" w:hAnsiTheme="minorHAnsi"/>
          <w:lang w:val="it-IT"/>
        </w:rPr>
        <w:tab/>
        <w:t>World Health Organization</w:t>
      </w:r>
    </w:p>
    <w:p w:rsidR="00D543FC"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YLD</w:t>
      </w:r>
      <w:r w:rsidRPr="00834411">
        <w:rPr>
          <w:rFonts w:asciiTheme="minorHAnsi" w:hAnsiTheme="minorHAnsi"/>
          <w:lang w:val="it-IT"/>
        </w:rPr>
        <w:tab/>
      </w:r>
      <w:r w:rsidRPr="00834411">
        <w:rPr>
          <w:rFonts w:asciiTheme="minorHAnsi" w:hAnsiTheme="minorHAnsi"/>
          <w:lang w:val="it-IT"/>
        </w:rPr>
        <w:tab/>
        <w:t>years lived with disability</w:t>
      </w:r>
    </w:p>
    <w:p w:rsidR="00BB767F" w:rsidRPr="00834411" w:rsidRDefault="00D543FC" w:rsidP="00D543FC">
      <w:pPr>
        <w:spacing w:line="240" w:lineRule="auto"/>
        <w:jc w:val="both"/>
        <w:rPr>
          <w:rFonts w:asciiTheme="minorHAnsi" w:hAnsiTheme="minorHAnsi"/>
          <w:lang w:val="it-IT"/>
        </w:rPr>
      </w:pPr>
      <w:r w:rsidRPr="00834411">
        <w:rPr>
          <w:rFonts w:asciiTheme="minorHAnsi" w:hAnsiTheme="minorHAnsi"/>
          <w:lang w:val="it-IT"/>
        </w:rPr>
        <w:t>YLL</w:t>
      </w:r>
      <w:r w:rsidRPr="00834411">
        <w:rPr>
          <w:rFonts w:asciiTheme="minorHAnsi" w:hAnsiTheme="minorHAnsi"/>
          <w:lang w:val="it-IT"/>
        </w:rPr>
        <w:tab/>
      </w:r>
      <w:r w:rsidRPr="00834411">
        <w:rPr>
          <w:rFonts w:asciiTheme="minorHAnsi" w:hAnsiTheme="minorHAnsi"/>
          <w:lang w:val="it-IT"/>
        </w:rPr>
        <w:tab/>
        <w:t xml:space="preserve">years of life lost </w:t>
      </w:r>
    </w:p>
    <w:p w:rsidR="00BB767F" w:rsidRPr="00834411" w:rsidRDefault="00BB767F">
      <w:pPr>
        <w:spacing w:after="160" w:line="259" w:lineRule="auto"/>
        <w:rPr>
          <w:rFonts w:asciiTheme="minorHAnsi" w:hAnsiTheme="minorHAnsi"/>
          <w:lang w:val="it-IT"/>
        </w:rPr>
      </w:pPr>
      <w:r w:rsidRPr="00834411">
        <w:rPr>
          <w:rFonts w:asciiTheme="minorHAnsi" w:hAnsiTheme="minorHAnsi"/>
          <w:lang w:val="it-IT"/>
        </w:rPr>
        <w:br w:type="page"/>
      </w:r>
    </w:p>
    <w:p w:rsidR="00D543FC" w:rsidRPr="00834411" w:rsidRDefault="00BB767F" w:rsidP="00D543FC">
      <w:pPr>
        <w:spacing w:line="240" w:lineRule="auto"/>
        <w:jc w:val="both"/>
        <w:rPr>
          <w:rFonts w:asciiTheme="minorHAnsi" w:hAnsiTheme="minorHAnsi"/>
          <w:lang w:val="it-IT"/>
        </w:rPr>
      </w:pPr>
      <w:r w:rsidRPr="00834411">
        <w:rPr>
          <w:rFonts w:asciiTheme="minorHAnsi" w:hAnsiTheme="minorHAnsi"/>
          <w:lang w:val="it-IT"/>
        </w:rPr>
        <w:lastRenderedPageBreak/>
        <w:t>WORLD HEALTH ORGANIZATION REGIONS</w:t>
      </w:r>
    </w:p>
    <w:p w:rsidR="00BB767F" w:rsidRPr="00834411" w:rsidRDefault="00BB767F" w:rsidP="00D543FC">
      <w:pPr>
        <w:spacing w:line="240" w:lineRule="auto"/>
        <w:jc w:val="both"/>
        <w:rPr>
          <w:rFonts w:asciiTheme="minorHAnsi" w:hAnsiTheme="minorHAnsi"/>
          <w:lang w:val="it-IT"/>
        </w:rPr>
      </w:pPr>
    </w:p>
    <w:tbl>
      <w:tblPr>
        <w:tblStyle w:val="LightShading"/>
        <w:tblW w:w="0" w:type="auto"/>
        <w:tblInd w:w="0" w:type="dxa"/>
        <w:tblLook w:val="04A0" w:firstRow="1" w:lastRow="0" w:firstColumn="1" w:lastColumn="0" w:noHBand="0" w:noVBand="1"/>
      </w:tblPr>
      <w:tblGrid>
        <w:gridCol w:w="2802"/>
        <w:gridCol w:w="5953"/>
      </w:tblGrid>
      <w:tr w:rsidR="00620100" w:rsidRPr="00834411" w:rsidTr="00620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rsidR="00620100" w:rsidRPr="00834411" w:rsidRDefault="00620100">
            <w:pPr>
              <w:spacing w:line="240" w:lineRule="auto"/>
              <w:rPr>
                <w:rFonts w:asciiTheme="minorHAnsi" w:hAnsiTheme="minorHAnsi"/>
                <w:sz w:val="20"/>
                <w:vertAlign w:val="superscript"/>
              </w:rPr>
            </w:pPr>
            <w:r w:rsidRPr="00834411">
              <w:rPr>
                <w:rFonts w:asciiTheme="minorHAnsi" w:hAnsiTheme="minorHAnsi"/>
                <w:sz w:val="20"/>
              </w:rPr>
              <w:t>Subregions</w:t>
            </w:r>
            <w:r w:rsidRPr="00834411">
              <w:rPr>
                <w:rFonts w:asciiTheme="minorHAnsi" w:hAnsiTheme="minorHAnsi"/>
                <w:sz w:val="20"/>
                <w:vertAlign w:val="superscript"/>
              </w:rPr>
              <w:t>1</w:t>
            </w:r>
          </w:p>
        </w:tc>
        <w:tc>
          <w:tcPr>
            <w:tcW w:w="5953" w:type="dxa"/>
            <w:hideMark/>
          </w:tcPr>
          <w:p w:rsidR="00620100" w:rsidRPr="00834411" w:rsidRDefault="00620100">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834411">
              <w:rPr>
                <w:rFonts w:asciiTheme="minorHAnsi" w:hAnsiTheme="minorHAnsi"/>
                <w:sz w:val="20"/>
              </w:rPr>
              <w:t>WHO member states</w:t>
            </w:r>
          </w:p>
        </w:tc>
      </w:tr>
      <w:tr w:rsidR="00620100" w:rsidRPr="00834411" w:rsidTr="0062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hideMark/>
          </w:tcPr>
          <w:p w:rsidR="00620100" w:rsidRPr="00834411" w:rsidRDefault="00620100">
            <w:pPr>
              <w:spacing w:line="240" w:lineRule="auto"/>
              <w:rPr>
                <w:rFonts w:asciiTheme="minorHAnsi" w:hAnsiTheme="minorHAnsi"/>
                <w:b w:val="0"/>
                <w:sz w:val="20"/>
              </w:rPr>
            </w:pPr>
            <w:r w:rsidRPr="00834411">
              <w:rPr>
                <w:rFonts w:asciiTheme="minorHAnsi" w:hAnsiTheme="minorHAnsi"/>
                <w:b w:val="0"/>
                <w:sz w:val="20"/>
              </w:rPr>
              <w:t>AFR D</w:t>
            </w:r>
          </w:p>
        </w:tc>
        <w:tc>
          <w:tcPr>
            <w:tcW w:w="5953" w:type="dxa"/>
            <w:tcBorders>
              <w:top w:val="nil"/>
              <w:bottom w:val="nil"/>
            </w:tcBorders>
            <w:hideMark/>
          </w:tcPr>
          <w:p w:rsidR="00620100" w:rsidRPr="00834411" w:rsidRDefault="0062010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34411">
              <w:rPr>
                <w:rFonts w:asciiTheme="minorHAnsi" w:hAnsiTheme="minorHAnsi"/>
                <w:sz w:val="20"/>
              </w:rPr>
              <w:t>Algeria; Angola; Benin; Burkina Faso; Cameroon; Cape Verde; Chad; Comoros; Equatorial Guinea; Gabon; Gambia; Ghana; Guinea; Guinea-Bissau; Liberia; Madagascar; Mali; Mauritania; Mauritius; Niger; Nigeria; Sao Tome and Principe; Senegal; Seychelles; Sierra Leone; Togo.</w:t>
            </w:r>
          </w:p>
        </w:tc>
      </w:tr>
      <w:tr w:rsidR="00620100" w:rsidRPr="00834411" w:rsidTr="00620100">
        <w:tc>
          <w:tcPr>
            <w:cnfStyle w:val="001000000000" w:firstRow="0" w:lastRow="0" w:firstColumn="1" w:lastColumn="0" w:oddVBand="0" w:evenVBand="0" w:oddHBand="0" w:evenHBand="0" w:firstRowFirstColumn="0" w:firstRowLastColumn="0" w:lastRowFirstColumn="0" w:lastRowLastColumn="0"/>
            <w:tcW w:w="2802" w:type="dxa"/>
            <w:tcBorders>
              <w:top w:val="nil"/>
              <w:left w:val="nil"/>
              <w:bottom w:val="nil"/>
              <w:right w:val="nil"/>
            </w:tcBorders>
            <w:hideMark/>
          </w:tcPr>
          <w:p w:rsidR="00620100" w:rsidRPr="00834411" w:rsidRDefault="00620100">
            <w:pPr>
              <w:spacing w:line="240" w:lineRule="auto"/>
              <w:rPr>
                <w:rFonts w:asciiTheme="minorHAnsi" w:hAnsiTheme="minorHAnsi"/>
                <w:b w:val="0"/>
                <w:sz w:val="20"/>
                <w:u w:val="single"/>
              </w:rPr>
            </w:pPr>
            <w:r w:rsidRPr="00834411">
              <w:rPr>
                <w:rFonts w:asciiTheme="minorHAnsi" w:hAnsiTheme="minorHAnsi"/>
                <w:b w:val="0"/>
                <w:sz w:val="20"/>
              </w:rPr>
              <w:t>AFR E</w:t>
            </w:r>
          </w:p>
        </w:tc>
        <w:tc>
          <w:tcPr>
            <w:tcW w:w="5953" w:type="dxa"/>
            <w:tcBorders>
              <w:top w:val="nil"/>
              <w:left w:val="nil"/>
              <w:bottom w:val="nil"/>
              <w:right w:val="nil"/>
            </w:tcBorders>
            <w:hideMark/>
          </w:tcPr>
          <w:p w:rsidR="00620100" w:rsidRPr="00834411" w:rsidRDefault="00620100">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u w:val="single"/>
              </w:rPr>
            </w:pPr>
            <w:r w:rsidRPr="00834411">
              <w:rPr>
                <w:rFonts w:asciiTheme="minorHAnsi" w:hAnsiTheme="minorHAnsi"/>
                <w:sz w:val="20"/>
              </w:rPr>
              <w:t>Botswana; Burundi; Central African Republic; Congo; Côte d'Ivoire; Democratic Republic of the Congo; Eritrea; Ethiopia; Kenya; Lesotho; Malawi; Mozambique; Namibia; Rwanda; South Africa; Swaziland; Uganda; United Republic of Tanzania; Zambia; Zimbabwe.</w:t>
            </w:r>
          </w:p>
        </w:tc>
      </w:tr>
      <w:tr w:rsidR="00620100" w:rsidRPr="00834411" w:rsidTr="0062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hideMark/>
          </w:tcPr>
          <w:p w:rsidR="00620100" w:rsidRPr="00834411" w:rsidRDefault="00620100">
            <w:pPr>
              <w:spacing w:line="240" w:lineRule="auto"/>
              <w:rPr>
                <w:rFonts w:asciiTheme="minorHAnsi" w:hAnsiTheme="minorHAnsi"/>
                <w:b w:val="0"/>
                <w:sz w:val="20"/>
              </w:rPr>
            </w:pPr>
            <w:r w:rsidRPr="00834411">
              <w:rPr>
                <w:rFonts w:asciiTheme="minorHAnsi" w:hAnsiTheme="minorHAnsi"/>
                <w:b w:val="0"/>
                <w:sz w:val="20"/>
              </w:rPr>
              <w:t>AMR A</w:t>
            </w:r>
          </w:p>
        </w:tc>
        <w:tc>
          <w:tcPr>
            <w:tcW w:w="5953" w:type="dxa"/>
            <w:tcBorders>
              <w:top w:val="nil"/>
              <w:bottom w:val="nil"/>
            </w:tcBorders>
            <w:hideMark/>
          </w:tcPr>
          <w:p w:rsidR="00620100" w:rsidRPr="00834411" w:rsidRDefault="0062010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34411">
              <w:rPr>
                <w:rFonts w:asciiTheme="minorHAnsi" w:hAnsiTheme="minorHAnsi"/>
                <w:sz w:val="20"/>
              </w:rPr>
              <w:t>Canada; Cuba; United States of America.</w:t>
            </w:r>
          </w:p>
        </w:tc>
      </w:tr>
      <w:tr w:rsidR="00620100" w:rsidRPr="00834411" w:rsidTr="00620100">
        <w:tc>
          <w:tcPr>
            <w:cnfStyle w:val="001000000000" w:firstRow="0" w:lastRow="0" w:firstColumn="1" w:lastColumn="0" w:oddVBand="0" w:evenVBand="0" w:oddHBand="0" w:evenHBand="0" w:firstRowFirstColumn="0" w:firstRowLastColumn="0" w:lastRowFirstColumn="0" w:lastRowLastColumn="0"/>
            <w:tcW w:w="2802" w:type="dxa"/>
            <w:tcBorders>
              <w:top w:val="nil"/>
              <w:left w:val="nil"/>
              <w:bottom w:val="nil"/>
              <w:right w:val="nil"/>
            </w:tcBorders>
            <w:hideMark/>
          </w:tcPr>
          <w:p w:rsidR="00620100" w:rsidRPr="00834411" w:rsidRDefault="00620100">
            <w:pPr>
              <w:spacing w:line="240" w:lineRule="auto"/>
              <w:rPr>
                <w:rFonts w:asciiTheme="minorHAnsi" w:hAnsiTheme="minorHAnsi"/>
                <w:b w:val="0"/>
                <w:sz w:val="20"/>
                <w:u w:val="single"/>
              </w:rPr>
            </w:pPr>
            <w:r w:rsidRPr="00834411">
              <w:rPr>
                <w:rFonts w:asciiTheme="minorHAnsi" w:hAnsiTheme="minorHAnsi"/>
                <w:b w:val="0"/>
                <w:sz w:val="20"/>
              </w:rPr>
              <w:t>AMR B</w:t>
            </w:r>
          </w:p>
        </w:tc>
        <w:tc>
          <w:tcPr>
            <w:tcW w:w="5953" w:type="dxa"/>
            <w:tcBorders>
              <w:top w:val="nil"/>
              <w:left w:val="nil"/>
              <w:bottom w:val="nil"/>
              <w:right w:val="nil"/>
            </w:tcBorders>
            <w:hideMark/>
          </w:tcPr>
          <w:p w:rsidR="00620100" w:rsidRPr="00834411" w:rsidRDefault="00620100">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34411">
              <w:rPr>
                <w:rFonts w:asciiTheme="minorHAnsi" w:hAnsiTheme="minorHAnsi"/>
                <w:sz w:val="20"/>
              </w:rPr>
              <w:t>Antigua and Barbuda; Argentina; Bahamas; Barbados; Belize; Brazil; Chile; Colombia; Costa Rica; Dominica; Dominican Republic; El Salvador; Grenada; Guyana; Honduras; Jamaica; Mexico; Panama; Paraguay; Saint Kitts and Nevis; Saint Lucia; Saint Vincent and the Grenadines; Suriname; Trinidad and Tobago; Uruguay; Venezuela (Bolivarian Republic of).</w:t>
            </w:r>
          </w:p>
        </w:tc>
      </w:tr>
      <w:tr w:rsidR="00620100" w:rsidRPr="00834411" w:rsidTr="0062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hideMark/>
          </w:tcPr>
          <w:p w:rsidR="00620100" w:rsidRPr="00834411" w:rsidRDefault="00620100">
            <w:pPr>
              <w:spacing w:line="240" w:lineRule="auto"/>
              <w:rPr>
                <w:rFonts w:asciiTheme="minorHAnsi" w:hAnsiTheme="minorHAnsi"/>
                <w:b w:val="0"/>
                <w:sz w:val="20"/>
              </w:rPr>
            </w:pPr>
            <w:r w:rsidRPr="00834411">
              <w:rPr>
                <w:rFonts w:asciiTheme="minorHAnsi" w:hAnsiTheme="minorHAnsi"/>
                <w:b w:val="0"/>
                <w:sz w:val="20"/>
              </w:rPr>
              <w:t>AMR D</w:t>
            </w:r>
          </w:p>
        </w:tc>
        <w:tc>
          <w:tcPr>
            <w:tcW w:w="5953" w:type="dxa"/>
            <w:tcBorders>
              <w:top w:val="nil"/>
              <w:bottom w:val="nil"/>
            </w:tcBorders>
            <w:hideMark/>
          </w:tcPr>
          <w:p w:rsidR="00620100" w:rsidRPr="00834411" w:rsidRDefault="0062010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34411">
              <w:rPr>
                <w:rFonts w:asciiTheme="minorHAnsi" w:hAnsiTheme="minorHAnsi"/>
                <w:sz w:val="20"/>
              </w:rPr>
              <w:t>Bolivia (</w:t>
            </w:r>
            <w:proofErr w:type="spellStart"/>
            <w:r w:rsidRPr="00834411">
              <w:rPr>
                <w:rFonts w:asciiTheme="minorHAnsi" w:hAnsiTheme="minorHAnsi"/>
                <w:sz w:val="20"/>
              </w:rPr>
              <w:t>Plurinational</w:t>
            </w:r>
            <w:proofErr w:type="spellEnd"/>
            <w:r w:rsidRPr="00834411">
              <w:rPr>
                <w:rFonts w:asciiTheme="minorHAnsi" w:hAnsiTheme="minorHAnsi"/>
                <w:sz w:val="20"/>
              </w:rPr>
              <w:t xml:space="preserve"> State of); Ecuador; Guatemala; Haiti; Nicaragua; Peru.</w:t>
            </w:r>
          </w:p>
        </w:tc>
      </w:tr>
      <w:tr w:rsidR="00620100" w:rsidRPr="00834411" w:rsidTr="00620100">
        <w:tc>
          <w:tcPr>
            <w:cnfStyle w:val="001000000000" w:firstRow="0" w:lastRow="0" w:firstColumn="1" w:lastColumn="0" w:oddVBand="0" w:evenVBand="0" w:oddHBand="0" w:evenHBand="0" w:firstRowFirstColumn="0" w:firstRowLastColumn="0" w:lastRowFirstColumn="0" w:lastRowLastColumn="0"/>
            <w:tcW w:w="2802" w:type="dxa"/>
            <w:tcBorders>
              <w:top w:val="nil"/>
              <w:left w:val="nil"/>
              <w:bottom w:val="nil"/>
              <w:right w:val="nil"/>
            </w:tcBorders>
            <w:hideMark/>
          </w:tcPr>
          <w:p w:rsidR="00620100" w:rsidRPr="00834411" w:rsidRDefault="00620100">
            <w:pPr>
              <w:spacing w:line="240" w:lineRule="auto"/>
              <w:rPr>
                <w:rFonts w:asciiTheme="minorHAnsi" w:hAnsiTheme="minorHAnsi"/>
                <w:b w:val="0"/>
                <w:sz w:val="20"/>
              </w:rPr>
            </w:pPr>
            <w:r w:rsidRPr="00834411">
              <w:rPr>
                <w:rFonts w:asciiTheme="minorHAnsi" w:hAnsiTheme="minorHAnsi"/>
                <w:b w:val="0"/>
                <w:sz w:val="20"/>
              </w:rPr>
              <w:t>EMR B</w:t>
            </w:r>
          </w:p>
        </w:tc>
        <w:tc>
          <w:tcPr>
            <w:tcW w:w="5953" w:type="dxa"/>
            <w:tcBorders>
              <w:top w:val="nil"/>
              <w:left w:val="nil"/>
              <w:bottom w:val="nil"/>
              <w:right w:val="nil"/>
            </w:tcBorders>
            <w:hideMark/>
          </w:tcPr>
          <w:p w:rsidR="00620100" w:rsidRPr="00834411" w:rsidRDefault="00620100">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34411">
              <w:rPr>
                <w:rFonts w:asciiTheme="minorHAnsi" w:hAnsiTheme="minorHAnsi"/>
                <w:sz w:val="20"/>
              </w:rPr>
              <w:t>Bahrain; Iran (Islamic Republic of); Jordan; Kuwait; Lebanon; Libyan Arab Jamahiriya; Oman; Qatar; Saudi Arabia; Syrian Arab Republic; Tunisia; United Arab Emirates.</w:t>
            </w:r>
          </w:p>
        </w:tc>
      </w:tr>
      <w:tr w:rsidR="00620100" w:rsidRPr="00834411" w:rsidTr="0062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hideMark/>
          </w:tcPr>
          <w:p w:rsidR="00620100" w:rsidRPr="00834411" w:rsidRDefault="00620100">
            <w:pPr>
              <w:spacing w:line="240" w:lineRule="auto"/>
              <w:rPr>
                <w:rFonts w:asciiTheme="minorHAnsi" w:hAnsiTheme="minorHAnsi"/>
                <w:b w:val="0"/>
                <w:sz w:val="20"/>
              </w:rPr>
            </w:pPr>
            <w:r w:rsidRPr="00834411">
              <w:rPr>
                <w:rFonts w:asciiTheme="minorHAnsi" w:hAnsiTheme="minorHAnsi"/>
                <w:b w:val="0"/>
                <w:sz w:val="20"/>
              </w:rPr>
              <w:t>EMR D</w:t>
            </w:r>
          </w:p>
        </w:tc>
        <w:tc>
          <w:tcPr>
            <w:tcW w:w="5953" w:type="dxa"/>
            <w:tcBorders>
              <w:top w:val="nil"/>
              <w:bottom w:val="nil"/>
            </w:tcBorders>
            <w:hideMark/>
          </w:tcPr>
          <w:p w:rsidR="00620100" w:rsidRPr="00834411" w:rsidRDefault="0062010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34411">
              <w:rPr>
                <w:rFonts w:asciiTheme="minorHAnsi" w:hAnsiTheme="minorHAnsi"/>
                <w:sz w:val="20"/>
              </w:rPr>
              <w:t>Afghanistan; Djibouti; Egypt; Iraq; Morocco; Pakistan; Somalia; South Sudan</w:t>
            </w:r>
            <w:r w:rsidRPr="00834411">
              <w:rPr>
                <w:rFonts w:asciiTheme="minorHAnsi" w:hAnsiTheme="minorHAnsi"/>
                <w:sz w:val="20"/>
                <w:vertAlign w:val="superscript"/>
              </w:rPr>
              <w:t>2</w:t>
            </w:r>
            <w:r w:rsidRPr="00834411">
              <w:rPr>
                <w:rFonts w:asciiTheme="minorHAnsi" w:hAnsiTheme="minorHAnsi"/>
                <w:sz w:val="20"/>
              </w:rPr>
              <w:t>; Sudan; Yemen.</w:t>
            </w:r>
          </w:p>
        </w:tc>
      </w:tr>
      <w:tr w:rsidR="00620100" w:rsidRPr="00834411" w:rsidTr="00620100">
        <w:tc>
          <w:tcPr>
            <w:cnfStyle w:val="001000000000" w:firstRow="0" w:lastRow="0" w:firstColumn="1" w:lastColumn="0" w:oddVBand="0" w:evenVBand="0" w:oddHBand="0" w:evenHBand="0" w:firstRowFirstColumn="0" w:firstRowLastColumn="0" w:lastRowFirstColumn="0" w:lastRowLastColumn="0"/>
            <w:tcW w:w="2802" w:type="dxa"/>
            <w:tcBorders>
              <w:top w:val="nil"/>
              <w:left w:val="nil"/>
              <w:bottom w:val="nil"/>
              <w:right w:val="nil"/>
            </w:tcBorders>
            <w:hideMark/>
          </w:tcPr>
          <w:p w:rsidR="00620100" w:rsidRPr="00834411" w:rsidRDefault="00620100">
            <w:pPr>
              <w:spacing w:line="240" w:lineRule="auto"/>
              <w:rPr>
                <w:rFonts w:asciiTheme="minorHAnsi" w:hAnsiTheme="minorHAnsi"/>
                <w:b w:val="0"/>
                <w:sz w:val="20"/>
              </w:rPr>
            </w:pPr>
            <w:r w:rsidRPr="00834411">
              <w:rPr>
                <w:rFonts w:asciiTheme="minorHAnsi" w:hAnsiTheme="minorHAnsi"/>
                <w:b w:val="0"/>
                <w:sz w:val="20"/>
              </w:rPr>
              <w:t>EUR A</w:t>
            </w:r>
          </w:p>
        </w:tc>
        <w:tc>
          <w:tcPr>
            <w:tcW w:w="5953" w:type="dxa"/>
            <w:tcBorders>
              <w:top w:val="nil"/>
              <w:left w:val="nil"/>
              <w:bottom w:val="nil"/>
              <w:right w:val="nil"/>
            </w:tcBorders>
            <w:hideMark/>
          </w:tcPr>
          <w:p w:rsidR="00620100" w:rsidRPr="00834411" w:rsidRDefault="00620100">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34411">
              <w:rPr>
                <w:rFonts w:asciiTheme="minorHAnsi" w:hAnsiTheme="minorHAnsi"/>
                <w:sz w:val="20"/>
              </w:rPr>
              <w:t>Andorra; Austria; Belgium; Croatia; Cyprus; Czech Republic; Denmark; Finland; France; Germany; Greece; Iceland; Ireland; Israel; Italy; Luxembourg; Malta; Monaco; Netherlands; Norway; Portugal; San Marino; Slovenia; Spain; Sweden; Switzerland; United Kingdom.</w:t>
            </w:r>
          </w:p>
        </w:tc>
      </w:tr>
      <w:tr w:rsidR="00620100" w:rsidRPr="00834411" w:rsidTr="0062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hideMark/>
          </w:tcPr>
          <w:p w:rsidR="00620100" w:rsidRPr="00834411" w:rsidRDefault="00620100">
            <w:pPr>
              <w:spacing w:line="240" w:lineRule="auto"/>
              <w:rPr>
                <w:rFonts w:asciiTheme="minorHAnsi" w:hAnsiTheme="minorHAnsi"/>
                <w:b w:val="0"/>
                <w:sz w:val="20"/>
                <w:vertAlign w:val="superscript"/>
              </w:rPr>
            </w:pPr>
            <w:r w:rsidRPr="00834411">
              <w:rPr>
                <w:rFonts w:asciiTheme="minorHAnsi" w:hAnsiTheme="minorHAnsi"/>
                <w:b w:val="0"/>
                <w:sz w:val="20"/>
              </w:rPr>
              <w:t>EUR B</w:t>
            </w:r>
          </w:p>
        </w:tc>
        <w:tc>
          <w:tcPr>
            <w:tcW w:w="5953" w:type="dxa"/>
            <w:tcBorders>
              <w:top w:val="nil"/>
              <w:bottom w:val="nil"/>
            </w:tcBorders>
            <w:hideMark/>
          </w:tcPr>
          <w:p w:rsidR="00620100" w:rsidRPr="00834411" w:rsidRDefault="0062010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34411">
              <w:rPr>
                <w:rFonts w:asciiTheme="minorHAnsi" w:hAnsiTheme="minorHAnsi"/>
                <w:sz w:val="20"/>
              </w:rPr>
              <w:t>Albania; Armenia; Azerbaijan; Bosnia and Herzegovina; Bulgaria; Georgia; Kyrgyzstan; Montenegro; Poland; Romania; Serbia; Slovakia; Tajikistan; The Former Yugoslav Republic of Macedonia; Turkey; Turkmenistan; Uzbekistan.</w:t>
            </w:r>
          </w:p>
        </w:tc>
      </w:tr>
      <w:tr w:rsidR="00620100" w:rsidRPr="00834411" w:rsidTr="00620100">
        <w:tc>
          <w:tcPr>
            <w:cnfStyle w:val="001000000000" w:firstRow="0" w:lastRow="0" w:firstColumn="1" w:lastColumn="0" w:oddVBand="0" w:evenVBand="0" w:oddHBand="0" w:evenHBand="0" w:firstRowFirstColumn="0" w:firstRowLastColumn="0" w:lastRowFirstColumn="0" w:lastRowLastColumn="0"/>
            <w:tcW w:w="2802" w:type="dxa"/>
            <w:tcBorders>
              <w:top w:val="nil"/>
              <w:left w:val="nil"/>
              <w:bottom w:val="nil"/>
              <w:right w:val="nil"/>
            </w:tcBorders>
            <w:hideMark/>
          </w:tcPr>
          <w:p w:rsidR="00620100" w:rsidRPr="00834411" w:rsidRDefault="00620100">
            <w:pPr>
              <w:spacing w:line="240" w:lineRule="auto"/>
              <w:rPr>
                <w:rFonts w:asciiTheme="minorHAnsi" w:hAnsiTheme="minorHAnsi"/>
                <w:b w:val="0"/>
                <w:sz w:val="20"/>
              </w:rPr>
            </w:pPr>
            <w:r w:rsidRPr="00834411">
              <w:rPr>
                <w:rFonts w:asciiTheme="minorHAnsi" w:hAnsiTheme="minorHAnsi"/>
                <w:b w:val="0"/>
                <w:sz w:val="20"/>
              </w:rPr>
              <w:t>EUR C</w:t>
            </w:r>
          </w:p>
        </w:tc>
        <w:tc>
          <w:tcPr>
            <w:tcW w:w="5953" w:type="dxa"/>
            <w:tcBorders>
              <w:top w:val="nil"/>
              <w:left w:val="nil"/>
              <w:bottom w:val="nil"/>
              <w:right w:val="nil"/>
            </w:tcBorders>
            <w:hideMark/>
          </w:tcPr>
          <w:p w:rsidR="00620100" w:rsidRPr="00834411" w:rsidRDefault="00620100">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34411">
              <w:rPr>
                <w:rFonts w:asciiTheme="minorHAnsi" w:hAnsiTheme="minorHAnsi"/>
                <w:sz w:val="20"/>
              </w:rPr>
              <w:t>Belarus; Estonia; Hungary; Kazakhstan; Latvia; Lithuania; Republic of Moldova; Russian Federation; Ukraine.</w:t>
            </w:r>
          </w:p>
        </w:tc>
      </w:tr>
      <w:tr w:rsidR="00620100" w:rsidRPr="00834411" w:rsidTr="0062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hideMark/>
          </w:tcPr>
          <w:p w:rsidR="00620100" w:rsidRPr="00834411" w:rsidRDefault="00620100">
            <w:pPr>
              <w:spacing w:line="240" w:lineRule="auto"/>
              <w:rPr>
                <w:rFonts w:asciiTheme="minorHAnsi" w:hAnsiTheme="minorHAnsi"/>
                <w:b w:val="0"/>
                <w:sz w:val="20"/>
              </w:rPr>
            </w:pPr>
            <w:r w:rsidRPr="00834411">
              <w:rPr>
                <w:rFonts w:asciiTheme="minorHAnsi" w:hAnsiTheme="minorHAnsi"/>
                <w:b w:val="0"/>
                <w:sz w:val="20"/>
              </w:rPr>
              <w:t>SEAR B</w:t>
            </w:r>
          </w:p>
        </w:tc>
        <w:tc>
          <w:tcPr>
            <w:tcW w:w="5953" w:type="dxa"/>
            <w:tcBorders>
              <w:top w:val="nil"/>
              <w:bottom w:val="nil"/>
            </w:tcBorders>
            <w:hideMark/>
          </w:tcPr>
          <w:p w:rsidR="00620100" w:rsidRPr="00834411" w:rsidRDefault="0062010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34411">
              <w:rPr>
                <w:rFonts w:asciiTheme="minorHAnsi" w:hAnsiTheme="minorHAnsi"/>
                <w:sz w:val="20"/>
              </w:rPr>
              <w:t>Indonesia; Sri Lanka; Thailand.</w:t>
            </w:r>
          </w:p>
        </w:tc>
      </w:tr>
      <w:tr w:rsidR="00620100" w:rsidRPr="00834411" w:rsidTr="00620100">
        <w:tc>
          <w:tcPr>
            <w:cnfStyle w:val="001000000000" w:firstRow="0" w:lastRow="0" w:firstColumn="1" w:lastColumn="0" w:oddVBand="0" w:evenVBand="0" w:oddHBand="0" w:evenHBand="0" w:firstRowFirstColumn="0" w:firstRowLastColumn="0" w:lastRowFirstColumn="0" w:lastRowLastColumn="0"/>
            <w:tcW w:w="2802" w:type="dxa"/>
            <w:tcBorders>
              <w:top w:val="nil"/>
              <w:left w:val="nil"/>
              <w:bottom w:val="nil"/>
              <w:right w:val="nil"/>
            </w:tcBorders>
            <w:hideMark/>
          </w:tcPr>
          <w:p w:rsidR="00620100" w:rsidRPr="00834411" w:rsidRDefault="00620100">
            <w:pPr>
              <w:spacing w:line="240" w:lineRule="auto"/>
              <w:rPr>
                <w:rFonts w:asciiTheme="minorHAnsi" w:hAnsiTheme="minorHAnsi"/>
                <w:b w:val="0"/>
                <w:sz w:val="20"/>
                <w:u w:val="single"/>
              </w:rPr>
            </w:pPr>
            <w:r w:rsidRPr="00834411">
              <w:rPr>
                <w:rFonts w:asciiTheme="minorHAnsi" w:hAnsiTheme="minorHAnsi"/>
                <w:b w:val="0"/>
                <w:sz w:val="20"/>
              </w:rPr>
              <w:t>SEAR D</w:t>
            </w:r>
          </w:p>
        </w:tc>
        <w:tc>
          <w:tcPr>
            <w:tcW w:w="5953" w:type="dxa"/>
            <w:tcBorders>
              <w:top w:val="nil"/>
              <w:left w:val="nil"/>
              <w:bottom w:val="nil"/>
              <w:right w:val="nil"/>
            </w:tcBorders>
            <w:hideMark/>
          </w:tcPr>
          <w:p w:rsidR="00620100" w:rsidRPr="00834411" w:rsidRDefault="00620100">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34411">
              <w:rPr>
                <w:rFonts w:asciiTheme="minorHAnsi" w:hAnsiTheme="minorHAnsi"/>
                <w:sz w:val="20"/>
              </w:rPr>
              <w:t>Bangladesh; Bhutan; Democratic People's Republic of Korea; India; Maldives; Myanmar; Nepal; Timor-Leste.</w:t>
            </w:r>
          </w:p>
        </w:tc>
      </w:tr>
      <w:tr w:rsidR="00620100" w:rsidRPr="00834411" w:rsidTr="00620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hideMark/>
          </w:tcPr>
          <w:p w:rsidR="00620100" w:rsidRPr="00834411" w:rsidRDefault="00620100">
            <w:pPr>
              <w:spacing w:line="240" w:lineRule="auto"/>
              <w:rPr>
                <w:rFonts w:asciiTheme="minorHAnsi" w:hAnsiTheme="minorHAnsi"/>
                <w:b w:val="0"/>
                <w:sz w:val="20"/>
              </w:rPr>
            </w:pPr>
            <w:r w:rsidRPr="00834411">
              <w:rPr>
                <w:rFonts w:asciiTheme="minorHAnsi" w:hAnsiTheme="minorHAnsi"/>
                <w:b w:val="0"/>
                <w:sz w:val="20"/>
              </w:rPr>
              <w:t>WPR A</w:t>
            </w:r>
          </w:p>
        </w:tc>
        <w:tc>
          <w:tcPr>
            <w:tcW w:w="5953" w:type="dxa"/>
            <w:tcBorders>
              <w:top w:val="nil"/>
              <w:bottom w:val="nil"/>
            </w:tcBorders>
            <w:hideMark/>
          </w:tcPr>
          <w:p w:rsidR="00620100" w:rsidRPr="00834411" w:rsidRDefault="0062010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34411">
              <w:rPr>
                <w:rFonts w:asciiTheme="minorHAnsi" w:hAnsiTheme="minorHAnsi"/>
                <w:sz w:val="20"/>
              </w:rPr>
              <w:t>Australia; Brunei Darussalam; Japan; New Zealand; Singapore.</w:t>
            </w:r>
          </w:p>
        </w:tc>
      </w:tr>
      <w:tr w:rsidR="00620100" w:rsidRPr="00834411" w:rsidTr="00620100">
        <w:tc>
          <w:tcPr>
            <w:cnfStyle w:val="001000000000" w:firstRow="0" w:lastRow="0" w:firstColumn="1" w:lastColumn="0" w:oddVBand="0" w:evenVBand="0" w:oddHBand="0" w:evenHBand="0" w:firstRowFirstColumn="0" w:firstRowLastColumn="0" w:lastRowFirstColumn="0" w:lastRowLastColumn="0"/>
            <w:tcW w:w="2802" w:type="dxa"/>
            <w:tcBorders>
              <w:top w:val="nil"/>
              <w:left w:val="nil"/>
              <w:bottom w:val="single" w:sz="8" w:space="0" w:color="000000" w:themeColor="text1"/>
              <w:right w:val="nil"/>
            </w:tcBorders>
            <w:hideMark/>
          </w:tcPr>
          <w:p w:rsidR="00620100" w:rsidRPr="00834411" w:rsidRDefault="00620100">
            <w:pPr>
              <w:spacing w:line="240" w:lineRule="auto"/>
              <w:rPr>
                <w:rFonts w:asciiTheme="minorHAnsi" w:hAnsiTheme="minorHAnsi"/>
                <w:b w:val="0"/>
                <w:sz w:val="20"/>
              </w:rPr>
            </w:pPr>
            <w:r w:rsidRPr="00834411">
              <w:rPr>
                <w:rFonts w:asciiTheme="minorHAnsi" w:hAnsiTheme="minorHAnsi"/>
                <w:b w:val="0"/>
                <w:sz w:val="20"/>
              </w:rPr>
              <w:t>WPR B</w:t>
            </w:r>
          </w:p>
        </w:tc>
        <w:tc>
          <w:tcPr>
            <w:tcW w:w="5953" w:type="dxa"/>
            <w:tcBorders>
              <w:top w:val="nil"/>
              <w:left w:val="nil"/>
              <w:bottom w:val="single" w:sz="8" w:space="0" w:color="000000" w:themeColor="text1"/>
              <w:right w:val="nil"/>
            </w:tcBorders>
            <w:hideMark/>
          </w:tcPr>
          <w:p w:rsidR="00620100" w:rsidRPr="00834411" w:rsidRDefault="00620100">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834411">
              <w:rPr>
                <w:rFonts w:asciiTheme="minorHAnsi" w:hAnsiTheme="minorHAnsi"/>
                <w:sz w:val="20"/>
              </w:rPr>
              <w:t>Cambodia; China; Cook Islands; Fiji; Kiribati; Lao People's Democratic Republic; Malaysia; Marshall Islands; Micronesia (Federated States of); Mongolia; Nauru; Niue; Palau; Papua New Guinea; Philippines; Republic of Korea; Samoa; Solomon Islands; Tonga; Tuvalu; Vanuatu; Viet Nam.</w:t>
            </w:r>
          </w:p>
        </w:tc>
      </w:tr>
    </w:tbl>
    <w:p w:rsidR="00620100" w:rsidRPr="00834411" w:rsidRDefault="00620100" w:rsidP="00620100">
      <w:pPr>
        <w:spacing w:line="240" w:lineRule="auto"/>
        <w:rPr>
          <w:rFonts w:asciiTheme="minorHAnsi" w:hAnsiTheme="minorHAnsi" w:cstheme="minorBidi"/>
          <w:sz w:val="18"/>
          <w:szCs w:val="18"/>
          <w:vertAlign w:val="superscript"/>
          <w:lang w:val="en-US"/>
        </w:rPr>
      </w:pPr>
    </w:p>
    <w:p w:rsidR="00620100" w:rsidRPr="00834411" w:rsidRDefault="00620100" w:rsidP="00620100">
      <w:pPr>
        <w:spacing w:line="240" w:lineRule="auto"/>
        <w:rPr>
          <w:rFonts w:asciiTheme="minorHAnsi" w:hAnsiTheme="minorHAnsi"/>
          <w:sz w:val="18"/>
          <w:szCs w:val="18"/>
        </w:rPr>
      </w:pPr>
      <w:r w:rsidRPr="00834411">
        <w:rPr>
          <w:rFonts w:asciiTheme="minorHAnsi" w:hAnsiTheme="minorHAnsi"/>
          <w:sz w:val="18"/>
          <w:szCs w:val="18"/>
          <w:vertAlign w:val="superscript"/>
        </w:rPr>
        <w:t>1</w:t>
      </w:r>
      <w:r w:rsidRPr="00834411">
        <w:rPr>
          <w:rFonts w:asciiTheme="minorHAnsi" w:hAnsiTheme="minorHAnsi"/>
          <w:sz w:val="18"/>
          <w:szCs w:val="18"/>
        </w:rPr>
        <w:t xml:space="preserve"> The </w:t>
      </w:r>
      <w:proofErr w:type="spellStart"/>
      <w:r w:rsidRPr="00834411">
        <w:rPr>
          <w:rFonts w:asciiTheme="minorHAnsi" w:hAnsiTheme="minorHAnsi"/>
          <w:sz w:val="18"/>
          <w:szCs w:val="18"/>
        </w:rPr>
        <w:t>subregions</w:t>
      </w:r>
      <w:proofErr w:type="spellEnd"/>
      <w:r w:rsidRPr="00834411">
        <w:rPr>
          <w:rFonts w:asciiTheme="minorHAnsi" w:hAnsiTheme="minorHAnsi"/>
          <w:sz w:val="18"/>
          <w:szCs w:val="18"/>
        </w:rPr>
        <w:t xml:space="preserve"> are defined on the basis of child and adult mortality as described by </w:t>
      </w:r>
      <w:proofErr w:type="spellStart"/>
      <w:r w:rsidRPr="00834411">
        <w:rPr>
          <w:rFonts w:asciiTheme="minorHAnsi" w:hAnsiTheme="minorHAnsi"/>
          <w:sz w:val="18"/>
          <w:szCs w:val="18"/>
        </w:rPr>
        <w:t>Ezzati</w:t>
      </w:r>
      <w:proofErr w:type="spellEnd"/>
      <w:r w:rsidRPr="00834411">
        <w:rPr>
          <w:rFonts w:asciiTheme="minorHAnsi" w:hAnsiTheme="minorHAnsi"/>
          <w:sz w:val="18"/>
          <w:szCs w:val="18"/>
        </w:rPr>
        <w:t xml:space="preserve"> et al </w:t>
      </w:r>
      <w:r w:rsidRPr="00834411">
        <w:rPr>
          <w:rFonts w:asciiTheme="minorHAnsi" w:hAnsiTheme="minorHAnsi"/>
          <w:sz w:val="18"/>
          <w:szCs w:val="18"/>
        </w:rPr>
        <w:fldChar w:fldCharType="begin"/>
      </w:r>
      <w:r w:rsidRPr="00834411">
        <w:rPr>
          <w:rFonts w:asciiTheme="minorHAnsi" w:hAnsiTheme="minorHAnsi"/>
          <w:sz w:val="18"/>
          <w:szCs w:val="18"/>
        </w:rPr>
        <w:instrText xml:space="preserve"> ADDIN EN.CITE &lt;EndNote&gt;&lt;Cite&gt;&lt;Author&gt;Ezzati&lt;/Author&gt;&lt;Year&gt;2002&lt;/Year&gt;&lt;RecNum&gt;5366&lt;/RecNum&gt;&lt;DisplayText&gt;(1)&lt;/DisplayText&gt;&lt;record&gt;&lt;rec-number&gt;5366&lt;/rec-number&gt;&lt;foreign-keys&gt;&lt;key app="EN" db-id="25dpxst58zdfd2ep99wpwda02sx5assfpzdp" timestamp="1437743806"&gt;5366&lt;/key&gt;&lt;/foreign-keys&gt;&lt;ref-type name="Journal Article"&gt;17&lt;/ref-type&gt;&lt;contributors&gt;&lt;authors&gt;&lt;author&gt;Ezzati, M.&lt;/author&gt;&lt;author&gt;Lopez, A. D.&lt;/author&gt;&lt;author&gt;Rodgers, A.&lt;/author&gt;&lt;author&gt;Vander Hoorn, S.&lt;/author&gt;&lt;author&gt;Murray, C. J.&lt;/author&gt;&lt;author&gt;Comparative Risk Assessment Collaborating, Group&lt;/author&gt;&lt;/authors&gt;&lt;/contributors&gt;&lt;auth-address&gt;Risk, Resources and Environmental Management Division, Resources for the Future, Washington, DC, USA.&lt;/auth-address&gt;&lt;titles&gt;&lt;title&gt;Selected major risk factors and global and regional burden of disease&lt;/title&gt;&lt;secondary-title&gt;Lancet&lt;/secondary-title&gt;&lt;/titles&gt;&lt;periodical&gt;&lt;full-title&gt;Lancet&lt;/full-title&gt;&lt;/periodical&gt;&lt;pages&gt;1347-60&lt;/pages&gt;&lt;volume&gt;360&lt;/volume&gt;&lt;number&gt;9343&lt;/number&gt;&lt;keywords&gt;&lt;keyword&gt;Adult&lt;/keyword&gt;&lt;keyword&gt;Child&lt;/keyword&gt;&lt;keyword&gt;Environmental Exposure&lt;/keyword&gt;&lt;keyword&gt;Female&lt;/keyword&gt;&lt;keyword&gt;*Global Health&lt;/keyword&gt;&lt;keyword&gt;Humans&lt;/keyword&gt;&lt;keyword&gt;Incidence&lt;/keyword&gt;&lt;keyword&gt;Male&lt;/keyword&gt;&lt;keyword&gt;*Morbidity&lt;/keyword&gt;&lt;keyword&gt;*Mortality&lt;/keyword&gt;&lt;keyword&gt;Occupational Exposure&lt;/keyword&gt;&lt;keyword&gt;*Risk Factors&lt;/keyword&gt;&lt;/keywords&gt;&lt;dates&gt;&lt;year&gt;2002&lt;/year&gt;&lt;pub-dates&gt;&lt;date&gt;Nov 2&lt;/date&gt;&lt;/pub-dates&gt;&lt;/dates&gt;&lt;isbn&gt;0140-6736 (Print)&amp;#xD;0140-6736 (Linking)&lt;/isbn&gt;&lt;accession-num&gt;12423980&lt;/accession-num&gt;&lt;urls&gt;&lt;related-urls&gt;&lt;url&gt;http://www.ncbi.nlm.nih.gov/pubmed/12423980&lt;/url&gt;&lt;/related-urls&gt;&lt;pdf-urls&gt;&lt;url&gt;file://localhost/Users/ariehavelaar/Dropbox/Literatuur/Publicaties/E/Ezzati_Lancet_2002_360_1347_Global%20burden%20risk%20factors.pdf&lt;/url&gt;&lt;/pdf-urls&gt;&lt;/urls&gt;&lt;electronic-resource-num&gt;10.1016/S0140-6736(02)11403-6&lt;/electronic-resource-num&gt;&lt;/record&gt;&lt;/Cite&gt;&lt;/EndNote&gt;</w:instrText>
      </w:r>
      <w:r w:rsidRPr="00834411">
        <w:rPr>
          <w:rFonts w:asciiTheme="minorHAnsi" w:hAnsiTheme="minorHAnsi"/>
          <w:sz w:val="18"/>
          <w:szCs w:val="18"/>
        </w:rPr>
        <w:fldChar w:fldCharType="separate"/>
      </w:r>
      <w:r w:rsidRPr="00834411">
        <w:rPr>
          <w:rFonts w:asciiTheme="minorHAnsi" w:hAnsiTheme="minorHAnsi"/>
          <w:noProof/>
          <w:sz w:val="18"/>
          <w:szCs w:val="18"/>
        </w:rPr>
        <w:t>(</w:t>
      </w:r>
      <w:hyperlink r:id="rId5" w:anchor="_ENREF_1" w:tooltip="Ezzati, 2002 #5366" w:history="1">
        <w:r w:rsidRPr="00834411">
          <w:rPr>
            <w:rStyle w:val="Hyperlink"/>
            <w:rFonts w:asciiTheme="minorHAnsi" w:hAnsiTheme="minorHAnsi"/>
            <w:noProof/>
            <w:color w:val="auto"/>
            <w:sz w:val="18"/>
            <w:szCs w:val="18"/>
          </w:rPr>
          <w:t>1</w:t>
        </w:r>
      </w:hyperlink>
      <w:r w:rsidRPr="00834411">
        <w:rPr>
          <w:rFonts w:asciiTheme="minorHAnsi" w:hAnsiTheme="minorHAnsi"/>
          <w:noProof/>
          <w:sz w:val="18"/>
          <w:szCs w:val="18"/>
        </w:rPr>
        <w:t>)</w:t>
      </w:r>
      <w:r w:rsidRPr="00834411">
        <w:rPr>
          <w:rFonts w:asciiTheme="minorHAnsi" w:hAnsiTheme="minorHAnsi"/>
          <w:sz w:val="18"/>
          <w:szCs w:val="18"/>
        </w:rPr>
        <w:fldChar w:fldCharType="end"/>
      </w:r>
      <w:r w:rsidRPr="00834411">
        <w:rPr>
          <w:rFonts w:asciiTheme="minorHAnsi" w:hAnsiTheme="minorHAnsi"/>
          <w:sz w:val="18"/>
          <w:szCs w:val="18"/>
        </w:rPr>
        <w:t>. Stratum A: very low child and adult mortality, Stratum B: low child mortality and very low adult mortality, Stratum C: low child mortality and high adult mortality, Stratum D: high child and adult mortality, and Stratum E: high child mortality and very high adult mortality. The use of the term ‘</w:t>
      </w:r>
      <w:proofErr w:type="spellStart"/>
      <w:r w:rsidRPr="00834411">
        <w:rPr>
          <w:rFonts w:asciiTheme="minorHAnsi" w:hAnsiTheme="minorHAnsi"/>
          <w:sz w:val="18"/>
          <w:szCs w:val="18"/>
        </w:rPr>
        <w:t>subregion</w:t>
      </w:r>
      <w:proofErr w:type="spellEnd"/>
      <w:r w:rsidRPr="00834411">
        <w:rPr>
          <w:rFonts w:asciiTheme="minorHAnsi" w:hAnsiTheme="minorHAnsi"/>
          <w:sz w:val="18"/>
          <w:szCs w:val="18"/>
        </w:rPr>
        <w:t>’ here and throughout the text does not identify an official grouping of WHO Member States, and the “</w:t>
      </w:r>
      <w:proofErr w:type="spellStart"/>
      <w:r w:rsidRPr="00834411">
        <w:rPr>
          <w:rFonts w:asciiTheme="minorHAnsi" w:hAnsiTheme="minorHAnsi"/>
          <w:sz w:val="18"/>
          <w:szCs w:val="18"/>
        </w:rPr>
        <w:t>subregions</w:t>
      </w:r>
      <w:proofErr w:type="spellEnd"/>
      <w:r w:rsidRPr="00834411">
        <w:rPr>
          <w:rFonts w:asciiTheme="minorHAnsi" w:hAnsiTheme="minorHAnsi"/>
          <w:sz w:val="18"/>
          <w:szCs w:val="18"/>
        </w:rPr>
        <w:t>” are not related to the six official WHO regions.</w:t>
      </w:r>
      <w:r w:rsidRPr="00834411">
        <w:rPr>
          <w:rFonts w:asciiTheme="minorHAnsi" w:hAnsiTheme="minorHAnsi"/>
          <w:sz w:val="18"/>
          <w:szCs w:val="18"/>
        </w:rPr>
        <w:br/>
        <w:t>AFR = African Region; AMR = Region of the Americas; EMR = Eastern Mediterranean Region; EUR = European Region; SEAR = South-East Asia Region; WPR = Western Pacific Region.</w:t>
      </w:r>
      <w:r w:rsidRPr="00834411">
        <w:rPr>
          <w:rFonts w:asciiTheme="minorHAnsi" w:hAnsiTheme="minorHAnsi"/>
          <w:sz w:val="18"/>
          <w:szCs w:val="18"/>
        </w:rPr>
        <w:tab/>
      </w:r>
    </w:p>
    <w:p w:rsidR="00620100" w:rsidRPr="00834411" w:rsidRDefault="00620100" w:rsidP="00620100">
      <w:pPr>
        <w:spacing w:line="240" w:lineRule="auto"/>
        <w:rPr>
          <w:rFonts w:asciiTheme="minorHAnsi" w:hAnsiTheme="minorHAnsi"/>
          <w:sz w:val="18"/>
          <w:szCs w:val="18"/>
        </w:rPr>
      </w:pPr>
      <w:r w:rsidRPr="00834411">
        <w:rPr>
          <w:rFonts w:asciiTheme="minorHAnsi" w:hAnsiTheme="minorHAnsi"/>
          <w:sz w:val="18"/>
          <w:szCs w:val="18"/>
          <w:vertAlign w:val="superscript"/>
        </w:rPr>
        <w:t>2</w:t>
      </w:r>
      <w:r w:rsidRPr="00834411">
        <w:rPr>
          <w:rFonts w:asciiTheme="minorHAnsi" w:hAnsiTheme="minorHAnsi"/>
          <w:sz w:val="18"/>
          <w:szCs w:val="18"/>
        </w:rPr>
        <w:t xml:space="preserve"> South Su</w:t>
      </w:r>
      <w:bookmarkStart w:id="2" w:name="_GoBack"/>
      <w:bookmarkEnd w:id="2"/>
      <w:r w:rsidRPr="00834411">
        <w:rPr>
          <w:rFonts w:asciiTheme="minorHAnsi" w:hAnsiTheme="minorHAnsi"/>
          <w:sz w:val="18"/>
          <w:szCs w:val="18"/>
        </w:rPr>
        <w:t>dan was reassigned to the WHO African Region in May 2013. As this study relates to time periods prior to this date, estimates for South Sudan were included in the WHO Eastern Mediterranean Region.</w:t>
      </w:r>
      <w:r w:rsidRPr="00834411">
        <w:rPr>
          <w:rFonts w:asciiTheme="minorHAnsi" w:hAnsiTheme="minorHAnsi"/>
          <w:sz w:val="18"/>
          <w:szCs w:val="18"/>
        </w:rPr>
        <w:tab/>
      </w:r>
    </w:p>
    <w:p w:rsidR="00620100" w:rsidRPr="00834411" w:rsidRDefault="00620100" w:rsidP="00620100">
      <w:pPr>
        <w:spacing w:line="240" w:lineRule="auto"/>
        <w:rPr>
          <w:rFonts w:asciiTheme="minorHAnsi" w:hAnsiTheme="minorHAnsi"/>
          <w:sz w:val="18"/>
          <w:szCs w:val="18"/>
        </w:rPr>
      </w:pPr>
    </w:p>
    <w:p w:rsidR="00620100" w:rsidRPr="00834411" w:rsidRDefault="00620100" w:rsidP="00620100">
      <w:pPr>
        <w:pStyle w:val="EndNoteBibliography"/>
        <w:rPr>
          <w:rFonts w:asciiTheme="minorHAnsi" w:hAnsiTheme="minorHAnsi"/>
        </w:rPr>
      </w:pPr>
      <w:r w:rsidRPr="00834411">
        <w:rPr>
          <w:rFonts w:asciiTheme="minorHAnsi" w:hAnsiTheme="minorHAnsi"/>
          <w:sz w:val="18"/>
          <w:szCs w:val="18"/>
        </w:rPr>
        <w:lastRenderedPageBreak/>
        <w:fldChar w:fldCharType="begin"/>
      </w:r>
      <w:r w:rsidRPr="00834411">
        <w:rPr>
          <w:rFonts w:asciiTheme="minorHAnsi" w:hAnsiTheme="minorHAnsi"/>
          <w:sz w:val="18"/>
          <w:szCs w:val="18"/>
        </w:rPr>
        <w:instrText xml:space="preserve"> ADDIN EN.REFLIST </w:instrText>
      </w:r>
      <w:r w:rsidRPr="00834411">
        <w:rPr>
          <w:rFonts w:asciiTheme="minorHAnsi" w:hAnsiTheme="minorHAnsi"/>
          <w:sz w:val="18"/>
          <w:szCs w:val="18"/>
        </w:rPr>
        <w:fldChar w:fldCharType="separate"/>
      </w:r>
      <w:bookmarkStart w:id="3" w:name="_ENREF_1"/>
      <w:r w:rsidRPr="00834411">
        <w:rPr>
          <w:rFonts w:asciiTheme="minorHAnsi" w:hAnsiTheme="minorHAnsi"/>
        </w:rPr>
        <w:t>1.</w:t>
      </w:r>
      <w:r w:rsidRPr="00834411">
        <w:rPr>
          <w:rFonts w:asciiTheme="minorHAnsi" w:hAnsiTheme="minorHAnsi"/>
        </w:rPr>
        <w:tab/>
        <w:t>Ezzati M, Lopez AD, Rodgers A, Vander Hoorn S, Murray CJ, Comparative Risk Assessment Collaborating G. Selected major risk factors and global and regional burden of disease. Lancet. 2002;360(9343):1347-60.</w:t>
      </w:r>
      <w:bookmarkEnd w:id="3"/>
    </w:p>
    <w:p w:rsidR="00BB767F" w:rsidRPr="00834411" w:rsidRDefault="00620100" w:rsidP="00620100">
      <w:pPr>
        <w:spacing w:line="240" w:lineRule="auto"/>
        <w:rPr>
          <w:rFonts w:asciiTheme="minorHAnsi" w:hAnsiTheme="minorHAnsi"/>
          <w:color w:val="auto"/>
          <w:sz w:val="25"/>
          <w:szCs w:val="25"/>
          <w:lang w:val="en-AU"/>
        </w:rPr>
      </w:pPr>
      <w:r w:rsidRPr="00834411">
        <w:rPr>
          <w:rFonts w:asciiTheme="minorHAnsi" w:hAnsiTheme="minorHAnsi"/>
          <w:sz w:val="18"/>
          <w:szCs w:val="18"/>
        </w:rPr>
        <w:fldChar w:fldCharType="end"/>
      </w:r>
    </w:p>
    <w:sectPr w:rsidR="00BB767F" w:rsidRPr="00834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FC"/>
    <w:rsid w:val="00003279"/>
    <w:rsid w:val="000335D0"/>
    <w:rsid w:val="000364C4"/>
    <w:rsid w:val="000364E2"/>
    <w:rsid w:val="000408EB"/>
    <w:rsid w:val="00065974"/>
    <w:rsid w:val="000777C4"/>
    <w:rsid w:val="000B22DE"/>
    <w:rsid w:val="000C73B0"/>
    <w:rsid w:val="000D2193"/>
    <w:rsid w:val="000D6B6D"/>
    <w:rsid w:val="000D7670"/>
    <w:rsid w:val="000E61DB"/>
    <w:rsid w:val="000F0C52"/>
    <w:rsid w:val="00117DAE"/>
    <w:rsid w:val="001231CB"/>
    <w:rsid w:val="00130190"/>
    <w:rsid w:val="00131BDF"/>
    <w:rsid w:val="00133F1D"/>
    <w:rsid w:val="00134046"/>
    <w:rsid w:val="00134149"/>
    <w:rsid w:val="00135153"/>
    <w:rsid w:val="0014050B"/>
    <w:rsid w:val="001426BF"/>
    <w:rsid w:val="001552EB"/>
    <w:rsid w:val="00163A03"/>
    <w:rsid w:val="0017219A"/>
    <w:rsid w:val="001A27D1"/>
    <w:rsid w:val="001B0864"/>
    <w:rsid w:val="001B411F"/>
    <w:rsid w:val="001E30A2"/>
    <w:rsid w:val="001E6371"/>
    <w:rsid w:val="001F0F30"/>
    <w:rsid w:val="00204C71"/>
    <w:rsid w:val="0023011A"/>
    <w:rsid w:val="00230AF5"/>
    <w:rsid w:val="00234EE1"/>
    <w:rsid w:val="002367A8"/>
    <w:rsid w:val="00241E52"/>
    <w:rsid w:val="002452B3"/>
    <w:rsid w:val="0024738E"/>
    <w:rsid w:val="00261541"/>
    <w:rsid w:val="0026199E"/>
    <w:rsid w:val="0026505C"/>
    <w:rsid w:val="00276D9E"/>
    <w:rsid w:val="00285A10"/>
    <w:rsid w:val="00296068"/>
    <w:rsid w:val="002B2E0B"/>
    <w:rsid w:val="002C1253"/>
    <w:rsid w:val="002D3B8A"/>
    <w:rsid w:val="002F70B8"/>
    <w:rsid w:val="00310C98"/>
    <w:rsid w:val="00317FB4"/>
    <w:rsid w:val="0032720A"/>
    <w:rsid w:val="0033423B"/>
    <w:rsid w:val="00334F7F"/>
    <w:rsid w:val="00351703"/>
    <w:rsid w:val="00354D3C"/>
    <w:rsid w:val="0035585A"/>
    <w:rsid w:val="00362A13"/>
    <w:rsid w:val="003825F4"/>
    <w:rsid w:val="00384230"/>
    <w:rsid w:val="00385999"/>
    <w:rsid w:val="00386FF0"/>
    <w:rsid w:val="003A20F2"/>
    <w:rsid w:val="003B43AA"/>
    <w:rsid w:val="003C2DC9"/>
    <w:rsid w:val="003C300F"/>
    <w:rsid w:val="003D695B"/>
    <w:rsid w:val="003F0BA3"/>
    <w:rsid w:val="0042587E"/>
    <w:rsid w:val="0042612F"/>
    <w:rsid w:val="00427307"/>
    <w:rsid w:val="004275B4"/>
    <w:rsid w:val="00432F60"/>
    <w:rsid w:val="004537BB"/>
    <w:rsid w:val="00464CFF"/>
    <w:rsid w:val="00466C9B"/>
    <w:rsid w:val="004724B6"/>
    <w:rsid w:val="004949C0"/>
    <w:rsid w:val="004A2539"/>
    <w:rsid w:val="004A601D"/>
    <w:rsid w:val="004B4A67"/>
    <w:rsid w:val="004C7F1F"/>
    <w:rsid w:val="004D168C"/>
    <w:rsid w:val="004D244F"/>
    <w:rsid w:val="004D26D7"/>
    <w:rsid w:val="004D55FA"/>
    <w:rsid w:val="004E18E9"/>
    <w:rsid w:val="004E20CF"/>
    <w:rsid w:val="004E5397"/>
    <w:rsid w:val="004F0C16"/>
    <w:rsid w:val="004F4C95"/>
    <w:rsid w:val="005118FC"/>
    <w:rsid w:val="005162BB"/>
    <w:rsid w:val="005248F4"/>
    <w:rsid w:val="00527FC4"/>
    <w:rsid w:val="00530F00"/>
    <w:rsid w:val="005341E8"/>
    <w:rsid w:val="0054127C"/>
    <w:rsid w:val="005575B7"/>
    <w:rsid w:val="00572110"/>
    <w:rsid w:val="00583635"/>
    <w:rsid w:val="00585C49"/>
    <w:rsid w:val="005A276E"/>
    <w:rsid w:val="005B545F"/>
    <w:rsid w:val="005C03BE"/>
    <w:rsid w:val="005C0681"/>
    <w:rsid w:val="005D26F0"/>
    <w:rsid w:val="005D4E39"/>
    <w:rsid w:val="005D4FDA"/>
    <w:rsid w:val="005D5EDB"/>
    <w:rsid w:val="005E3D9E"/>
    <w:rsid w:val="005E4D5D"/>
    <w:rsid w:val="005E7778"/>
    <w:rsid w:val="005F4E91"/>
    <w:rsid w:val="006138E3"/>
    <w:rsid w:val="006155B7"/>
    <w:rsid w:val="00620100"/>
    <w:rsid w:val="0062025C"/>
    <w:rsid w:val="00621EEE"/>
    <w:rsid w:val="0062596E"/>
    <w:rsid w:val="00627BA2"/>
    <w:rsid w:val="00643CAF"/>
    <w:rsid w:val="0064418D"/>
    <w:rsid w:val="00655209"/>
    <w:rsid w:val="00660201"/>
    <w:rsid w:val="006610E5"/>
    <w:rsid w:val="00662E4B"/>
    <w:rsid w:val="0067445A"/>
    <w:rsid w:val="006A6CF4"/>
    <w:rsid w:val="006B4484"/>
    <w:rsid w:val="006C7130"/>
    <w:rsid w:val="006D3441"/>
    <w:rsid w:val="006F4CC7"/>
    <w:rsid w:val="006F7725"/>
    <w:rsid w:val="00720CB0"/>
    <w:rsid w:val="00725965"/>
    <w:rsid w:val="00727C0D"/>
    <w:rsid w:val="00731AB5"/>
    <w:rsid w:val="00734CBE"/>
    <w:rsid w:val="00750CFA"/>
    <w:rsid w:val="00754112"/>
    <w:rsid w:val="00755040"/>
    <w:rsid w:val="00756D6E"/>
    <w:rsid w:val="00765156"/>
    <w:rsid w:val="007659B9"/>
    <w:rsid w:val="00765E35"/>
    <w:rsid w:val="00766397"/>
    <w:rsid w:val="00772101"/>
    <w:rsid w:val="007908D8"/>
    <w:rsid w:val="00790D96"/>
    <w:rsid w:val="007948CA"/>
    <w:rsid w:val="00794A6B"/>
    <w:rsid w:val="007A7BE6"/>
    <w:rsid w:val="007C01F9"/>
    <w:rsid w:val="007C1E4C"/>
    <w:rsid w:val="007D45EC"/>
    <w:rsid w:val="007E74C3"/>
    <w:rsid w:val="007F11BD"/>
    <w:rsid w:val="007F2665"/>
    <w:rsid w:val="008005F4"/>
    <w:rsid w:val="00826922"/>
    <w:rsid w:val="008271B5"/>
    <w:rsid w:val="0083219F"/>
    <w:rsid w:val="00834411"/>
    <w:rsid w:val="00835C85"/>
    <w:rsid w:val="00870825"/>
    <w:rsid w:val="00871A07"/>
    <w:rsid w:val="00875883"/>
    <w:rsid w:val="008B3DFC"/>
    <w:rsid w:val="008B684C"/>
    <w:rsid w:val="008D13B9"/>
    <w:rsid w:val="008E3732"/>
    <w:rsid w:val="008F21B1"/>
    <w:rsid w:val="00903B15"/>
    <w:rsid w:val="00917240"/>
    <w:rsid w:val="00921EA5"/>
    <w:rsid w:val="009355A9"/>
    <w:rsid w:val="00935F1D"/>
    <w:rsid w:val="009366EE"/>
    <w:rsid w:val="00944BF4"/>
    <w:rsid w:val="00946C60"/>
    <w:rsid w:val="00947A1F"/>
    <w:rsid w:val="009523E5"/>
    <w:rsid w:val="0096420A"/>
    <w:rsid w:val="00965FCC"/>
    <w:rsid w:val="00971655"/>
    <w:rsid w:val="00976B63"/>
    <w:rsid w:val="009772E4"/>
    <w:rsid w:val="00977AE8"/>
    <w:rsid w:val="0098392A"/>
    <w:rsid w:val="00994F0B"/>
    <w:rsid w:val="009C7AD8"/>
    <w:rsid w:val="009E5908"/>
    <w:rsid w:val="009E6A57"/>
    <w:rsid w:val="009F1721"/>
    <w:rsid w:val="00A123CA"/>
    <w:rsid w:val="00A268A8"/>
    <w:rsid w:val="00A400DC"/>
    <w:rsid w:val="00A559B0"/>
    <w:rsid w:val="00A56E16"/>
    <w:rsid w:val="00A64184"/>
    <w:rsid w:val="00A81F67"/>
    <w:rsid w:val="00A95473"/>
    <w:rsid w:val="00A95640"/>
    <w:rsid w:val="00AC0C2A"/>
    <w:rsid w:val="00AC13DF"/>
    <w:rsid w:val="00AE1DC3"/>
    <w:rsid w:val="00AE7E26"/>
    <w:rsid w:val="00B008A3"/>
    <w:rsid w:val="00B22BB6"/>
    <w:rsid w:val="00B318EA"/>
    <w:rsid w:val="00B42F9D"/>
    <w:rsid w:val="00B553DB"/>
    <w:rsid w:val="00B72183"/>
    <w:rsid w:val="00B7261F"/>
    <w:rsid w:val="00B94CA6"/>
    <w:rsid w:val="00BA6DE9"/>
    <w:rsid w:val="00BB4269"/>
    <w:rsid w:val="00BB767F"/>
    <w:rsid w:val="00BC1002"/>
    <w:rsid w:val="00BD2C8E"/>
    <w:rsid w:val="00BE1230"/>
    <w:rsid w:val="00BF7B04"/>
    <w:rsid w:val="00C34A57"/>
    <w:rsid w:val="00C4461F"/>
    <w:rsid w:val="00C63EC3"/>
    <w:rsid w:val="00C66E98"/>
    <w:rsid w:val="00C7376E"/>
    <w:rsid w:val="00CA280C"/>
    <w:rsid w:val="00CC1064"/>
    <w:rsid w:val="00CC3DC8"/>
    <w:rsid w:val="00CC6130"/>
    <w:rsid w:val="00CD1B0A"/>
    <w:rsid w:val="00CE6014"/>
    <w:rsid w:val="00CF2ED9"/>
    <w:rsid w:val="00CF6851"/>
    <w:rsid w:val="00D04316"/>
    <w:rsid w:val="00D05F17"/>
    <w:rsid w:val="00D16337"/>
    <w:rsid w:val="00D21D56"/>
    <w:rsid w:val="00D25F34"/>
    <w:rsid w:val="00D479F9"/>
    <w:rsid w:val="00D543FC"/>
    <w:rsid w:val="00D76E22"/>
    <w:rsid w:val="00D97D07"/>
    <w:rsid w:val="00DB048B"/>
    <w:rsid w:val="00DC73CD"/>
    <w:rsid w:val="00DD553A"/>
    <w:rsid w:val="00DD690C"/>
    <w:rsid w:val="00DE4652"/>
    <w:rsid w:val="00DF1660"/>
    <w:rsid w:val="00DF408C"/>
    <w:rsid w:val="00E02E1F"/>
    <w:rsid w:val="00E031AD"/>
    <w:rsid w:val="00E13BAA"/>
    <w:rsid w:val="00E26E2C"/>
    <w:rsid w:val="00E27BF7"/>
    <w:rsid w:val="00E50274"/>
    <w:rsid w:val="00ED432B"/>
    <w:rsid w:val="00ED6297"/>
    <w:rsid w:val="00EE54F0"/>
    <w:rsid w:val="00EF0A75"/>
    <w:rsid w:val="00EF13CF"/>
    <w:rsid w:val="00EF457B"/>
    <w:rsid w:val="00F03833"/>
    <w:rsid w:val="00F13D88"/>
    <w:rsid w:val="00F144F8"/>
    <w:rsid w:val="00F24A9B"/>
    <w:rsid w:val="00F37D0A"/>
    <w:rsid w:val="00F54F86"/>
    <w:rsid w:val="00F634F6"/>
    <w:rsid w:val="00F82547"/>
    <w:rsid w:val="00FA31DC"/>
    <w:rsid w:val="00FA4A8D"/>
    <w:rsid w:val="00FC1360"/>
    <w:rsid w:val="00FC2A55"/>
    <w:rsid w:val="00FC56FA"/>
    <w:rsid w:val="00FD6981"/>
    <w:rsid w:val="00FE7F9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FC"/>
    <w:pPr>
      <w:spacing w:after="0" w:line="240" w:lineRule="atLeast"/>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99"/>
    <w:qFormat/>
    <w:rsid w:val="00D543FC"/>
    <w:rPr>
      <w:rFonts w:ascii="Times New Roman" w:hAnsi="Times New Roman" w:cs="Times New Roman" w:hint="default"/>
      <w:b/>
      <w:bCs/>
      <w:iCs/>
      <w:color w:val="4F81BD"/>
    </w:rPr>
  </w:style>
  <w:style w:type="character" w:styleId="Hyperlink">
    <w:name w:val="Hyperlink"/>
    <w:basedOn w:val="DefaultParagraphFont"/>
    <w:uiPriority w:val="99"/>
    <w:semiHidden/>
    <w:unhideWhenUsed/>
    <w:rsid w:val="00620100"/>
    <w:rPr>
      <w:color w:val="0563C1" w:themeColor="hyperlink"/>
      <w:u w:val="single"/>
    </w:rPr>
  </w:style>
  <w:style w:type="character" w:customStyle="1" w:styleId="EndNoteBibliographyChar">
    <w:name w:val="EndNote Bibliography Char"/>
    <w:basedOn w:val="DefaultParagraphFont"/>
    <w:link w:val="EndNoteBibliography"/>
    <w:locked/>
    <w:rsid w:val="00620100"/>
    <w:rPr>
      <w:rFonts w:ascii="Calibri" w:hAnsi="Calibri"/>
      <w:noProof/>
    </w:rPr>
  </w:style>
  <w:style w:type="paragraph" w:customStyle="1" w:styleId="EndNoteBibliography">
    <w:name w:val="EndNote Bibliography"/>
    <w:basedOn w:val="Normal"/>
    <w:link w:val="EndNoteBibliographyChar"/>
    <w:rsid w:val="00620100"/>
    <w:pPr>
      <w:spacing w:after="200" w:line="240" w:lineRule="auto"/>
    </w:pPr>
    <w:rPr>
      <w:rFonts w:ascii="Calibri" w:eastAsiaTheme="minorHAnsi" w:hAnsi="Calibri" w:cstheme="minorBidi"/>
      <w:noProof/>
      <w:color w:val="auto"/>
      <w:sz w:val="22"/>
      <w:szCs w:val="22"/>
    </w:rPr>
  </w:style>
  <w:style w:type="table" w:styleId="LightShading">
    <w:name w:val="Light Shading"/>
    <w:basedOn w:val="TableNormal"/>
    <w:uiPriority w:val="60"/>
    <w:rsid w:val="00620100"/>
    <w:pPr>
      <w:spacing w:after="0" w:line="240" w:lineRule="auto"/>
    </w:pPr>
    <w:rPr>
      <w:color w:val="000000" w:themeColor="text1" w:themeShade="BF"/>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FC"/>
    <w:pPr>
      <w:spacing w:after="0" w:line="240" w:lineRule="atLeast"/>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99"/>
    <w:qFormat/>
    <w:rsid w:val="00D543FC"/>
    <w:rPr>
      <w:rFonts w:ascii="Times New Roman" w:hAnsi="Times New Roman" w:cs="Times New Roman" w:hint="default"/>
      <w:b/>
      <w:bCs/>
      <w:iCs/>
      <w:color w:val="4F81BD"/>
    </w:rPr>
  </w:style>
  <w:style w:type="character" w:styleId="Hyperlink">
    <w:name w:val="Hyperlink"/>
    <w:basedOn w:val="DefaultParagraphFont"/>
    <w:uiPriority w:val="99"/>
    <w:semiHidden/>
    <w:unhideWhenUsed/>
    <w:rsid w:val="00620100"/>
    <w:rPr>
      <w:color w:val="0563C1" w:themeColor="hyperlink"/>
      <w:u w:val="single"/>
    </w:rPr>
  </w:style>
  <w:style w:type="character" w:customStyle="1" w:styleId="EndNoteBibliographyChar">
    <w:name w:val="EndNote Bibliography Char"/>
    <w:basedOn w:val="DefaultParagraphFont"/>
    <w:link w:val="EndNoteBibliography"/>
    <w:locked/>
    <w:rsid w:val="00620100"/>
    <w:rPr>
      <w:rFonts w:ascii="Calibri" w:hAnsi="Calibri"/>
      <w:noProof/>
    </w:rPr>
  </w:style>
  <w:style w:type="paragraph" w:customStyle="1" w:styleId="EndNoteBibliography">
    <w:name w:val="EndNote Bibliography"/>
    <w:basedOn w:val="Normal"/>
    <w:link w:val="EndNoteBibliographyChar"/>
    <w:rsid w:val="00620100"/>
    <w:pPr>
      <w:spacing w:after="200" w:line="240" w:lineRule="auto"/>
    </w:pPr>
    <w:rPr>
      <w:rFonts w:ascii="Calibri" w:eastAsiaTheme="minorHAnsi" w:hAnsi="Calibri" w:cstheme="minorBidi"/>
      <w:noProof/>
      <w:color w:val="auto"/>
      <w:sz w:val="22"/>
      <w:szCs w:val="22"/>
    </w:rPr>
  </w:style>
  <w:style w:type="table" w:styleId="LightShading">
    <w:name w:val="Light Shading"/>
    <w:basedOn w:val="TableNormal"/>
    <w:uiPriority w:val="60"/>
    <w:rsid w:val="00620100"/>
    <w:pPr>
      <w:spacing w:after="0" w:line="240" w:lineRule="auto"/>
    </w:pPr>
    <w:rPr>
      <w:color w:val="000000" w:themeColor="text1" w:themeShade="BF"/>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89827">
      <w:bodyDiv w:val="1"/>
      <w:marLeft w:val="0"/>
      <w:marRight w:val="0"/>
      <w:marTop w:val="0"/>
      <w:marBottom w:val="0"/>
      <w:divBdr>
        <w:top w:val="none" w:sz="0" w:space="0" w:color="auto"/>
        <w:left w:val="none" w:sz="0" w:space="0" w:color="auto"/>
        <w:bottom w:val="none" w:sz="0" w:space="0" w:color="auto"/>
        <w:right w:val="none" w:sz="0" w:space="0" w:color="auto"/>
      </w:divBdr>
    </w:div>
    <w:div w:id="1117603331">
      <w:bodyDiv w:val="1"/>
      <w:marLeft w:val="0"/>
      <w:marRight w:val="0"/>
      <w:marTop w:val="0"/>
      <w:marBottom w:val="0"/>
      <w:divBdr>
        <w:top w:val="none" w:sz="0" w:space="0" w:color="auto"/>
        <w:left w:val="none" w:sz="0" w:space="0" w:color="auto"/>
        <w:bottom w:val="none" w:sz="0" w:space="0" w:color="auto"/>
        <w:right w:val="none" w:sz="0" w:space="0" w:color="auto"/>
      </w:divBdr>
      <w:divsChild>
        <w:div w:id="1253126768">
          <w:marLeft w:val="0"/>
          <w:marRight w:val="0"/>
          <w:marTop w:val="0"/>
          <w:marBottom w:val="0"/>
          <w:divBdr>
            <w:top w:val="none" w:sz="0" w:space="0" w:color="auto"/>
            <w:left w:val="none" w:sz="0" w:space="0" w:color="auto"/>
            <w:bottom w:val="none" w:sz="0" w:space="0" w:color="auto"/>
            <w:right w:val="none" w:sz="0" w:space="0" w:color="auto"/>
          </w:divBdr>
        </w:div>
        <w:div w:id="371226223">
          <w:marLeft w:val="0"/>
          <w:marRight w:val="0"/>
          <w:marTop w:val="0"/>
          <w:marBottom w:val="0"/>
          <w:divBdr>
            <w:top w:val="none" w:sz="0" w:space="0" w:color="auto"/>
            <w:left w:val="none" w:sz="0" w:space="0" w:color="auto"/>
            <w:bottom w:val="none" w:sz="0" w:space="0" w:color="auto"/>
            <w:right w:val="none" w:sz="0" w:space="0" w:color="auto"/>
          </w:divBdr>
        </w:div>
        <w:div w:id="846603961">
          <w:marLeft w:val="0"/>
          <w:marRight w:val="0"/>
          <w:marTop w:val="0"/>
          <w:marBottom w:val="0"/>
          <w:divBdr>
            <w:top w:val="none" w:sz="0" w:space="0" w:color="auto"/>
            <w:left w:val="none" w:sz="0" w:space="0" w:color="auto"/>
            <w:bottom w:val="none" w:sz="0" w:space="0" w:color="auto"/>
            <w:right w:val="none" w:sz="0" w:space="0" w:color="auto"/>
          </w:divBdr>
        </w:div>
        <w:div w:id="539367796">
          <w:marLeft w:val="0"/>
          <w:marRight w:val="0"/>
          <w:marTop w:val="0"/>
          <w:marBottom w:val="0"/>
          <w:divBdr>
            <w:top w:val="none" w:sz="0" w:space="0" w:color="auto"/>
            <w:left w:val="none" w:sz="0" w:space="0" w:color="auto"/>
            <w:bottom w:val="none" w:sz="0" w:space="0" w:color="auto"/>
            <w:right w:val="none" w:sz="0" w:space="0" w:color="auto"/>
          </w:divBdr>
        </w:div>
        <w:div w:id="317342999">
          <w:marLeft w:val="0"/>
          <w:marRight w:val="0"/>
          <w:marTop w:val="0"/>
          <w:marBottom w:val="0"/>
          <w:divBdr>
            <w:top w:val="none" w:sz="0" w:space="0" w:color="auto"/>
            <w:left w:val="none" w:sz="0" w:space="0" w:color="auto"/>
            <w:bottom w:val="none" w:sz="0" w:space="0" w:color="auto"/>
            <w:right w:val="none" w:sz="0" w:space="0" w:color="auto"/>
          </w:divBdr>
        </w:div>
        <w:div w:id="350839556">
          <w:marLeft w:val="0"/>
          <w:marRight w:val="0"/>
          <w:marTop w:val="0"/>
          <w:marBottom w:val="0"/>
          <w:divBdr>
            <w:top w:val="none" w:sz="0" w:space="0" w:color="auto"/>
            <w:left w:val="none" w:sz="0" w:space="0" w:color="auto"/>
            <w:bottom w:val="none" w:sz="0" w:space="0" w:color="auto"/>
            <w:right w:val="none" w:sz="0" w:space="0" w:color="auto"/>
          </w:divBdr>
        </w:div>
        <w:div w:id="886381561">
          <w:marLeft w:val="0"/>
          <w:marRight w:val="0"/>
          <w:marTop w:val="0"/>
          <w:marBottom w:val="0"/>
          <w:divBdr>
            <w:top w:val="none" w:sz="0" w:space="0" w:color="auto"/>
            <w:left w:val="none" w:sz="0" w:space="0" w:color="auto"/>
            <w:bottom w:val="none" w:sz="0" w:space="0" w:color="auto"/>
            <w:right w:val="none" w:sz="0" w:space="0" w:color="auto"/>
          </w:divBdr>
        </w:div>
        <w:div w:id="551770884">
          <w:marLeft w:val="0"/>
          <w:marRight w:val="0"/>
          <w:marTop w:val="0"/>
          <w:marBottom w:val="0"/>
          <w:divBdr>
            <w:top w:val="none" w:sz="0" w:space="0" w:color="auto"/>
            <w:left w:val="none" w:sz="0" w:space="0" w:color="auto"/>
            <w:bottom w:val="none" w:sz="0" w:space="0" w:color="auto"/>
            <w:right w:val="none" w:sz="0" w:space="0" w:color="auto"/>
          </w:divBdr>
        </w:div>
        <w:div w:id="1488936590">
          <w:marLeft w:val="0"/>
          <w:marRight w:val="0"/>
          <w:marTop w:val="0"/>
          <w:marBottom w:val="0"/>
          <w:divBdr>
            <w:top w:val="none" w:sz="0" w:space="0" w:color="auto"/>
            <w:left w:val="none" w:sz="0" w:space="0" w:color="auto"/>
            <w:bottom w:val="none" w:sz="0" w:space="0" w:color="auto"/>
            <w:right w:val="none" w:sz="0" w:space="0" w:color="auto"/>
          </w:divBdr>
        </w:div>
        <w:div w:id="10037402">
          <w:marLeft w:val="0"/>
          <w:marRight w:val="0"/>
          <w:marTop w:val="0"/>
          <w:marBottom w:val="0"/>
          <w:divBdr>
            <w:top w:val="none" w:sz="0" w:space="0" w:color="auto"/>
            <w:left w:val="none" w:sz="0" w:space="0" w:color="auto"/>
            <w:bottom w:val="none" w:sz="0" w:space="0" w:color="auto"/>
            <w:right w:val="none" w:sz="0" w:space="0" w:color="auto"/>
          </w:divBdr>
        </w:div>
        <w:div w:id="1017849426">
          <w:marLeft w:val="0"/>
          <w:marRight w:val="0"/>
          <w:marTop w:val="0"/>
          <w:marBottom w:val="0"/>
          <w:divBdr>
            <w:top w:val="none" w:sz="0" w:space="0" w:color="auto"/>
            <w:left w:val="none" w:sz="0" w:space="0" w:color="auto"/>
            <w:bottom w:val="none" w:sz="0" w:space="0" w:color="auto"/>
            <w:right w:val="none" w:sz="0" w:space="0" w:color="auto"/>
          </w:divBdr>
        </w:div>
        <w:div w:id="683171315">
          <w:marLeft w:val="0"/>
          <w:marRight w:val="0"/>
          <w:marTop w:val="0"/>
          <w:marBottom w:val="0"/>
          <w:divBdr>
            <w:top w:val="none" w:sz="0" w:space="0" w:color="auto"/>
            <w:left w:val="none" w:sz="0" w:space="0" w:color="auto"/>
            <w:bottom w:val="none" w:sz="0" w:space="0" w:color="auto"/>
            <w:right w:val="none" w:sz="0" w:space="0" w:color="auto"/>
          </w:divBdr>
        </w:div>
        <w:div w:id="1146581951">
          <w:marLeft w:val="0"/>
          <w:marRight w:val="0"/>
          <w:marTop w:val="0"/>
          <w:marBottom w:val="0"/>
          <w:divBdr>
            <w:top w:val="none" w:sz="0" w:space="0" w:color="auto"/>
            <w:left w:val="none" w:sz="0" w:space="0" w:color="auto"/>
            <w:bottom w:val="none" w:sz="0" w:space="0" w:color="auto"/>
            <w:right w:val="none" w:sz="0" w:space="0" w:color="auto"/>
          </w:divBdr>
        </w:div>
        <w:div w:id="274487176">
          <w:marLeft w:val="0"/>
          <w:marRight w:val="0"/>
          <w:marTop w:val="0"/>
          <w:marBottom w:val="0"/>
          <w:divBdr>
            <w:top w:val="none" w:sz="0" w:space="0" w:color="auto"/>
            <w:left w:val="none" w:sz="0" w:space="0" w:color="auto"/>
            <w:bottom w:val="none" w:sz="0" w:space="0" w:color="auto"/>
            <w:right w:val="none" w:sz="0" w:space="0" w:color="auto"/>
          </w:divBdr>
        </w:div>
        <w:div w:id="463281144">
          <w:marLeft w:val="0"/>
          <w:marRight w:val="0"/>
          <w:marTop w:val="0"/>
          <w:marBottom w:val="0"/>
          <w:divBdr>
            <w:top w:val="none" w:sz="0" w:space="0" w:color="auto"/>
            <w:left w:val="none" w:sz="0" w:space="0" w:color="auto"/>
            <w:bottom w:val="none" w:sz="0" w:space="0" w:color="auto"/>
            <w:right w:val="none" w:sz="0" w:space="0" w:color="auto"/>
          </w:divBdr>
        </w:div>
        <w:div w:id="2066827405">
          <w:marLeft w:val="0"/>
          <w:marRight w:val="0"/>
          <w:marTop w:val="0"/>
          <w:marBottom w:val="0"/>
          <w:divBdr>
            <w:top w:val="none" w:sz="0" w:space="0" w:color="auto"/>
            <w:left w:val="none" w:sz="0" w:space="0" w:color="auto"/>
            <w:bottom w:val="none" w:sz="0" w:space="0" w:color="auto"/>
            <w:right w:val="none" w:sz="0" w:space="0" w:color="auto"/>
          </w:divBdr>
        </w:div>
        <w:div w:id="1942760678">
          <w:marLeft w:val="0"/>
          <w:marRight w:val="0"/>
          <w:marTop w:val="0"/>
          <w:marBottom w:val="0"/>
          <w:divBdr>
            <w:top w:val="none" w:sz="0" w:space="0" w:color="auto"/>
            <w:left w:val="none" w:sz="0" w:space="0" w:color="auto"/>
            <w:bottom w:val="none" w:sz="0" w:space="0" w:color="auto"/>
            <w:right w:val="none" w:sz="0" w:space="0" w:color="auto"/>
          </w:divBdr>
        </w:div>
        <w:div w:id="2041589061">
          <w:marLeft w:val="0"/>
          <w:marRight w:val="0"/>
          <w:marTop w:val="0"/>
          <w:marBottom w:val="0"/>
          <w:divBdr>
            <w:top w:val="none" w:sz="0" w:space="0" w:color="auto"/>
            <w:left w:val="none" w:sz="0" w:space="0" w:color="auto"/>
            <w:bottom w:val="none" w:sz="0" w:space="0" w:color="auto"/>
            <w:right w:val="none" w:sz="0" w:space="0" w:color="auto"/>
          </w:divBdr>
        </w:div>
        <w:div w:id="977564693">
          <w:marLeft w:val="0"/>
          <w:marRight w:val="0"/>
          <w:marTop w:val="0"/>
          <w:marBottom w:val="0"/>
          <w:divBdr>
            <w:top w:val="none" w:sz="0" w:space="0" w:color="auto"/>
            <w:left w:val="none" w:sz="0" w:space="0" w:color="auto"/>
            <w:bottom w:val="none" w:sz="0" w:space="0" w:color="auto"/>
            <w:right w:val="none" w:sz="0" w:space="0" w:color="auto"/>
          </w:divBdr>
        </w:div>
        <w:div w:id="1722627799">
          <w:marLeft w:val="0"/>
          <w:marRight w:val="0"/>
          <w:marTop w:val="0"/>
          <w:marBottom w:val="0"/>
          <w:divBdr>
            <w:top w:val="none" w:sz="0" w:space="0" w:color="auto"/>
            <w:left w:val="none" w:sz="0" w:space="0" w:color="auto"/>
            <w:bottom w:val="none" w:sz="0" w:space="0" w:color="auto"/>
            <w:right w:val="none" w:sz="0" w:space="0" w:color="auto"/>
          </w:divBdr>
        </w:div>
        <w:div w:id="6756408">
          <w:marLeft w:val="0"/>
          <w:marRight w:val="0"/>
          <w:marTop w:val="0"/>
          <w:marBottom w:val="0"/>
          <w:divBdr>
            <w:top w:val="none" w:sz="0" w:space="0" w:color="auto"/>
            <w:left w:val="none" w:sz="0" w:space="0" w:color="auto"/>
            <w:bottom w:val="none" w:sz="0" w:space="0" w:color="auto"/>
            <w:right w:val="none" w:sz="0" w:space="0" w:color="auto"/>
          </w:divBdr>
        </w:div>
        <w:div w:id="806779655">
          <w:marLeft w:val="0"/>
          <w:marRight w:val="0"/>
          <w:marTop w:val="0"/>
          <w:marBottom w:val="0"/>
          <w:divBdr>
            <w:top w:val="none" w:sz="0" w:space="0" w:color="auto"/>
            <w:left w:val="none" w:sz="0" w:space="0" w:color="auto"/>
            <w:bottom w:val="none" w:sz="0" w:space="0" w:color="auto"/>
            <w:right w:val="none" w:sz="0" w:space="0" w:color="auto"/>
          </w:divBdr>
        </w:div>
        <w:div w:id="1782412950">
          <w:marLeft w:val="0"/>
          <w:marRight w:val="0"/>
          <w:marTop w:val="0"/>
          <w:marBottom w:val="0"/>
          <w:divBdr>
            <w:top w:val="none" w:sz="0" w:space="0" w:color="auto"/>
            <w:left w:val="none" w:sz="0" w:space="0" w:color="auto"/>
            <w:bottom w:val="none" w:sz="0" w:space="0" w:color="auto"/>
            <w:right w:val="none" w:sz="0" w:space="0" w:color="auto"/>
          </w:divBdr>
        </w:div>
        <w:div w:id="1894266107">
          <w:marLeft w:val="0"/>
          <w:marRight w:val="0"/>
          <w:marTop w:val="0"/>
          <w:marBottom w:val="0"/>
          <w:divBdr>
            <w:top w:val="none" w:sz="0" w:space="0" w:color="auto"/>
            <w:left w:val="none" w:sz="0" w:space="0" w:color="auto"/>
            <w:bottom w:val="none" w:sz="0" w:space="0" w:color="auto"/>
            <w:right w:val="none" w:sz="0" w:space="0" w:color="auto"/>
          </w:divBdr>
        </w:div>
        <w:div w:id="371271582">
          <w:marLeft w:val="0"/>
          <w:marRight w:val="0"/>
          <w:marTop w:val="0"/>
          <w:marBottom w:val="0"/>
          <w:divBdr>
            <w:top w:val="none" w:sz="0" w:space="0" w:color="auto"/>
            <w:left w:val="none" w:sz="0" w:space="0" w:color="auto"/>
            <w:bottom w:val="none" w:sz="0" w:space="0" w:color="auto"/>
            <w:right w:val="none" w:sz="0" w:space="0" w:color="auto"/>
          </w:divBdr>
        </w:div>
        <w:div w:id="1652323593">
          <w:marLeft w:val="0"/>
          <w:marRight w:val="0"/>
          <w:marTop w:val="0"/>
          <w:marBottom w:val="0"/>
          <w:divBdr>
            <w:top w:val="none" w:sz="0" w:space="0" w:color="auto"/>
            <w:left w:val="none" w:sz="0" w:space="0" w:color="auto"/>
            <w:bottom w:val="none" w:sz="0" w:space="0" w:color="auto"/>
            <w:right w:val="none" w:sz="0" w:space="0" w:color="auto"/>
          </w:divBdr>
        </w:div>
        <w:div w:id="1922371990">
          <w:marLeft w:val="0"/>
          <w:marRight w:val="0"/>
          <w:marTop w:val="0"/>
          <w:marBottom w:val="0"/>
          <w:divBdr>
            <w:top w:val="none" w:sz="0" w:space="0" w:color="auto"/>
            <w:left w:val="none" w:sz="0" w:space="0" w:color="auto"/>
            <w:bottom w:val="none" w:sz="0" w:space="0" w:color="auto"/>
            <w:right w:val="none" w:sz="0" w:space="0" w:color="auto"/>
          </w:divBdr>
        </w:div>
        <w:div w:id="1115172144">
          <w:marLeft w:val="0"/>
          <w:marRight w:val="0"/>
          <w:marTop w:val="0"/>
          <w:marBottom w:val="0"/>
          <w:divBdr>
            <w:top w:val="none" w:sz="0" w:space="0" w:color="auto"/>
            <w:left w:val="none" w:sz="0" w:space="0" w:color="auto"/>
            <w:bottom w:val="none" w:sz="0" w:space="0" w:color="auto"/>
            <w:right w:val="none" w:sz="0" w:space="0" w:color="auto"/>
          </w:divBdr>
        </w:div>
        <w:div w:id="707804083">
          <w:marLeft w:val="0"/>
          <w:marRight w:val="0"/>
          <w:marTop w:val="0"/>
          <w:marBottom w:val="0"/>
          <w:divBdr>
            <w:top w:val="none" w:sz="0" w:space="0" w:color="auto"/>
            <w:left w:val="none" w:sz="0" w:space="0" w:color="auto"/>
            <w:bottom w:val="none" w:sz="0" w:space="0" w:color="auto"/>
            <w:right w:val="none" w:sz="0" w:space="0" w:color="auto"/>
          </w:divBdr>
        </w:div>
        <w:div w:id="1533497067">
          <w:marLeft w:val="0"/>
          <w:marRight w:val="0"/>
          <w:marTop w:val="0"/>
          <w:marBottom w:val="0"/>
          <w:divBdr>
            <w:top w:val="none" w:sz="0" w:space="0" w:color="auto"/>
            <w:left w:val="none" w:sz="0" w:space="0" w:color="auto"/>
            <w:bottom w:val="none" w:sz="0" w:space="0" w:color="auto"/>
            <w:right w:val="none" w:sz="0" w:space="0" w:color="auto"/>
          </w:divBdr>
        </w:div>
        <w:div w:id="78122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3853379.UDS\AppData\Local\Microsoft\Windows\Temporary%20Internet%20Files\Content.Outlook\FFFG6DNE\Table%202-revised.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Institute of Environmental Science and Research Ltd</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Lake</dc:creator>
  <cp:lastModifiedBy>Martyn Kirk</cp:lastModifiedBy>
  <cp:revision>3</cp:revision>
  <dcterms:created xsi:type="dcterms:W3CDTF">2015-10-28T03:12:00Z</dcterms:created>
  <dcterms:modified xsi:type="dcterms:W3CDTF">2015-11-02T02:12:00Z</dcterms:modified>
</cp:coreProperties>
</file>