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7B" w:rsidRDefault="0022657B" w:rsidP="0022657B">
      <w:pPr>
        <w:rPr>
          <w:b/>
        </w:rPr>
      </w:pPr>
      <w:proofErr w:type="gramStart"/>
      <w:r>
        <w:rPr>
          <w:b/>
        </w:rPr>
        <w:t>S5 Table</w:t>
      </w:r>
      <w:r w:rsidRPr="00CF36BB">
        <w:rPr>
          <w:b/>
        </w:rPr>
        <w:t>.</w:t>
      </w:r>
      <w:proofErr w:type="gramEnd"/>
      <w:r>
        <w:rPr>
          <w:b/>
        </w:rPr>
        <w:t xml:space="preserve"> Sensitivity analysis of the primary endpoint of the p</w:t>
      </w:r>
      <w:r w:rsidRPr="00F075B6">
        <w:rPr>
          <w:b/>
        </w:rPr>
        <w:t xml:space="preserve">ercentage of months with at least </w:t>
      </w:r>
      <w:r>
        <w:rPr>
          <w:b/>
        </w:rPr>
        <w:t xml:space="preserve">20% </w:t>
      </w:r>
      <w:r w:rsidRPr="00F075B6">
        <w:rPr>
          <w:b/>
        </w:rPr>
        <w:t>doses missed</w:t>
      </w:r>
      <w:r>
        <w:rPr>
          <w:b/>
        </w:rPr>
        <w:t xml:space="preserve"> (post-hoc sub-group analysis)</w:t>
      </w:r>
    </w:p>
    <w:p w:rsidR="0022657B" w:rsidRDefault="0022657B" w:rsidP="0022657B">
      <w:pPr>
        <w:rPr>
          <w:b/>
        </w:rPr>
      </w:pPr>
    </w:p>
    <w:tbl>
      <w:tblPr>
        <w:tblW w:w="14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331"/>
        <w:gridCol w:w="1505"/>
        <w:gridCol w:w="1562"/>
        <w:gridCol w:w="138"/>
        <w:gridCol w:w="992"/>
        <w:gridCol w:w="1418"/>
        <w:gridCol w:w="1363"/>
        <w:gridCol w:w="1566"/>
        <w:gridCol w:w="331"/>
        <w:gridCol w:w="889"/>
        <w:gridCol w:w="1412"/>
      </w:tblGrid>
      <w:tr w:rsidR="0022657B" w:rsidRPr="008A3022" w:rsidTr="00D4621F">
        <w:trPr>
          <w:trHeight w:val="4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Number of patients</w:t>
            </w:r>
            <w:r>
              <w:rPr>
                <w:rFonts w:cs="Calibri"/>
                <w:b/>
                <w:sz w:val="20"/>
                <w:szCs w:val="20"/>
              </w:rPr>
              <w:t xml:space="preserve"> (row %)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Geometric mean of cluster level endpoint</w:t>
            </w:r>
            <w:r w:rsidRPr="008A3022">
              <w:rPr>
                <w:rFonts w:cs="Tahoma"/>
                <w:vertAlign w:val="superscript"/>
              </w:rPr>
              <w:t>1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Adjusted analysis</w:t>
            </w:r>
            <w:r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Number of patients</w:t>
            </w:r>
            <w:r>
              <w:rPr>
                <w:rFonts w:cs="Calibri"/>
                <w:b/>
                <w:sz w:val="20"/>
                <w:szCs w:val="20"/>
              </w:rPr>
              <w:t xml:space="preserve"> (row %)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Geometric mean of cluster level endpoint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8A3022">
              <w:rPr>
                <w:rFonts w:cs="Tahoma"/>
                <w:vertAlign w:val="superscript"/>
              </w:rPr>
              <w:t>1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Adjusted analysis</w:t>
            </w:r>
            <w:r>
              <w:rPr>
                <w:rFonts w:cs="Tahoma"/>
                <w:vertAlign w:val="superscript"/>
              </w:rPr>
              <w:t>2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p-value for effect modification</w:t>
            </w:r>
          </w:p>
        </w:tc>
      </w:tr>
      <w:tr w:rsidR="0022657B" w:rsidRPr="008A3022" w:rsidTr="00D4621F">
        <w:trPr>
          <w:trHeight w:val="44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Mean ratio</w:t>
            </w:r>
          </w:p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(95% CI)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p-value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Mean ratio</w:t>
            </w:r>
          </w:p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(95% CI)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p-value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2657B" w:rsidRPr="008A3022" w:rsidTr="00D462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No medication monitor problem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A3022">
              <w:rPr>
                <w:rFonts w:cs="Calibri"/>
                <w:b/>
                <w:sz w:val="20"/>
                <w:szCs w:val="20"/>
              </w:rPr>
              <w:t>Any medication monitor problem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22657B" w:rsidRPr="00CE0202" w:rsidTr="00D462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Control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895 (82.0%)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27.3%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196 (18.0%)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40.0%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CE0202" w:rsidRDefault="0022657B" w:rsidP="00D4621F">
            <w:pPr>
              <w:spacing w:after="0" w:line="240" w:lineRule="auto"/>
              <w:rPr>
                <w:color w:val="000000"/>
              </w:rPr>
            </w:pPr>
            <w:r w:rsidRPr="00CE0202">
              <w:rPr>
                <w:color w:val="000000"/>
              </w:rPr>
              <w:t> </w:t>
            </w:r>
          </w:p>
        </w:tc>
      </w:tr>
      <w:tr w:rsidR="0022657B" w:rsidRPr="00CE0202" w:rsidTr="00D462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Text messaging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829 (83.2%)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24.8%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0.93 (0.70, 1.24)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167 (16.8%)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41.7%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1.04 (0.77, 1.40)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0.777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CE0202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0.449</w:t>
            </w:r>
          </w:p>
        </w:tc>
      </w:tr>
      <w:tr w:rsidR="0022657B" w:rsidRPr="00CE0202" w:rsidTr="00D4621F">
        <w:trPr>
          <w:trHeight w:val="1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>Medication monitor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 (50.4%)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9.4%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0.35 (0.18, 0.70)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492 (49.6%)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23.9%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0.61 (0.46, 0.80)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CE0202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0.096</w:t>
            </w:r>
          </w:p>
        </w:tc>
      </w:tr>
      <w:tr w:rsidR="0022657B" w:rsidRPr="00CE0202" w:rsidTr="00D462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8A3022">
              <w:rPr>
                <w:rFonts w:cs="Calibri"/>
                <w:i/>
                <w:sz w:val="20"/>
                <w:szCs w:val="20"/>
              </w:rPr>
              <w:t xml:space="preserve">Combined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548 (51.7%)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12.6%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0.48 (0.24, 0.98)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8A3022" w:rsidRDefault="0022657B" w:rsidP="00D4621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511 (48.3%)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16.0%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0.42 (0.24, 0.74)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E75916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0.006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7B" w:rsidRPr="00CE0202" w:rsidRDefault="0022657B" w:rsidP="00D4621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0.554</w:t>
            </w:r>
          </w:p>
        </w:tc>
      </w:tr>
    </w:tbl>
    <w:p w:rsidR="0022657B" w:rsidRDefault="0022657B" w:rsidP="0022657B">
      <w:pPr>
        <w:rPr>
          <w:rFonts w:cs="Tahoma"/>
        </w:rPr>
      </w:pPr>
      <w:r w:rsidRPr="00CF36BB">
        <w:rPr>
          <w:rFonts w:cs="Tahoma"/>
        </w:rPr>
        <w:t xml:space="preserve">CI=confidence interval; </w:t>
      </w:r>
    </w:p>
    <w:p w:rsidR="0022657B" w:rsidRPr="003D73C9" w:rsidRDefault="0022657B" w:rsidP="0022657B">
      <w:pPr>
        <w:rPr>
          <w:rFonts w:cs="Tahoma"/>
        </w:rPr>
      </w:pPr>
      <w:r w:rsidRPr="003D73C9">
        <w:rPr>
          <w:rFonts w:cs="Tahoma"/>
          <w:vertAlign w:val="superscript"/>
        </w:rPr>
        <w:t>1</w:t>
      </w:r>
      <w:r w:rsidRPr="003D73C9">
        <w:t>of the percentage of months with at least 20% doses missed</w:t>
      </w:r>
    </w:p>
    <w:p w:rsidR="0022657B" w:rsidRDefault="0022657B" w:rsidP="0022657B">
      <w:pPr>
        <w:rPr>
          <w:rFonts w:cs="Tahoma"/>
        </w:rPr>
      </w:pPr>
      <w:r>
        <w:rPr>
          <w:rFonts w:cs="Tahoma"/>
          <w:vertAlign w:val="superscript"/>
        </w:rPr>
        <w:t>2</w:t>
      </w:r>
      <w:r w:rsidRPr="00CF36BB">
        <w:rPr>
          <w:rFonts w:cs="Tahoma"/>
        </w:rPr>
        <w:t>adjusted for individual level variables</w:t>
      </w:r>
      <w:r>
        <w:rPr>
          <w:rFonts w:cs="Tahoma"/>
        </w:rPr>
        <w:t xml:space="preserve"> of gender, age category, occupation, </w:t>
      </w:r>
      <w:r w:rsidRPr="00CE4D42">
        <w:rPr>
          <w:rFonts w:cs="Tahoma"/>
        </w:rPr>
        <w:t>living in household registration place</w:t>
      </w:r>
      <w:r>
        <w:rPr>
          <w:rFonts w:cs="Tahoma"/>
        </w:rPr>
        <w:t xml:space="preserve"> or not</w:t>
      </w:r>
      <w:r w:rsidRPr="00CF36BB">
        <w:rPr>
          <w:rFonts w:cs="Tahoma"/>
        </w:rPr>
        <w:t xml:space="preserve">, </w:t>
      </w:r>
      <w:r>
        <w:rPr>
          <w:rFonts w:cs="Tahoma"/>
        </w:rPr>
        <w:t>distance from nearest TB clinic, education level, income, smear status at start of treatment</w:t>
      </w:r>
      <w:r w:rsidRPr="00CF36BB">
        <w:rPr>
          <w:rFonts w:cs="Tahoma"/>
        </w:rPr>
        <w:t xml:space="preserve"> and cluster level variable</w:t>
      </w:r>
      <w:r>
        <w:rPr>
          <w:rFonts w:cs="Tahoma"/>
        </w:rPr>
        <w:t xml:space="preserve"> of </w:t>
      </w:r>
      <w:r w:rsidRPr="00CF36BB">
        <w:rPr>
          <w:rFonts w:cs="Tahoma"/>
        </w:rPr>
        <w:t>pre-randomisation strata</w:t>
      </w:r>
      <w:r>
        <w:rPr>
          <w:rFonts w:cs="Tahoma"/>
        </w:rPr>
        <w:t xml:space="preserve"> (rural/urban).</w:t>
      </w:r>
    </w:p>
    <w:p w:rsidR="0022657B" w:rsidRDefault="0022657B" w:rsidP="0022657B">
      <w:pPr>
        <w:rPr>
          <w:rFonts w:cs="Tahoma"/>
        </w:rPr>
      </w:pPr>
      <w:r>
        <w:rPr>
          <w:rFonts w:cs="Tahoma"/>
          <w:vertAlign w:val="superscript"/>
        </w:rPr>
        <w:t>3</w:t>
      </w:r>
      <w:r>
        <w:t xml:space="preserve">any </w:t>
      </w:r>
      <w:r>
        <w:rPr>
          <w:rFonts w:cs="Tahoma"/>
        </w:rPr>
        <w:t xml:space="preserve">medication monitor problem defined as </w:t>
      </w:r>
      <w:r w:rsidRPr="004876D0">
        <w:rPr>
          <w:rFonts w:cs="Tahoma"/>
          <w:i/>
        </w:rPr>
        <w:t>either</w:t>
      </w:r>
      <w:r>
        <w:rPr>
          <w:rFonts w:cs="Tahoma"/>
        </w:rPr>
        <w:t xml:space="preserve"> doctor reported any medication monitor problem </w:t>
      </w:r>
      <w:r w:rsidRPr="004876D0">
        <w:rPr>
          <w:rFonts w:cs="Tahoma"/>
          <w:i/>
        </w:rPr>
        <w:t>and/or</w:t>
      </w:r>
      <w:r>
        <w:rPr>
          <w:rFonts w:cs="Tahoma"/>
        </w:rPr>
        <w:t xml:space="preserve"> an incorrect date was recorded by the medication monitor, indicating the power had failed and then been resolved without resetting the internal clock to the correct date.</w:t>
      </w:r>
    </w:p>
    <w:p w:rsidR="00592480" w:rsidRDefault="00592480"/>
    <w:sectPr w:rsidR="00592480" w:rsidSect="0022657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57B"/>
    <w:rsid w:val="0022657B"/>
    <w:rsid w:val="005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7B"/>
    <w:rPr>
      <w:rFonts w:ascii="Calibri" w:eastAsia="SimSun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160D2-B4AE-4AAE-9D76-D2BD563E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>London School of Hygiene &amp; Tropical Medicine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Fielding</dc:creator>
  <cp:lastModifiedBy>Katherine Fielding</cp:lastModifiedBy>
  <cp:revision>1</cp:revision>
  <dcterms:created xsi:type="dcterms:W3CDTF">2015-07-01T17:43:00Z</dcterms:created>
  <dcterms:modified xsi:type="dcterms:W3CDTF">2015-07-01T17:43:00Z</dcterms:modified>
</cp:coreProperties>
</file>