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A6" w:rsidRDefault="000B26A6" w:rsidP="000B26A6">
      <w:pPr>
        <w:spacing w:after="0" w:line="480" w:lineRule="auto"/>
        <w:rPr>
          <w:rFonts w:ascii="Arial" w:hAnsi="Arial" w:cs="Arial"/>
          <w:b/>
          <w:sz w:val="24"/>
          <w:szCs w:val="24"/>
        </w:rPr>
      </w:pPr>
      <w:r>
        <w:rPr>
          <w:rFonts w:ascii="Arial" w:hAnsi="Arial" w:cs="Arial"/>
          <w:b/>
          <w:sz w:val="24"/>
          <w:szCs w:val="24"/>
        </w:rPr>
        <w:t>S</w:t>
      </w:r>
      <w:r w:rsidRPr="004373BA">
        <w:rPr>
          <w:rFonts w:ascii="Arial" w:hAnsi="Arial" w:cs="Arial"/>
          <w:b/>
          <w:sz w:val="24"/>
          <w:szCs w:val="24"/>
        </w:rPr>
        <w:t>2</w:t>
      </w:r>
      <w:r>
        <w:rPr>
          <w:rFonts w:ascii="Arial" w:hAnsi="Arial" w:cs="Arial"/>
          <w:b/>
          <w:sz w:val="24"/>
          <w:szCs w:val="24"/>
        </w:rPr>
        <w:t xml:space="preserve"> Table</w:t>
      </w:r>
      <w:r w:rsidRPr="004373BA">
        <w:rPr>
          <w:rFonts w:ascii="Arial" w:hAnsi="Arial" w:cs="Arial"/>
          <w:b/>
          <w:sz w:val="24"/>
          <w:szCs w:val="24"/>
        </w:rPr>
        <w:t xml:space="preserve">. Main steps used to make the </w:t>
      </w:r>
      <w:r>
        <w:rPr>
          <w:rFonts w:ascii="Arial" w:hAnsi="Arial" w:cs="Arial"/>
          <w:b/>
          <w:sz w:val="24"/>
          <w:szCs w:val="24"/>
        </w:rPr>
        <w:t xml:space="preserve">weight and height data </w:t>
      </w:r>
      <w:r w:rsidRPr="004373BA">
        <w:rPr>
          <w:rFonts w:ascii="Arial" w:hAnsi="Arial" w:cs="Arial"/>
          <w:b/>
          <w:sz w:val="24"/>
          <w:szCs w:val="24"/>
        </w:rPr>
        <w:t>from the different studies as comparable as possible in this paper</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11"/>
        <w:gridCol w:w="14887"/>
      </w:tblGrid>
      <w:tr w:rsidR="000B26A6" w:rsidRPr="0053629D" w:rsidTr="000B26A6">
        <w:trPr>
          <w:trHeight w:val="340"/>
        </w:trPr>
        <w:tc>
          <w:tcPr>
            <w:tcW w:w="166" w:type="pct"/>
            <w:vAlign w:val="center"/>
          </w:tcPr>
          <w:p w:rsidR="000B26A6" w:rsidRPr="009A0D65" w:rsidRDefault="000B26A6" w:rsidP="007669CB">
            <w:pPr>
              <w:pStyle w:val="ListParagraph"/>
              <w:ind w:left="0"/>
              <w:rPr>
                <w:rFonts w:ascii="Arial" w:hAnsi="Arial" w:cs="Arial"/>
                <w:sz w:val="20"/>
                <w:szCs w:val="24"/>
              </w:rPr>
            </w:pPr>
            <w:r w:rsidRPr="009A0D65">
              <w:rPr>
                <w:rFonts w:ascii="Arial" w:hAnsi="Arial" w:cs="Arial"/>
                <w:sz w:val="20"/>
                <w:szCs w:val="24"/>
              </w:rPr>
              <w:t>1</w:t>
            </w:r>
          </w:p>
        </w:tc>
        <w:tc>
          <w:tcPr>
            <w:tcW w:w="4834" w:type="pct"/>
          </w:tcPr>
          <w:p w:rsidR="000B26A6" w:rsidRPr="009A0D65" w:rsidRDefault="000B26A6" w:rsidP="000B26A6">
            <w:pPr>
              <w:pStyle w:val="ListParagraph"/>
              <w:ind w:left="0"/>
              <w:rPr>
                <w:rFonts w:ascii="Arial" w:hAnsi="Arial" w:cs="Arial"/>
                <w:sz w:val="20"/>
                <w:szCs w:val="24"/>
              </w:rPr>
            </w:pPr>
            <w:r>
              <w:rPr>
                <w:rFonts w:ascii="Arial" w:hAnsi="Arial" w:cs="Arial"/>
                <w:sz w:val="20"/>
                <w:szCs w:val="24"/>
              </w:rPr>
              <w:t xml:space="preserve">Weights and heights were converted to </w:t>
            </w:r>
            <w:r w:rsidRPr="009A0D65">
              <w:rPr>
                <w:rFonts w:ascii="Arial" w:hAnsi="Arial" w:cs="Arial"/>
                <w:sz w:val="20"/>
                <w:szCs w:val="24"/>
              </w:rPr>
              <w:t>kilograms and metres</w:t>
            </w:r>
            <w:r>
              <w:rPr>
                <w:rFonts w:ascii="Arial" w:hAnsi="Arial" w:cs="Arial"/>
                <w:sz w:val="20"/>
                <w:szCs w:val="24"/>
              </w:rPr>
              <w:t>, respectively, as</w:t>
            </w:r>
            <w:r w:rsidRPr="009A0D65">
              <w:rPr>
                <w:rFonts w:ascii="Arial" w:hAnsi="Arial" w:cs="Arial"/>
                <w:sz w:val="20"/>
                <w:szCs w:val="24"/>
              </w:rPr>
              <w:t xml:space="preserve"> </w:t>
            </w:r>
            <w:r>
              <w:rPr>
                <w:rFonts w:ascii="Arial" w:hAnsi="Arial" w:cs="Arial"/>
                <w:sz w:val="20"/>
                <w:szCs w:val="24"/>
              </w:rPr>
              <w:t>necessary.</w:t>
            </w:r>
          </w:p>
        </w:tc>
      </w:tr>
      <w:tr w:rsidR="000B26A6" w:rsidRPr="0053629D" w:rsidTr="000B26A6">
        <w:trPr>
          <w:trHeight w:val="340"/>
        </w:trPr>
        <w:tc>
          <w:tcPr>
            <w:tcW w:w="166" w:type="pct"/>
            <w:vAlign w:val="center"/>
          </w:tcPr>
          <w:p w:rsidR="000B26A6" w:rsidRPr="009A0D65" w:rsidRDefault="000B26A6" w:rsidP="007669CB">
            <w:pPr>
              <w:pStyle w:val="ListParagraph"/>
              <w:ind w:left="0"/>
              <w:rPr>
                <w:rFonts w:ascii="Arial" w:hAnsi="Arial" w:cs="Arial"/>
                <w:sz w:val="20"/>
                <w:szCs w:val="24"/>
              </w:rPr>
            </w:pPr>
            <w:r w:rsidRPr="009A0D65">
              <w:rPr>
                <w:rFonts w:ascii="Arial" w:hAnsi="Arial" w:cs="Arial"/>
                <w:sz w:val="20"/>
                <w:szCs w:val="24"/>
              </w:rPr>
              <w:t>2</w:t>
            </w:r>
          </w:p>
        </w:tc>
        <w:tc>
          <w:tcPr>
            <w:tcW w:w="4834" w:type="pct"/>
          </w:tcPr>
          <w:p w:rsidR="000B26A6" w:rsidRPr="009A0D65" w:rsidRDefault="000B26A6" w:rsidP="000B26A6">
            <w:pPr>
              <w:pStyle w:val="ListParagraph"/>
              <w:ind w:left="0"/>
              <w:rPr>
                <w:rFonts w:ascii="Arial" w:hAnsi="Arial" w:cs="Arial"/>
                <w:sz w:val="20"/>
                <w:szCs w:val="24"/>
              </w:rPr>
            </w:pPr>
            <w:r w:rsidRPr="009A0D65">
              <w:rPr>
                <w:rFonts w:ascii="Arial" w:hAnsi="Arial" w:cs="Arial"/>
                <w:sz w:val="20"/>
                <w:szCs w:val="24"/>
              </w:rPr>
              <w:t>Measured data at age 16 years in the 1970 BCS were augmented with 2,353 self-reported weight</w:t>
            </w:r>
            <w:r>
              <w:rPr>
                <w:rFonts w:ascii="Arial" w:hAnsi="Arial" w:cs="Arial"/>
                <w:sz w:val="20"/>
                <w:szCs w:val="24"/>
              </w:rPr>
              <w:t>s</w:t>
            </w:r>
            <w:r w:rsidRPr="009A0D65">
              <w:rPr>
                <w:rFonts w:ascii="Arial" w:hAnsi="Arial" w:cs="Arial"/>
                <w:sz w:val="20"/>
                <w:szCs w:val="24"/>
              </w:rPr>
              <w:t xml:space="preserve"> and 2,309 self-reported height</w:t>
            </w:r>
            <w:r>
              <w:rPr>
                <w:rFonts w:ascii="Arial" w:hAnsi="Arial" w:cs="Arial"/>
                <w:sz w:val="20"/>
                <w:szCs w:val="24"/>
              </w:rPr>
              <w:t xml:space="preserve">s at the same age </w:t>
            </w:r>
            <w:r w:rsidRPr="009A0D65">
              <w:rPr>
                <w:rFonts w:ascii="Arial" w:hAnsi="Arial" w:cs="Arial"/>
                <w:sz w:val="20"/>
                <w:szCs w:val="24"/>
              </w:rPr>
              <w:t xml:space="preserve">to maximise the </w:t>
            </w:r>
            <w:r>
              <w:rPr>
                <w:rFonts w:ascii="Arial" w:hAnsi="Arial" w:cs="Arial"/>
                <w:sz w:val="20"/>
                <w:szCs w:val="24"/>
              </w:rPr>
              <w:t>amount of available information.</w:t>
            </w:r>
          </w:p>
        </w:tc>
      </w:tr>
      <w:tr w:rsidR="000B26A6" w:rsidRPr="0053629D" w:rsidTr="000B26A6">
        <w:trPr>
          <w:trHeight w:val="340"/>
        </w:trPr>
        <w:tc>
          <w:tcPr>
            <w:tcW w:w="166" w:type="pct"/>
            <w:vAlign w:val="center"/>
          </w:tcPr>
          <w:p w:rsidR="000B26A6" w:rsidRDefault="000B26A6" w:rsidP="007669CB">
            <w:pPr>
              <w:pStyle w:val="ListParagraph"/>
              <w:ind w:left="0"/>
              <w:rPr>
                <w:rFonts w:ascii="Arial" w:hAnsi="Arial" w:cs="Arial"/>
                <w:sz w:val="20"/>
                <w:szCs w:val="24"/>
              </w:rPr>
            </w:pPr>
            <w:r w:rsidRPr="009A0D65">
              <w:rPr>
                <w:rFonts w:ascii="Arial" w:hAnsi="Arial" w:cs="Arial"/>
                <w:sz w:val="20"/>
                <w:szCs w:val="24"/>
              </w:rPr>
              <w:t>3</w:t>
            </w:r>
          </w:p>
          <w:p w:rsidR="000B26A6" w:rsidRDefault="000B26A6" w:rsidP="007669CB">
            <w:pPr>
              <w:pStyle w:val="ListParagraph"/>
              <w:ind w:left="0"/>
              <w:rPr>
                <w:rFonts w:ascii="Arial" w:hAnsi="Arial" w:cs="Arial"/>
                <w:sz w:val="20"/>
                <w:szCs w:val="24"/>
              </w:rPr>
            </w:pPr>
          </w:p>
          <w:p w:rsidR="000B26A6" w:rsidRDefault="000B26A6" w:rsidP="007669CB">
            <w:pPr>
              <w:pStyle w:val="ListParagraph"/>
              <w:ind w:left="0"/>
              <w:rPr>
                <w:rFonts w:ascii="Arial" w:hAnsi="Arial" w:cs="Arial"/>
                <w:sz w:val="20"/>
                <w:szCs w:val="24"/>
              </w:rPr>
            </w:pPr>
          </w:p>
          <w:p w:rsidR="000B26A6" w:rsidRPr="009A0D65" w:rsidRDefault="000B26A6" w:rsidP="007669CB">
            <w:pPr>
              <w:pStyle w:val="ListParagraph"/>
              <w:ind w:left="0"/>
              <w:rPr>
                <w:rFonts w:ascii="Arial" w:hAnsi="Arial" w:cs="Arial"/>
                <w:sz w:val="20"/>
                <w:szCs w:val="24"/>
              </w:rPr>
            </w:pPr>
          </w:p>
        </w:tc>
        <w:tc>
          <w:tcPr>
            <w:tcW w:w="4834" w:type="pct"/>
          </w:tcPr>
          <w:p w:rsidR="000B26A6" w:rsidRPr="009A0D65" w:rsidRDefault="000B26A6" w:rsidP="000B26A6">
            <w:pPr>
              <w:pStyle w:val="ListParagraph"/>
              <w:ind w:left="0"/>
              <w:rPr>
                <w:rFonts w:ascii="Arial" w:hAnsi="Arial" w:cs="Arial"/>
                <w:sz w:val="20"/>
                <w:szCs w:val="24"/>
              </w:rPr>
            </w:pPr>
            <w:r w:rsidRPr="009A0D65">
              <w:rPr>
                <w:rFonts w:ascii="Arial" w:hAnsi="Arial" w:cs="Arial"/>
                <w:sz w:val="20"/>
                <w:szCs w:val="24"/>
              </w:rPr>
              <w:t>Further, measured data at age 44 years in the 1958 NCDS were augmented with 12 observations of self-reported weight greater than 150 kg. This was done in an attempt to retrieve information from the upper end of the distribution that appeared to have been removed by the employment of a cut-off during data entry or cleaning. Similar situations were found for weight at age 7 years in the 1958 NCDS, and weight at age 10 years and height at age 26 years in the 1970 BCS, but in these instances it was not possible to retrieve any data.</w:t>
            </w:r>
          </w:p>
        </w:tc>
      </w:tr>
      <w:tr w:rsidR="000B26A6" w:rsidRPr="0053629D" w:rsidTr="000B26A6">
        <w:trPr>
          <w:trHeight w:val="1089"/>
        </w:trPr>
        <w:tc>
          <w:tcPr>
            <w:tcW w:w="166" w:type="pct"/>
            <w:vAlign w:val="center"/>
          </w:tcPr>
          <w:p w:rsidR="000B26A6" w:rsidRDefault="000B26A6" w:rsidP="007669CB">
            <w:pPr>
              <w:pStyle w:val="ListParagraph"/>
              <w:ind w:left="0"/>
              <w:rPr>
                <w:rFonts w:ascii="Arial" w:hAnsi="Arial" w:cs="Arial"/>
                <w:sz w:val="20"/>
                <w:szCs w:val="24"/>
              </w:rPr>
            </w:pPr>
            <w:r w:rsidRPr="009A0D65">
              <w:rPr>
                <w:rFonts w:ascii="Arial" w:hAnsi="Arial" w:cs="Arial"/>
                <w:sz w:val="20"/>
                <w:szCs w:val="24"/>
              </w:rPr>
              <w:t>4</w:t>
            </w:r>
          </w:p>
          <w:p w:rsidR="000B26A6" w:rsidRDefault="000B26A6" w:rsidP="007669CB">
            <w:pPr>
              <w:pStyle w:val="ListParagraph"/>
              <w:ind w:left="0"/>
              <w:rPr>
                <w:rFonts w:ascii="Arial" w:hAnsi="Arial" w:cs="Arial"/>
                <w:sz w:val="20"/>
                <w:szCs w:val="24"/>
              </w:rPr>
            </w:pPr>
          </w:p>
          <w:p w:rsidR="000B26A6" w:rsidRDefault="000B26A6" w:rsidP="007669CB">
            <w:pPr>
              <w:pStyle w:val="ListParagraph"/>
              <w:ind w:left="0"/>
              <w:rPr>
                <w:rFonts w:ascii="Arial" w:hAnsi="Arial" w:cs="Arial"/>
                <w:sz w:val="20"/>
                <w:szCs w:val="24"/>
              </w:rPr>
            </w:pPr>
          </w:p>
          <w:p w:rsidR="000B26A6" w:rsidRPr="009A0D65" w:rsidRDefault="000B26A6" w:rsidP="007669CB">
            <w:pPr>
              <w:pStyle w:val="ListParagraph"/>
              <w:ind w:left="0"/>
              <w:rPr>
                <w:rFonts w:ascii="Arial" w:hAnsi="Arial" w:cs="Arial"/>
                <w:sz w:val="20"/>
                <w:szCs w:val="24"/>
              </w:rPr>
            </w:pPr>
          </w:p>
        </w:tc>
        <w:tc>
          <w:tcPr>
            <w:tcW w:w="4834" w:type="pct"/>
          </w:tcPr>
          <w:p w:rsidR="000B26A6" w:rsidRPr="00872B22" w:rsidRDefault="000B26A6" w:rsidP="000B26A6">
            <w:pPr>
              <w:pStyle w:val="ListParagraph"/>
              <w:ind w:left="0"/>
              <w:rPr>
                <w:rFonts w:ascii="Arial" w:hAnsi="Arial" w:cs="Arial"/>
                <w:sz w:val="20"/>
                <w:szCs w:val="24"/>
              </w:rPr>
            </w:pPr>
            <w:r>
              <w:rPr>
                <w:rFonts w:ascii="Arial" w:hAnsi="Arial" w:cs="Arial"/>
                <w:sz w:val="20"/>
                <w:szCs w:val="24"/>
              </w:rPr>
              <w:t>H</w:t>
            </w:r>
            <w:r w:rsidRPr="009A0D65">
              <w:rPr>
                <w:rFonts w:ascii="Arial" w:hAnsi="Arial" w:cs="Arial"/>
                <w:sz w:val="20"/>
                <w:szCs w:val="24"/>
              </w:rPr>
              <w:t>eight was only reported at age 50 years in the</w:t>
            </w:r>
            <w:r>
              <w:rPr>
                <w:rFonts w:ascii="Arial" w:hAnsi="Arial" w:cs="Arial"/>
                <w:sz w:val="20"/>
                <w:szCs w:val="24"/>
              </w:rPr>
              <w:t xml:space="preserve"> 1958 </w:t>
            </w:r>
            <w:r w:rsidRPr="009A0D65">
              <w:rPr>
                <w:rFonts w:ascii="Arial" w:hAnsi="Arial" w:cs="Arial"/>
                <w:sz w:val="20"/>
                <w:szCs w:val="24"/>
              </w:rPr>
              <w:t xml:space="preserve">NCDS if it </w:t>
            </w:r>
            <w:r>
              <w:rPr>
                <w:rFonts w:ascii="Arial" w:hAnsi="Arial" w:cs="Arial"/>
                <w:sz w:val="20"/>
                <w:szCs w:val="24"/>
              </w:rPr>
              <w:t xml:space="preserve">had not been </w:t>
            </w:r>
            <w:r w:rsidRPr="009A0D65">
              <w:rPr>
                <w:rFonts w:ascii="Arial" w:hAnsi="Arial" w:cs="Arial"/>
                <w:sz w:val="20"/>
                <w:szCs w:val="24"/>
              </w:rPr>
              <w:t>measured at the previous sweep</w:t>
            </w:r>
            <w:r>
              <w:rPr>
                <w:rFonts w:ascii="Arial" w:hAnsi="Arial" w:cs="Arial"/>
                <w:sz w:val="20"/>
                <w:szCs w:val="24"/>
              </w:rPr>
              <w:t xml:space="preserve"> at age 44 years; </w:t>
            </w:r>
            <w:r w:rsidRPr="009A0D65">
              <w:rPr>
                <w:rFonts w:ascii="Arial" w:hAnsi="Arial" w:cs="Arial"/>
                <w:sz w:val="20"/>
                <w:szCs w:val="24"/>
              </w:rPr>
              <w:t>9,063</w:t>
            </w:r>
            <w:r>
              <w:rPr>
                <w:rFonts w:ascii="Arial" w:hAnsi="Arial" w:cs="Arial"/>
                <w:sz w:val="20"/>
                <w:szCs w:val="24"/>
              </w:rPr>
              <w:t xml:space="preserve"> missing</w:t>
            </w:r>
            <w:r w:rsidRPr="009A0D65">
              <w:rPr>
                <w:rFonts w:ascii="Arial" w:hAnsi="Arial" w:cs="Arial"/>
                <w:sz w:val="20"/>
                <w:szCs w:val="24"/>
              </w:rPr>
              <w:t xml:space="preserve"> observations </w:t>
            </w:r>
            <w:r>
              <w:rPr>
                <w:rFonts w:ascii="Arial" w:hAnsi="Arial" w:cs="Arial"/>
                <w:sz w:val="20"/>
                <w:szCs w:val="24"/>
              </w:rPr>
              <w:t xml:space="preserve">of height </w:t>
            </w:r>
            <w:r w:rsidRPr="009A0D65">
              <w:rPr>
                <w:rFonts w:ascii="Arial" w:hAnsi="Arial" w:cs="Arial"/>
                <w:sz w:val="20"/>
                <w:szCs w:val="24"/>
              </w:rPr>
              <w:t xml:space="preserve">at age </w:t>
            </w:r>
            <w:r>
              <w:rPr>
                <w:rFonts w:ascii="Arial" w:hAnsi="Arial" w:cs="Arial"/>
                <w:sz w:val="20"/>
                <w:szCs w:val="24"/>
              </w:rPr>
              <w:t>50 years were filled in with observations of hei</w:t>
            </w:r>
            <w:bookmarkStart w:id="0" w:name="_GoBack"/>
            <w:bookmarkEnd w:id="0"/>
            <w:r>
              <w:rPr>
                <w:rFonts w:ascii="Arial" w:hAnsi="Arial" w:cs="Arial"/>
                <w:sz w:val="20"/>
                <w:szCs w:val="24"/>
              </w:rPr>
              <w:t>ght from the sweep at age 44 years. The same strategy had already been applied to study derived variables of height at ages 34 (filled in using age 30 year data) and 42 years (filled in using age 30 or 34 year data) in the 1970 BCS.</w:t>
            </w:r>
          </w:p>
        </w:tc>
      </w:tr>
      <w:tr w:rsidR="000B26A6" w:rsidRPr="0053629D" w:rsidTr="000B26A6">
        <w:trPr>
          <w:trHeight w:val="340"/>
        </w:trPr>
        <w:tc>
          <w:tcPr>
            <w:tcW w:w="166" w:type="pct"/>
            <w:vAlign w:val="center"/>
          </w:tcPr>
          <w:p w:rsidR="000B26A6" w:rsidRDefault="000B26A6" w:rsidP="007669CB">
            <w:pPr>
              <w:pStyle w:val="ListParagraph"/>
              <w:ind w:left="0"/>
              <w:rPr>
                <w:rFonts w:ascii="Arial" w:hAnsi="Arial" w:cs="Arial"/>
                <w:color w:val="000000" w:themeColor="text1"/>
                <w:sz w:val="20"/>
                <w:szCs w:val="24"/>
              </w:rPr>
            </w:pPr>
            <w:r w:rsidRPr="009A0D65">
              <w:rPr>
                <w:rFonts w:ascii="Arial" w:hAnsi="Arial" w:cs="Arial"/>
                <w:color w:val="000000" w:themeColor="text1"/>
                <w:sz w:val="20"/>
                <w:szCs w:val="24"/>
              </w:rPr>
              <w:t>5</w:t>
            </w:r>
          </w:p>
          <w:p w:rsidR="000B26A6" w:rsidRPr="009A0D65" w:rsidRDefault="000B26A6" w:rsidP="007669CB">
            <w:pPr>
              <w:pStyle w:val="ListParagraph"/>
              <w:ind w:left="0"/>
              <w:rPr>
                <w:rFonts w:ascii="Arial" w:hAnsi="Arial" w:cs="Arial"/>
                <w:color w:val="000000" w:themeColor="text1"/>
                <w:sz w:val="20"/>
                <w:szCs w:val="24"/>
              </w:rPr>
            </w:pPr>
          </w:p>
        </w:tc>
        <w:tc>
          <w:tcPr>
            <w:tcW w:w="4834" w:type="pct"/>
          </w:tcPr>
          <w:p w:rsidR="000B26A6" w:rsidRPr="009A0D65" w:rsidRDefault="000B26A6" w:rsidP="000B26A6">
            <w:pPr>
              <w:pStyle w:val="ListParagraph"/>
              <w:ind w:left="0"/>
              <w:rPr>
                <w:rFonts w:ascii="Arial" w:hAnsi="Arial" w:cs="Arial"/>
                <w:color w:val="000000" w:themeColor="text1"/>
                <w:sz w:val="20"/>
                <w:szCs w:val="24"/>
              </w:rPr>
            </w:pPr>
            <w:r w:rsidRPr="009A0D65">
              <w:rPr>
                <w:rFonts w:ascii="Arial" w:hAnsi="Arial" w:cs="Arial"/>
                <w:color w:val="000000" w:themeColor="text1"/>
                <w:sz w:val="20"/>
                <w:szCs w:val="24"/>
              </w:rPr>
              <w:t>Where variables of decimal age at assessment were not available, they were computed from existing age variables or as the differenc</w:t>
            </w:r>
            <w:r>
              <w:rPr>
                <w:rFonts w:ascii="Arial" w:hAnsi="Arial" w:cs="Arial"/>
                <w:color w:val="000000" w:themeColor="text1"/>
                <w:sz w:val="20"/>
                <w:szCs w:val="24"/>
              </w:rPr>
              <w:t>e between date of birth and date</w:t>
            </w:r>
            <w:r w:rsidRPr="009A0D65">
              <w:rPr>
                <w:rFonts w:ascii="Arial" w:hAnsi="Arial" w:cs="Arial"/>
                <w:color w:val="000000" w:themeColor="text1"/>
                <w:sz w:val="20"/>
                <w:szCs w:val="24"/>
              </w:rPr>
              <w:t xml:space="preserve"> of assessment.</w:t>
            </w:r>
          </w:p>
        </w:tc>
      </w:tr>
      <w:tr w:rsidR="000B26A6" w:rsidRPr="0053629D" w:rsidTr="000B26A6">
        <w:trPr>
          <w:trHeight w:val="340"/>
        </w:trPr>
        <w:tc>
          <w:tcPr>
            <w:tcW w:w="166" w:type="pct"/>
            <w:vAlign w:val="center"/>
          </w:tcPr>
          <w:p w:rsidR="000B26A6" w:rsidRDefault="000B26A6" w:rsidP="007669CB">
            <w:pPr>
              <w:pStyle w:val="ListParagraph"/>
              <w:ind w:left="0"/>
              <w:rPr>
                <w:rFonts w:ascii="Arial" w:hAnsi="Arial" w:cs="Arial"/>
                <w:color w:val="000000" w:themeColor="text1"/>
                <w:sz w:val="20"/>
                <w:szCs w:val="24"/>
              </w:rPr>
            </w:pPr>
            <w:r w:rsidRPr="009A0D65">
              <w:rPr>
                <w:rFonts w:ascii="Arial" w:hAnsi="Arial" w:cs="Arial"/>
                <w:color w:val="000000" w:themeColor="text1"/>
                <w:sz w:val="20"/>
                <w:szCs w:val="24"/>
              </w:rPr>
              <w:t>6</w:t>
            </w:r>
          </w:p>
          <w:p w:rsidR="000B26A6" w:rsidRDefault="000B26A6" w:rsidP="007669CB">
            <w:pPr>
              <w:pStyle w:val="ListParagraph"/>
              <w:ind w:left="0"/>
              <w:rPr>
                <w:rFonts w:ascii="Arial" w:hAnsi="Arial" w:cs="Arial"/>
                <w:color w:val="000000" w:themeColor="text1"/>
                <w:sz w:val="20"/>
                <w:szCs w:val="24"/>
              </w:rPr>
            </w:pPr>
          </w:p>
          <w:p w:rsidR="000B26A6" w:rsidRPr="009A0D65" w:rsidRDefault="000B26A6" w:rsidP="007669CB">
            <w:pPr>
              <w:pStyle w:val="ListParagraph"/>
              <w:ind w:left="0"/>
              <w:rPr>
                <w:rFonts w:ascii="Arial" w:hAnsi="Arial" w:cs="Arial"/>
                <w:color w:val="000000" w:themeColor="text1"/>
                <w:sz w:val="20"/>
                <w:szCs w:val="24"/>
              </w:rPr>
            </w:pPr>
          </w:p>
        </w:tc>
        <w:tc>
          <w:tcPr>
            <w:tcW w:w="4834" w:type="pct"/>
          </w:tcPr>
          <w:p w:rsidR="000B26A6" w:rsidRPr="009A0D65" w:rsidRDefault="000B26A6" w:rsidP="000B26A6">
            <w:pPr>
              <w:pStyle w:val="ListParagraph"/>
              <w:ind w:left="0"/>
              <w:rPr>
                <w:rFonts w:ascii="Arial" w:hAnsi="Arial" w:cs="Arial"/>
                <w:color w:val="000000" w:themeColor="text1"/>
                <w:sz w:val="20"/>
                <w:szCs w:val="24"/>
              </w:rPr>
            </w:pPr>
            <w:r w:rsidRPr="009A0D65">
              <w:rPr>
                <w:rFonts w:ascii="Arial" w:hAnsi="Arial" w:cs="Arial"/>
                <w:color w:val="000000" w:themeColor="text1"/>
                <w:sz w:val="20"/>
                <w:szCs w:val="24"/>
              </w:rPr>
              <w:t>For sweeps that were missing a date or some component of a date variable</w:t>
            </w:r>
            <w:r>
              <w:rPr>
                <w:rFonts w:ascii="Arial" w:hAnsi="Arial" w:cs="Arial"/>
                <w:color w:val="000000" w:themeColor="text1"/>
                <w:sz w:val="20"/>
                <w:szCs w:val="24"/>
              </w:rPr>
              <w:t xml:space="preserve"> (i.e., day or month or year)</w:t>
            </w:r>
            <w:r w:rsidRPr="009A0D65">
              <w:rPr>
                <w:rFonts w:ascii="Arial" w:hAnsi="Arial" w:cs="Arial"/>
                <w:color w:val="000000" w:themeColor="text1"/>
                <w:sz w:val="20"/>
                <w:szCs w:val="24"/>
              </w:rPr>
              <w:t>, day, month, and/ or year was assigned to the whole cohort; day was taken to be 15 in all studies, month to be 3 in the 1946 NSHD and 1958 NCDS and 4 in the 1970 BCS, and year to be that in which the sweep took place for the 1946 NSHD, 1958 NCDS, and 1970 BCS.</w:t>
            </w:r>
          </w:p>
        </w:tc>
      </w:tr>
      <w:tr w:rsidR="000B26A6" w:rsidRPr="0053629D" w:rsidTr="000B26A6">
        <w:trPr>
          <w:trHeight w:val="340"/>
        </w:trPr>
        <w:tc>
          <w:tcPr>
            <w:tcW w:w="166" w:type="pct"/>
            <w:vAlign w:val="center"/>
          </w:tcPr>
          <w:p w:rsidR="000B26A6" w:rsidRPr="009A0D65" w:rsidRDefault="000B26A6" w:rsidP="007669CB">
            <w:pPr>
              <w:pStyle w:val="ListParagraph"/>
              <w:ind w:left="0"/>
              <w:rPr>
                <w:rFonts w:ascii="Arial" w:hAnsi="Arial" w:cs="Arial"/>
                <w:color w:val="000000" w:themeColor="text1"/>
                <w:sz w:val="20"/>
                <w:szCs w:val="24"/>
              </w:rPr>
            </w:pPr>
            <w:r w:rsidRPr="009A0D65">
              <w:rPr>
                <w:rFonts w:ascii="Arial" w:hAnsi="Arial" w:cs="Arial"/>
                <w:color w:val="000000" w:themeColor="text1"/>
                <w:sz w:val="20"/>
                <w:szCs w:val="24"/>
              </w:rPr>
              <w:t>7</w:t>
            </w:r>
          </w:p>
        </w:tc>
        <w:tc>
          <w:tcPr>
            <w:tcW w:w="4834" w:type="pct"/>
          </w:tcPr>
          <w:p w:rsidR="000B26A6" w:rsidRPr="009A0D65" w:rsidRDefault="000B26A6" w:rsidP="000B26A6">
            <w:pPr>
              <w:pStyle w:val="ListParagraph"/>
              <w:ind w:left="0"/>
              <w:rPr>
                <w:rFonts w:ascii="Arial" w:hAnsi="Arial" w:cs="Arial"/>
                <w:sz w:val="20"/>
                <w:szCs w:val="20"/>
              </w:rPr>
            </w:pPr>
            <w:r w:rsidRPr="009A0D65">
              <w:rPr>
                <w:rFonts w:ascii="Arial" w:hAnsi="Arial" w:cs="Arial"/>
                <w:color w:val="000000" w:themeColor="text1"/>
                <w:sz w:val="20"/>
                <w:szCs w:val="24"/>
              </w:rPr>
              <w:t>Participants who were still missing decimal age were assigned the mean value for that cohort at that sweep.</w:t>
            </w:r>
          </w:p>
        </w:tc>
      </w:tr>
      <w:tr w:rsidR="000B26A6" w:rsidRPr="0053629D" w:rsidTr="000B26A6">
        <w:trPr>
          <w:trHeight w:val="340"/>
        </w:trPr>
        <w:tc>
          <w:tcPr>
            <w:tcW w:w="166" w:type="pct"/>
            <w:vAlign w:val="center"/>
          </w:tcPr>
          <w:p w:rsidR="000B26A6" w:rsidRDefault="000B26A6" w:rsidP="007669CB">
            <w:pPr>
              <w:pStyle w:val="ListParagraph"/>
              <w:ind w:left="0"/>
              <w:rPr>
                <w:rFonts w:ascii="Arial" w:hAnsi="Arial" w:cs="Arial"/>
                <w:sz w:val="20"/>
                <w:szCs w:val="24"/>
              </w:rPr>
            </w:pPr>
            <w:r w:rsidRPr="009A0D65">
              <w:rPr>
                <w:rFonts w:ascii="Arial" w:hAnsi="Arial" w:cs="Arial"/>
                <w:sz w:val="20"/>
                <w:szCs w:val="24"/>
              </w:rPr>
              <w:t>8</w:t>
            </w:r>
          </w:p>
          <w:p w:rsidR="000B26A6" w:rsidRDefault="000B26A6" w:rsidP="007669CB">
            <w:pPr>
              <w:pStyle w:val="ListParagraph"/>
              <w:ind w:left="0"/>
              <w:rPr>
                <w:rFonts w:ascii="Arial" w:hAnsi="Arial" w:cs="Arial"/>
                <w:sz w:val="20"/>
                <w:szCs w:val="24"/>
              </w:rPr>
            </w:pPr>
          </w:p>
          <w:p w:rsidR="000B26A6" w:rsidRPr="009A0D65" w:rsidRDefault="000B26A6" w:rsidP="007669CB">
            <w:pPr>
              <w:pStyle w:val="ListParagraph"/>
              <w:ind w:left="0"/>
              <w:rPr>
                <w:rFonts w:ascii="Arial" w:hAnsi="Arial" w:cs="Arial"/>
                <w:sz w:val="20"/>
                <w:szCs w:val="24"/>
              </w:rPr>
            </w:pPr>
          </w:p>
        </w:tc>
        <w:tc>
          <w:tcPr>
            <w:tcW w:w="4834" w:type="pct"/>
          </w:tcPr>
          <w:p w:rsidR="000B26A6" w:rsidRPr="009A0D65" w:rsidRDefault="000B26A6" w:rsidP="000B26A6">
            <w:pPr>
              <w:pStyle w:val="ListParagraph"/>
              <w:ind w:left="0"/>
              <w:rPr>
                <w:rFonts w:ascii="Arial" w:hAnsi="Arial" w:cs="Arial"/>
                <w:sz w:val="20"/>
                <w:szCs w:val="20"/>
              </w:rPr>
            </w:pPr>
            <w:r>
              <w:rPr>
                <w:rFonts w:ascii="Arial" w:hAnsi="Arial" w:cs="Arial"/>
                <w:sz w:val="20"/>
                <w:szCs w:val="24"/>
              </w:rPr>
              <w:t xml:space="preserve">In some instances, no data on whether or not a woman was pregnant at a given sweep were recorded. </w:t>
            </w:r>
            <w:r w:rsidRPr="009A0D65">
              <w:rPr>
                <w:rFonts w:ascii="Arial" w:hAnsi="Arial" w:cs="Arial"/>
                <w:sz w:val="20"/>
                <w:szCs w:val="24"/>
              </w:rPr>
              <w:t xml:space="preserve">Where it was possible to identify measurements taken while a woman was pregnant, these were </w:t>
            </w:r>
            <w:r>
              <w:rPr>
                <w:rFonts w:ascii="Arial" w:hAnsi="Arial" w:cs="Arial"/>
                <w:sz w:val="20"/>
                <w:szCs w:val="24"/>
              </w:rPr>
              <w:t xml:space="preserve">excluded </w:t>
            </w:r>
            <w:r w:rsidRPr="009A0D65">
              <w:rPr>
                <w:rFonts w:ascii="Arial" w:hAnsi="Arial" w:cs="Arial"/>
                <w:sz w:val="20"/>
                <w:szCs w:val="24"/>
              </w:rPr>
              <w:t>(1946 NSHD: 257 observations; 1958 NCDS: 684 observations; 1970 BCS: 110 observations).</w:t>
            </w:r>
          </w:p>
        </w:tc>
      </w:tr>
      <w:tr w:rsidR="000B26A6" w:rsidRPr="0053629D" w:rsidTr="000B26A6">
        <w:trPr>
          <w:trHeight w:val="340"/>
        </w:trPr>
        <w:tc>
          <w:tcPr>
            <w:tcW w:w="166" w:type="pct"/>
            <w:vAlign w:val="center"/>
          </w:tcPr>
          <w:p w:rsidR="000B26A6" w:rsidRDefault="000B26A6" w:rsidP="007669CB">
            <w:pPr>
              <w:pStyle w:val="ListParagraph"/>
              <w:ind w:left="0"/>
              <w:rPr>
                <w:rFonts w:ascii="Arial" w:hAnsi="Arial" w:cs="Arial"/>
                <w:sz w:val="20"/>
                <w:szCs w:val="24"/>
              </w:rPr>
            </w:pPr>
            <w:r>
              <w:rPr>
                <w:rFonts w:ascii="Arial" w:hAnsi="Arial" w:cs="Arial"/>
                <w:sz w:val="20"/>
                <w:szCs w:val="24"/>
              </w:rPr>
              <w:t>9</w:t>
            </w:r>
          </w:p>
          <w:p w:rsidR="000B26A6" w:rsidRDefault="000B26A6" w:rsidP="007669CB">
            <w:pPr>
              <w:pStyle w:val="ListParagraph"/>
              <w:ind w:left="0"/>
              <w:rPr>
                <w:rFonts w:ascii="Arial" w:hAnsi="Arial" w:cs="Arial"/>
                <w:sz w:val="20"/>
                <w:szCs w:val="24"/>
              </w:rPr>
            </w:pPr>
          </w:p>
          <w:p w:rsidR="000B26A6" w:rsidRDefault="000B26A6" w:rsidP="007669CB">
            <w:pPr>
              <w:pStyle w:val="ListParagraph"/>
              <w:ind w:left="0"/>
              <w:rPr>
                <w:rFonts w:ascii="Arial" w:hAnsi="Arial" w:cs="Arial"/>
                <w:sz w:val="20"/>
                <w:szCs w:val="24"/>
              </w:rPr>
            </w:pPr>
          </w:p>
          <w:p w:rsidR="000B26A6" w:rsidRDefault="000B26A6" w:rsidP="007669CB">
            <w:pPr>
              <w:pStyle w:val="ListParagraph"/>
              <w:ind w:left="0"/>
              <w:rPr>
                <w:rFonts w:ascii="Arial" w:hAnsi="Arial" w:cs="Arial"/>
                <w:sz w:val="20"/>
                <w:szCs w:val="24"/>
              </w:rPr>
            </w:pPr>
          </w:p>
          <w:p w:rsidR="000B26A6" w:rsidRPr="009A0D65" w:rsidRDefault="000B26A6" w:rsidP="007669CB">
            <w:pPr>
              <w:pStyle w:val="ListParagraph"/>
              <w:ind w:left="0"/>
              <w:rPr>
                <w:rFonts w:ascii="Arial" w:hAnsi="Arial" w:cs="Arial"/>
                <w:sz w:val="20"/>
                <w:szCs w:val="24"/>
              </w:rPr>
            </w:pPr>
          </w:p>
        </w:tc>
        <w:tc>
          <w:tcPr>
            <w:tcW w:w="4834" w:type="pct"/>
          </w:tcPr>
          <w:p w:rsidR="000B26A6" w:rsidRPr="009A0D65" w:rsidRDefault="000B26A6" w:rsidP="000B26A6">
            <w:pPr>
              <w:pStyle w:val="ListParagraph"/>
              <w:ind w:left="0"/>
              <w:rPr>
                <w:rFonts w:ascii="Arial" w:hAnsi="Arial" w:cs="Arial"/>
                <w:sz w:val="20"/>
                <w:szCs w:val="20"/>
              </w:rPr>
            </w:pPr>
            <w:r w:rsidRPr="009A0D65">
              <w:rPr>
                <w:rFonts w:ascii="Arial" w:hAnsi="Arial" w:cs="Arial"/>
                <w:sz w:val="20"/>
                <w:szCs w:val="24"/>
              </w:rPr>
              <w:t>A standardised data cleaning protocol was applied. This involved removal of biologically implausible values</w:t>
            </w:r>
            <w:r>
              <w:rPr>
                <w:rFonts w:ascii="Arial" w:hAnsi="Arial" w:cs="Arial"/>
                <w:sz w:val="20"/>
                <w:szCs w:val="24"/>
              </w:rPr>
              <w:t xml:space="preserve"> using sensible yet arbitrary cut-offs (e.g., weight &gt; 250 kg and height &gt; 3 m)</w:t>
            </w:r>
            <w:r w:rsidRPr="009A0D65">
              <w:rPr>
                <w:rFonts w:ascii="Arial" w:hAnsi="Arial" w:cs="Arial"/>
                <w:sz w:val="20"/>
                <w:szCs w:val="24"/>
              </w:rPr>
              <w:t xml:space="preserve"> and</w:t>
            </w:r>
            <w:r>
              <w:rPr>
                <w:rFonts w:ascii="Arial" w:hAnsi="Arial" w:cs="Arial"/>
                <w:sz w:val="20"/>
                <w:szCs w:val="24"/>
              </w:rPr>
              <w:t xml:space="preserve"> inspection </w:t>
            </w:r>
            <w:r w:rsidRPr="009A0D65">
              <w:rPr>
                <w:rFonts w:ascii="Arial" w:hAnsi="Arial" w:cs="Arial"/>
                <w:sz w:val="20"/>
                <w:szCs w:val="24"/>
              </w:rPr>
              <w:t xml:space="preserve">of a connected scatter plot of </w:t>
            </w:r>
            <w:r>
              <w:rPr>
                <w:rFonts w:ascii="Arial" w:hAnsi="Arial" w:cs="Arial"/>
                <w:sz w:val="20"/>
                <w:szCs w:val="24"/>
              </w:rPr>
              <w:t>serial weight or</w:t>
            </w:r>
            <w:r w:rsidRPr="009A0D65">
              <w:rPr>
                <w:rFonts w:ascii="Arial" w:hAnsi="Arial" w:cs="Arial"/>
                <w:sz w:val="20"/>
                <w:szCs w:val="24"/>
              </w:rPr>
              <w:t xml:space="preserve"> height against age </w:t>
            </w:r>
            <w:r>
              <w:rPr>
                <w:rFonts w:ascii="Arial" w:hAnsi="Arial" w:cs="Arial"/>
                <w:sz w:val="20"/>
                <w:szCs w:val="24"/>
              </w:rPr>
              <w:t xml:space="preserve">(i.e., a trajectory) </w:t>
            </w:r>
            <w:r w:rsidRPr="009A0D65">
              <w:rPr>
                <w:rFonts w:ascii="Arial" w:hAnsi="Arial" w:cs="Arial"/>
                <w:sz w:val="20"/>
                <w:szCs w:val="24"/>
              </w:rPr>
              <w:t>for persons with a measurement or change in measurement between two consecutive ages greater than five standard deviations from the sex and study stratified mean.</w:t>
            </w:r>
            <w:r>
              <w:rPr>
                <w:rFonts w:ascii="Arial" w:hAnsi="Arial" w:cs="Arial"/>
                <w:sz w:val="20"/>
                <w:szCs w:val="24"/>
              </w:rPr>
              <w:t xml:space="preserve"> </w:t>
            </w:r>
            <w:r w:rsidRPr="009A0D65">
              <w:rPr>
                <w:rFonts w:ascii="Arial" w:hAnsi="Arial" w:cs="Arial"/>
                <w:sz w:val="20"/>
                <w:szCs w:val="24"/>
              </w:rPr>
              <w:t>The total number of weight observations</w:t>
            </w:r>
            <w:r>
              <w:rPr>
                <w:rFonts w:ascii="Arial" w:hAnsi="Arial" w:cs="Arial"/>
                <w:sz w:val="20"/>
                <w:szCs w:val="24"/>
              </w:rPr>
              <w:t xml:space="preserve"> excluded by this cleaning process in </w:t>
            </w:r>
            <w:r w:rsidRPr="009A0D65">
              <w:rPr>
                <w:rFonts w:ascii="Arial" w:hAnsi="Arial" w:cs="Arial"/>
                <w:sz w:val="20"/>
                <w:szCs w:val="24"/>
              </w:rPr>
              <w:t>the 1946 NSHD, 1958 NCDS, 1970 BCS, 1991 ALSPAC, and 2001 MCS were 3, 371, 50, 10, and 90, respectively. For height, these numbers were 15, 296, 100, 24, and 16.</w:t>
            </w:r>
          </w:p>
        </w:tc>
      </w:tr>
    </w:tbl>
    <w:p w:rsidR="00A32D48" w:rsidRDefault="000B26A6" w:rsidP="000B26A6">
      <w:pPr>
        <w:pStyle w:val="ListParagraph"/>
        <w:spacing w:after="0" w:line="240" w:lineRule="auto"/>
      </w:pPr>
      <w:r>
        <w:rPr>
          <w:rFonts w:ascii="Arial" w:hAnsi="Arial" w:cs="Arial"/>
          <w:sz w:val="20"/>
          <w:szCs w:val="20"/>
        </w:rPr>
        <w:t>NSHD: Medical Research Council National Survey of Health and Development, NCDS National Child Development Study, BCS: British Cohort Study, ALSPAC: Avon Longitudinal Study of Parents and Childr</w:t>
      </w:r>
      <w:r>
        <w:rPr>
          <w:rFonts w:ascii="Arial" w:hAnsi="Arial" w:cs="Arial"/>
          <w:sz w:val="20"/>
          <w:szCs w:val="20"/>
        </w:rPr>
        <w:t>en, MCS: Millennium Cohort Study</w:t>
      </w:r>
    </w:p>
    <w:sectPr w:rsidR="00A32D48" w:rsidSect="000B26A6">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A6" w:rsidRDefault="000B26A6" w:rsidP="000B26A6">
      <w:pPr>
        <w:spacing w:after="0" w:line="240" w:lineRule="auto"/>
      </w:pPr>
      <w:r>
        <w:separator/>
      </w:r>
    </w:p>
  </w:endnote>
  <w:endnote w:type="continuationSeparator" w:id="0">
    <w:p w:rsidR="000B26A6" w:rsidRDefault="000B26A6" w:rsidP="000B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A6" w:rsidRDefault="000B26A6" w:rsidP="000B26A6">
      <w:pPr>
        <w:spacing w:after="0" w:line="240" w:lineRule="auto"/>
      </w:pPr>
      <w:r>
        <w:separator/>
      </w:r>
    </w:p>
  </w:footnote>
  <w:footnote w:type="continuationSeparator" w:id="0">
    <w:p w:rsidR="000B26A6" w:rsidRDefault="000B26A6" w:rsidP="000B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338078"/>
      <w:docPartObj>
        <w:docPartGallery w:val="Page Numbers (Top of Page)"/>
        <w:docPartUnique/>
      </w:docPartObj>
    </w:sdtPr>
    <w:sdtEndPr>
      <w:rPr>
        <w:rFonts w:ascii="Arial" w:hAnsi="Arial" w:cs="Arial"/>
        <w:noProof/>
        <w:sz w:val="20"/>
      </w:rPr>
    </w:sdtEndPr>
    <w:sdtContent>
      <w:p w:rsidR="00805E80" w:rsidRPr="00805E80" w:rsidRDefault="000B26A6">
        <w:pPr>
          <w:pStyle w:val="Header"/>
          <w:jc w:val="right"/>
          <w:rPr>
            <w:rFonts w:ascii="Arial" w:hAnsi="Arial" w:cs="Arial"/>
            <w:sz w:val="20"/>
          </w:rPr>
        </w:pPr>
        <w:r w:rsidRPr="00805E80">
          <w:rPr>
            <w:rFonts w:ascii="Arial" w:hAnsi="Arial" w:cs="Arial"/>
            <w:sz w:val="20"/>
          </w:rPr>
          <w:fldChar w:fldCharType="begin"/>
        </w:r>
        <w:r w:rsidRPr="00805E80">
          <w:rPr>
            <w:rFonts w:ascii="Arial" w:hAnsi="Arial" w:cs="Arial"/>
            <w:sz w:val="20"/>
          </w:rPr>
          <w:instrText xml:space="preserve"> PAGE   \* MERGEFORMAT </w:instrText>
        </w:r>
        <w:r w:rsidRPr="00805E80">
          <w:rPr>
            <w:rFonts w:ascii="Arial" w:hAnsi="Arial" w:cs="Arial"/>
            <w:sz w:val="20"/>
          </w:rPr>
          <w:fldChar w:fldCharType="separate"/>
        </w:r>
        <w:r>
          <w:rPr>
            <w:rFonts w:ascii="Arial" w:hAnsi="Arial" w:cs="Arial"/>
            <w:noProof/>
            <w:sz w:val="20"/>
          </w:rPr>
          <w:t>1</w:t>
        </w:r>
        <w:r w:rsidRPr="00805E80">
          <w:rPr>
            <w:rFonts w:ascii="Arial" w:hAnsi="Arial" w:cs="Arial"/>
            <w:noProof/>
            <w:sz w:val="20"/>
          </w:rPr>
          <w:fldChar w:fldCharType="end"/>
        </w:r>
      </w:p>
    </w:sdtContent>
  </w:sdt>
  <w:p w:rsidR="00263EAB" w:rsidRDefault="000B2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A6"/>
    <w:rsid w:val="000B26A6"/>
    <w:rsid w:val="00A3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0D7DE-37DA-4634-BE4B-34D2E62A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26A6"/>
    <w:pPr>
      <w:ind w:left="720"/>
      <w:contextualSpacing/>
    </w:pPr>
  </w:style>
  <w:style w:type="paragraph" w:styleId="Header">
    <w:name w:val="header"/>
    <w:basedOn w:val="Normal"/>
    <w:link w:val="HeaderChar"/>
    <w:uiPriority w:val="99"/>
    <w:unhideWhenUsed/>
    <w:rsid w:val="000B2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6A6"/>
  </w:style>
  <w:style w:type="paragraph" w:styleId="Footer">
    <w:name w:val="footer"/>
    <w:basedOn w:val="Normal"/>
    <w:link w:val="FooterChar"/>
    <w:uiPriority w:val="99"/>
    <w:unhideWhenUsed/>
    <w:rsid w:val="000B2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O'Brien</dc:creator>
  <cp:keywords/>
  <dc:description/>
  <cp:lastModifiedBy>Hugh O'Brien</cp:lastModifiedBy>
  <cp:revision>1</cp:revision>
  <dcterms:created xsi:type="dcterms:W3CDTF">2015-04-02T11:59:00Z</dcterms:created>
  <dcterms:modified xsi:type="dcterms:W3CDTF">2015-04-02T12:04:00Z</dcterms:modified>
</cp:coreProperties>
</file>