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586" w:type="dxa"/>
        <w:jc w:val="center"/>
        <w:tblInd w:w="-5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091"/>
        <w:gridCol w:w="1052"/>
        <w:gridCol w:w="2090"/>
        <w:gridCol w:w="2034"/>
        <w:gridCol w:w="2034"/>
        <w:gridCol w:w="2115"/>
        <w:gridCol w:w="2091"/>
      </w:tblGrid>
      <w:tr w:rsidR="00244A58" w:rsidRPr="000538F6" w:rsidTr="00720564">
        <w:trPr>
          <w:jc w:val="center"/>
        </w:trPr>
        <w:tc>
          <w:tcPr>
            <w:tcW w:w="14586" w:type="dxa"/>
            <w:gridSpan w:val="8"/>
            <w:tcBorders>
              <w:bottom w:val="single" w:sz="12" w:space="0" w:color="auto"/>
            </w:tcBorders>
          </w:tcPr>
          <w:p w:rsidR="00244A58" w:rsidRPr="00AE480D" w:rsidRDefault="00244A58" w:rsidP="00720564">
            <w:pPr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sz w:val="20"/>
                <w:szCs w:val="20"/>
              </w:rPr>
              <w:br w:type="page"/>
            </w:r>
            <w:r w:rsidRPr="00AE480D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  <w:r w:rsidRPr="00AE480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E480D">
              <w:rPr>
                <w:rFonts w:ascii="Arial" w:hAnsi="Arial" w:cs="Arial"/>
                <w:sz w:val="20"/>
                <w:szCs w:val="20"/>
              </w:rPr>
              <w:t xml:space="preserve"> Hazard Ratios (HRs) and 95% Confidence Intervals (CIs) for number of nevi in relation to the risk of breast cancer, E3N cohort (n=89,802)</w:t>
            </w:r>
          </w:p>
          <w:p w:rsidR="00244A58" w:rsidRPr="00AE480D" w:rsidRDefault="00244A58" w:rsidP="0072056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Number of nevi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Cases</w:t>
            </w: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Model 1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Age-adjusted HR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Model 2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Multivariable HR</w:t>
            </w:r>
            <w:r w:rsidRPr="00AE48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Model 3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Multivariable HR</w:t>
            </w:r>
            <w:r w:rsidRPr="00AE48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Model 4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Multivariable HR</w:t>
            </w:r>
            <w:r w:rsidRPr="00AE48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Model 5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Multivariable HR</w:t>
            </w:r>
            <w:r w:rsidRPr="00AE48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sz w:val="20"/>
                <w:szCs w:val="20"/>
              </w:rPr>
              <w:t>(95% CI)</w:t>
            </w:r>
          </w:p>
        </w:tc>
      </w:tr>
      <w:tr w:rsidR="00244A58" w:rsidRPr="00AE480D" w:rsidTr="00720564">
        <w:trPr>
          <w:trHeight w:val="377"/>
          <w:jc w:val="center"/>
        </w:trPr>
        <w:tc>
          <w:tcPr>
            <w:tcW w:w="1458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i/>
                <w:sz w:val="20"/>
                <w:szCs w:val="20"/>
              </w:rPr>
              <w:t>All breast cancers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9044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0.96 (0.88-1.06)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0.98 (0.89-1.07)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(0.90-1.08)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(0.91-1.09)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(0.91-1.09)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A few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33,187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37,911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1.02 (0.97-1.08)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1.01 (0.96-1.07)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1.01 (0.95-1.07)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1.01 (0.95-1.07)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(0.95-1.06)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Very many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9660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1.13 (1.04-1.23)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1.11 (1.02-1.21)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1.09 (1.00-1.19)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1.08 (0.99-1.18)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1.07 (0.98-1.17)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P</w:t>
            </w:r>
            <w:r w:rsidRPr="00AE480D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244A58" w:rsidRPr="00AE480D" w:rsidTr="00720564">
        <w:trPr>
          <w:trHeight w:val="411"/>
          <w:jc w:val="center"/>
        </w:trPr>
        <w:tc>
          <w:tcPr>
            <w:tcW w:w="1458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i/>
                <w:sz w:val="20"/>
                <w:szCs w:val="20"/>
              </w:rPr>
              <w:t>In situ breast cancers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single" w:sz="12" w:space="0" w:color="auto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91" w:type="dxa"/>
            <w:tcBorders>
              <w:top w:val="single" w:sz="12" w:space="0" w:color="auto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9044</w:t>
            </w:r>
          </w:p>
        </w:tc>
        <w:tc>
          <w:tcPr>
            <w:tcW w:w="1052" w:type="dxa"/>
            <w:tcBorders>
              <w:top w:val="single" w:sz="12" w:space="0" w:color="auto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090" w:type="dxa"/>
            <w:tcBorders>
              <w:top w:val="single" w:sz="12" w:space="0" w:color="auto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0.88 (0.67-1.17)</w:t>
            </w:r>
          </w:p>
        </w:tc>
        <w:tc>
          <w:tcPr>
            <w:tcW w:w="2034" w:type="dxa"/>
            <w:tcBorders>
              <w:top w:val="single" w:sz="12" w:space="0" w:color="auto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0.90 (0.68-1.20)</w:t>
            </w:r>
          </w:p>
        </w:tc>
        <w:tc>
          <w:tcPr>
            <w:tcW w:w="2034" w:type="dxa"/>
            <w:tcBorders>
              <w:top w:val="single" w:sz="12" w:space="0" w:color="auto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0.91 (0.69-1.21)</w:t>
            </w:r>
          </w:p>
        </w:tc>
        <w:tc>
          <w:tcPr>
            <w:tcW w:w="2115" w:type="dxa"/>
            <w:tcBorders>
              <w:top w:val="single" w:sz="12" w:space="0" w:color="auto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0.92 (0.69-1.22)</w:t>
            </w:r>
          </w:p>
        </w:tc>
        <w:tc>
          <w:tcPr>
            <w:tcW w:w="209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0.92 (0.69-1.22)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A few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33,187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37,911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1.02 (0.86-1.20)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(0.85-1.18)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(0.84-1.18)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(0.84-1.18)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(0.84-1.18)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Very many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9660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1.30 (1.03-1.65)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1.26 (0.99-1.60)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1.23 (0.97-1.57)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1.23 (0.97-1.56)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1.22 (0.96-1.54)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P</w:t>
            </w:r>
            <w:r w:rsidRPr="00AE480D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244A58" w:rsidRPr="00AE480D" w:rsidTr="00720564">
        <w:trPr>
          <w:trHeight w:val="332"/>
          <w:jc w:val="center"/>
        </w:trPr>
        <w:tc>
          <w:tcPr>
            <w:tcW w:w="14586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b/>
                <w:i/>
                <w:sz w:val="20"/>
                <w:szCs w:val="20"/>
              </w:rPr>
              <w:t>Invasive breast cancers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9044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0.97 (0.89-1.07)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0.99 (0.90-1.09)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(0.90-1.10)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(0.91-1.11)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(0.91-1.10)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A few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33,187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(Reference)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37,911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1.02 (0.96-1.09)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1.01 (0.96-1.08)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1.01 (0.95-1.07)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1.01 (0.95-1.07)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1.00 (0.94-1.07)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nil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Very many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80D">
              <w:rPr>
                <w:rFonts w:ascii="Arial" w:hAnsi="Arial" w:cs="Arial"/>
                <w:color w:val="000000"/>
                <w:sz w:val="20"/>
                <w:szCs w:val="20"/>
              </w:rPr>
              <w:t>9660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2090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1.11 (1.01-1.21)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1.09 (0.99-1.19)</w:t>
            </w:r>
          </w:p>
        </w:tc>
        <w:tc>
          <w:tcPr>
            <w:tcW w:w="2034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1.06 (0.97-1.17)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1.06 (0.97-1.17)</w:t>
            </w:r>
          </w:p>
        </w:tc>
        <w:tc>
          <w:tcPr>
            <w:tcW w:w="2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1.05 (0.95-1.15)</w:t>
            </w:r>
          </w:p>
        </w:tc>
      </w:tr>
      <w:tr w:rsidR="00244A58" w:rsidRPr="00AE480D" w:rsidTr="00720564">
        <w:trPr>
          <w:jc w:val="center"/>
        </w:trPr>
        <w:tc>
          <w:tcPr>
            <w:tcW w:w="2079" w:type="dxa"/>
            <w:tcBorders>
              <w:top w:val="nil"/>
              <w:bottom w:val="single" w:sz="12" w:space="0" w:color="auto"/>
            </w:tcBorders>
          </w:tcPr>
          <w:p w:rsidR="00244A58" w:rsidRPr="00AE480D" w:rsidRDefault="00244A58" w:rsidP="00720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P</w:t>
            </w:r>
            <w:r w:rsidRPr="00AE480D">
              <w:rPr>
                <w:rFonts w:ascii="Arial" w:hAnsi="Arial" w:cs="Arial"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091" w:type="dxa"/>
            <w:tcBorders>
              <w:top w:val="nil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034" w:type="dxa"/>
            <w:tcBorders>
              <w:top w:val="nil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2034" w:type="dxa"/>
            <w:tcBorders>
              <w:top w:val="nil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115" w:type="dxa"/>
            <w:tcBorders>
              <w:top w:val="nil"/>
              <w:bottom w:val="single" w:sz="12" w:space="0" w:color="auto"/>
            </w:tcBorders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209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44A58" w:rsidRPr="00AE480D" w:rsidRDefault="00244A58" w:rsidP="0072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80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</w:tbl>
    <w:p w:rsidR="00244A58" w:rsidRPr="00C80EA7" w:rsidRDefault="00244A58" w:rsidP="00244A58">
      <w:pPr>
        <w:ind w:left="-630" w:right="-900"/>
        <w:rPr>
          <w:rFonts w:ascii="Arial" w:hAnsi="Arial" w:cs="Arial"/>
          <w:sz w:val="10"/>
          <w:szCs w:val="10"/>
          <w:lang w:val="en-US"/>
        </w:rPr>
      </w:pPr>
    </w:p>
    <w:p w:rsidR="00244A58" w:rsidRPr="00D42CFA" w:rsidRDefault="00244A58" w:rsidP="00244A58">
      <w:pPr>
        <w:tabs>
          <w:tab w:val="left" w:pos="12960"/>
        </w:tabs>
        <w:ind w:left="-284" w:right="-173"/>
        <w:rPr>
          <w:rFonts w:ascii="Arial" w:hAnsi="Arial" w:cs="Arial"/>
          <w:sz w:val="18"/>
          <w:szCs w:val="18"/>
          <w:lang w:val="en-US"/>
        </w:rPr>
      </w:pPr>
      <w:proofErr w:type="gramStart"/>
      <w:r w:rsidRPr="00D42CFA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r w:rsidRPr="00D42CFA">
        <w:rPr>
          <w:rFonts w:ascii="Arial" w:hAnsi="Arial" w:cs="Arial"/>
          <w:sz w:val="18"/>
          <w:szCs w:val="18"/>
          <w:lang w:val="en-US"/>
        </w:rPr>
        <w:t>Adjusted</w:t>
      </w:r>
      <w:proofErr w:type="gramEnd"/>
      <w:r w:rsidRPr="00D42CFA">
        <w:rPr>
          <w:rFonts w:ascii="Arial" w:hAnsi="Arial" w:cs="Arial"/>
          <w:sz w:val="18"/>
          <w:szCs w:val="18"/>
          <w:lang w:val="en-US"/>
        </w:rPr>
        <w:t xml:space="preserve"> for education, menopausal status, age at menopause (in postmenopausal women), use of menopausal hormone therapy (in postmenopausal women), use of premenopausal progestagens and stratified according to year of birth in 5-year categories</w:t>
      </w:r>
    </w:p>
    <w:p w:rsidR="00244A58" w:rsidRPr="00D42CFA" w:rsidRDefault="00244A58" w:rsidP="00244A58">
      <w:pPr>
        <w:tabs>
          <w:tab w:val="left" w:pos="12960"/>
        </w:tabs>
        <w:ind w:left="-284" w:right="-173"/>
        <w:rPr>
          <w:rFonts w:ascii="Arial" w:hAnsi="Arial" w:cs="Arial"/>
          <w:sz w:val="18"/>
          <w:szCs w:val="18"/>
          <w:lang w:val="en-US"/>
        </w:rPr>
      </w:pPr>
      <w:proofErr w:type="gramStart"/>
      <w:r w:rsidRPr="00D42CFA">
        <w:rPr>
          <w:rFonts w:ascii="Arial" w:hAnsi="Arial" w:cs="Arial"/>
          <w:sz w:val="18"/>
          <w:szCs w:val="18"/>
          <w:vertAlign w:val="superscript"/>
          <w:lang w:val="en-US"/>
        </w:rPr>
        <w:t>b</w:t>
      </w:r>
      <w:r w:rsidRPr="00D42CFA">
        <w:rPr>
          <w:rFonts w:ascii="Arial" w:hAnsi="Arial" w:cs="Arial"/>
          <w:sz w:val="18"/>
          <w:szCs w:val="18"/>
          <w:lang w:val="en-US"/>
        </w:rPr>
        <w:t>Additionally</w:t>
      </w:r>
      <w:proofErr w:type="gramEnd"/>
      <w:r w:rsidRPr="00D42CFA">
        <w:rPr>
          <w:rFonts w:ascii="Arial" w:hAnsi="Arial" w:cs="Arial"/>
          <w:sz w:val="18"/>
          <w:szCs w:val="18"/>
          <w:lang w:val="en-US"/>
        </w:rPr>
        <w:t xml:space="preserve"> adjusted for personal history of benign breast disease</w:t>
      </w:r>
    </w:p>
    <w:p w:rsidR="00244A58" w:rsidRDefault="00244A58" w:rsidP="00244A58">
      <w:pPr>
        <w:tabs>
          <w:tab w:val="left" w:pos="12960"/>
        </w:tabs>
        <w:ind w:left="-284" w:right="-173"/>
        <w:rPr>
          <w:rFonts w:ascii="Arial" w:hAnsi="Arial" w:cs="Arial"/>
          <w:sz w:val="18"/>
          <w:szCs w:val="18"/>
          <w:lang w:val="en-US"/>
        </w:rPr>
      </w:pPr>
      <w:proofErr w:type="gramStart"/>
      <w:r w:rsidRPr="00D42CFA">
        <w:rPr>
          <w:rFonts w:ascii="Arial" w:hAnsi="Arial" w:cs="Arial"/>
          <w:sz w:val="18"/>
          <w:szCs w:val="18"/>
          <w:vertAlign w:val="superscript"/>
          <w:lang w:val="en-US"/>
        </w:rPr>
        <w:t>c</w:t>
      </w:r>
      <w:r w:rsidRPr="00D42CFA">
        <w:rPr>
          <w:rFonts w:ascii="Arial" w:hAnsi="Arial" w:cs="Arial"/>
          <w:sz w:val="18"/>
          <w:szCs w:val="18"/>
          <w:lang w:val="en-US"/>
        </w:rPr>
        <w:t>Additionally</w:t>
      </w:r>
      <w:proofErr w:type="gramEnd"/>
      <w:r w:rsidRPr="00D42CFA">
        <w:rPr>
          <w:rFonts w:ascii="Arial" w:hAnsi="Arial" w:cs="Arial"/>
          <w:sz w:val="18"/>
          <w:szCs w:val="18"/>
          <w:lang w:val="en-US"/>
        </w:rPr>
        <w:t xml:space="preserve"> adjusted for family history of breast cancer </w:t>
      </w:r>
    </w:p>
    <w:p w:rsidR="00244A58" w:rsidRDefault="00244A58" w:rsidP="00244A58">
      <w:pPr>
        <w:tabs>
          <w:tab w:val="left" w:pos="12960"/>
        </w:tabs>
        <w:ind w:left="-284" w:right="-173"/>
        <w:rPr>
          <w:rFonts w:ascii="Arial" w:hAnsi="Arial" w:cs="Arial"/>
          <w:sz w:val="18"/>
          <w:szCs w:val="18"/>
          <w:lang w:val="en-US"/>
        </w:rPr>
      </w:pPr>
      <w:proofErr w:type="gramStart"/>
      <w:r w:rsidRPr="00D42CFA">
        <w:rPr>
          <w:rFonts w:ascii="Arial" w:hAnsi="Arial" w:cs="Arial"/>
          <w:sz w:val="18"/>
          <w:szCs w:val="18"/>
          <w:vertAlign w:val="superscript"/>
          <w:lang w:val="en-US"/>
        </w:rPr>
        <w:t>d</w:t>
      </w:r>
      <w:r w:rsidRPr="00D42CFA">
        <w:rPr>
          <w:rFonts w:ascii="Arial" w:hAnsi="Arial" w:cs="Arial"/>
          <w:sz w:val="18"/>
          <w:szCs w:val="18"/>
          <w:lang w:val="en-US"/>
        </w:rPr>
        <w:t>Additionally</w:t>
      </w:r>
      <w:proofErr w:type="gramEnd"/>
      <w:r w:rsidRPr="00D42CFA">
        <w:rPr>
          <w:rFonts w:ascii="Arial" w:hAnsi="Arial" w:cs="Arial"/>
          <w:sz w:val="18"/>
          <w:szCs w:val="18"/>
          <w:lang w:val="en-US"/>
        </w:rPr>
        <w:t xml:space="preserve"> adjusted for BMI, height, physical activity, age at menarche, age at first full-term pregnancy, parity, breastfeeding, use of oral contraceptives, history of mammographic exam, UV dose in county of birth and UV dose in county of residence at inclusion</w:t>
      </w:r>
    </w:p>
    <w:p w:rsidR="00244A58" w:rsidRDefault="00244A58" w:rsidP="00244A58">
      <w:pPr>
        <w:tabs>
          <w:tab w:val="left" w:pos="12960"/>
        </w:tabs>
        <w:ind w:left="-284" w:right="-173"/>
        <w:rPr>
          <w:rFonts w:ascii="Arial" w:hAnsi="Arial" w:cs="Arial"/>
          <w:sz w:val="18"/>
          <w:szCs w:val="18"/>
          <w:lang w:val="en-US"/>
        </w:rPr>
      </w:pPr>
    </w:p>
    <w:p w:rsidR="00B0660A" w:rsidRPr="00244A58" w:rsidRDefault="00B0660A">
      <w:pPr>
        <w:rPr>
          <w:lang w:val="en-US"/>
        </w:rPr>
      </w:pPr>
      <w:bookmarkStart w:id="0" w:name="_GoBack"/>
      <w:bookmarkEnd w:id="0"/>
    </w:p>
    <w:sectPr w:rsidR="00B0660A" w:rsidRPr="00244A58" w:rsidSect="00244A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8"/>
    <w:rsid w:val="00244A58"/>
    <w:rsid w:val="00B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A5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A5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Kvaskoff</dc:creator>
  <cp:lastModifiedBy>Marina Kvaskoff</cp:lastModifiedBy>
  <cp:revision>1</cp:revision>
  <dcterms:created xsi:type="dcterms:W3CDTF">2014-04-24T18:36:00Z</dcterms:created>
  <dcterms:modified xsi:type="dcterms:W3CDTF">2014-04-24T18:36:00Z</dcterms:modified>
</cp:coreProperties>
</file>