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82A" w:rsidRPr="004D107E" w:rsidRDefault="00955779" w:rsidP="0095682A">
      <w:pPr>
        <w:pStyle w:val="SOMContent"/>
        <w:spacing w:line="480" w:lineRule="auto"/>
        <w:rPr>
          <w:b/>
          <w:sz w:val="22"/>
          <w:szCs w:val="22"/>
        </w:rPr>
      </w:pPr>
      <w:bookmarkStart w:id="0" w:name="_GoBack"/>
      <w:bookmarkEnd w:id="0"/>
      <w:r>
        <w:rPr>
          <w:b/>
          <w:sz w:val="22"/>
          <w:szCs w:val="22"/>
        </w:rPr>
        <w:t xml:space="preserve">S1 </w:t>
      </w:r>
      <w:r w:rsidR="0095682A" w:rsidRPr="00A11C65">
        <w:rPr>
          <w:b/>
          <w:sz w:val="22"/>
          <w:szCs w:val="22"/>
        </w:rPr>
        <w:t>Table. Sources reporting law-enforcement related deaths in the United States.</w:t>
      </w:r>
    </w:p>
    <w:tbl>
      <w:tblPr>
        <w:tblStyle w:val="TableGrid"/>
        <w:tblW w:w="0" w:type="auto"/>
        <w:tblLook w:val="04A0" w:firstRow="1" w:lastRow="0" w:firstColumn="1" w:lastColumn="0" w:noHBand="0" w:noVBand="1"/>
      </w:tblPr>
      <w:tblGrid>
        <w:gridCol w:w="2088"/>
        <w:gridCol w:w="9216"/>
      </w:tblGrid>
      <w:tr w:rsidR="0095682A" w:rsidRPr="004D107E" w:rsidTr="00A11C65">
        <w:tc>
          <w:tcPr>
            <w:tcW w:w="2088" w:type="dxa"/>
          </w:tcPr>
          <w:p w:rsidR="0095682A" w:rsidRPr="004D107E" w:rsidRDefault="0095682A" w:rsidP="0095682A">
            <w:pPr>
              <w:rPr>
                <w:b/>
                <w:szCs w:val="20"/>
              </w:rPr>
            </w:pPr>
            <w:r w:rsidRPr="004D107E">
              <w:rPr>
                <w:b/>
                <w:szCs w:val="20"/>
              </w:rPr>
              <w:t>Type of source</w:t>
            </w:r>
          </w:p>
        </w:tc>
        <w:tc>
          <w:tcPr>
            <w:tcW w:w="9216" w:type="dxa"/>
          </w:tcPr>
          <w:p w:rsidR="0095682A" w:rsidRPr="004D107E" w:rsidRDefault="0095682A" w:rsidP="00FF6532">
            <w:pPr>
              <w:rPr>
                <w:b/>
                <w:szCs w:val="20"/>
              </w:rPr>
            </w:pPr>
            <w:r w:rsidRPr="004D107E">
              <w:rPr>
                <w:b/>
                <w:szCs w:val="20"/>
              </w:rPr>
              <w:t>Name and website</w:t>
            </w:r>
            <w:r w:rsidR="00FF6532" w:rsidRPr="00A11C65">
              <w:rPr>
                <w:b/>
                <w:szCs w:val="20"/>
                <w:vertAlign w:val="superscript"/>
              </w:rPr>
              <w:t>a</w:t>
            </w:r>
            <w:r w:rsidR="00FF6532" w:rsidRPr="004D107E">
              <w:rPr>
                <w:b/>
                <w:szCs w:val="20"/>
              </w:rPr>
              <w:t xml:space="preserve"> </w:t>
            </w:r>
          </w:p>
        </w:tc>
      </w:tr>
      <w:tr w:rsidR="000C3078" w:rsidRPr="004D107E" w:rsidTr="00A5216F">
        <w:tc>
          <w:tcPr>
            <w:tcW w:w="2088" w:type="dxa"/>
            <w:vMerge w:val="restart"/>
          </w:tcPr>
          <w:p w:rsidR="000C3078" w:rsidRPr="004D107E" w:rsidRDefault="000C3078">
            <w:pPr>
              <w:rPr>
                <w:b/>
                <w:szCs w:val="20"/>
              </w:rPr>
            </w:pPr>
            <w:r w:rsidRPr="004D107E">
              <w:rPr>
                <w:b/>
                <w:szCs w:val="20"/>
              </w:rPr>
              <w:t>1) News agency</w:t>
            </w:r>
          </w:p>
        </w:tc>
        <w:tc>
          <w:tcPr>
            <w:tcW w:w="9216" w:type="dxa"/>
          </w:tcPr>
          <w:p w:rsidR="000C3078" w:rsidRPr="00A11C65" w:rsidRDefault="000C3078">
            <w:pPr>
              <w:rPr>
                <w:i/>
                <w:szCs w:val="20"/>
              </w:rPr>
            </w:pPr>
            <w:r w:rsidRPr="00FC0E58">
              <w:rPr>
                <w:i/>
                <w:szCs w:val="20"/>
              </w:rPr>
              <w:t>The Guardian:</w:t>
            </w:r>
            <w:r w:rsidRPr="00A11C65">
              <w:rPr>
                <w:szCs w:val="20"/>
              </w:rPr>
              <w:t xml:space="preserve"> </w:t>
            </w:r>
            <w:r w:rsidRPr="00A11C65">
              <w:rPr>
                <w:i/>
                <w:szCs w:val="20"/>
              </w:rPr>
              <w:t>The Counted</w:t>
            </w:r>
            <w:r w:rsidRPr="004D107E">
              <w:rPr>
                <w:i/>
                <w:szCs w:val="20"/>
              </w:rPr>
              <w:t>: people killed by police in the US</w:t>
            </w:r>
          </w:p>
          <w:p w:rsidR="000C3078" w:rsidRPr="004D107E" w:rsidRDefault="000C3078" w:rsidP="00DB16C4">
            <w:pPr>
              <w:rPr>
                <w:szCs w:val="20"/>
              </w:rPr>
            </w:pPr>
            <w:r w:rsidRPr="004D107E">
              <w:rPr>
                <w:szCs w:val="20"/>
              </w:rPr>
              <w:t>--</w:t>
            </w:r>
            <w:r w:rsidRPr="00A11C65">
              <w:rPr>
                <w:szCs w:val="20"/>
              </w:rPr>
              <w:t xml:space="preserve"> website:</w:t>
            </w:r>
            <w:r w:rsidRPr="004D107E">
              <w:rPr>
                <w:szCs w:val="20"/>
              </w:rPr>
              <w:t xml:space="preserve"> </w:t>
            </w:r>
            <w:hyperlink r:id="rId7" w:history="1">
              <w:r w:rsidRPr="004D107E">
                <w:rPr>
                  <w:rStyle w:val="Hyperlink"/>
                  <w:szCs w:val="20"/>
                </w:rPr>
                <w:t>http://www.theguardian.com/us-news/ng-interactive/2015/jun/01/the-counted-police-killings-us-database#</w:t>
              </w:r>
            </w:hyperlink>
          </w:p>
          <w:p w:rsidR="00A5216F" w:rsidRDefault="000C3078" w:rsidP="00A5216F">
            <w:pPr>
              <w:rPr>
                <w:szCs w:val="20"/>
              </w:rPr>
            </w:pPr>
            <w:r w:rsidRPr="004D107E">
              <w:rPr>
                <w:szCs w:val="20"/>
              </w:rPr>
              <w:t>-- Features real-time</w:t>
            </w:r>
            <w:r w:rsidR="00A5216F">
              <w:rPr>
                <w:szCs w:val="20"/>
              </w:rPr>
              <w:t xml:space="preserve"> </w:t>
            </w:r>
            <w:r w:rsidRPr="004D107E">
              <w:rPr>
                <w:szCs w:val="20"/>
              </w:rPr>
              <w:t xml:space="preserve">and detailed data, </w:t>
            </w:r>
            <w:r w:rsidRPr="00A11C65">
              <w:rPr>
                <w:szCs w:val="20"/>
              </w:rPr>
              <w:t xml:space="preserve">inclusive of any cause of death due to police action (e.g., gun, Taser, physical force, etc), </w:t>
            </w:r>
            <w:r w:rsidRPr="004D107E">
              <w:rPr>
                <w:szCs w:val="20"/>
              </w:rPr>
              <w:t>starting as of January 1, 2015 (N as of September 15, 2015: 823 deaths)</w:t>
            </w:r>
            <w:r w:rsidR="00A5216F">
              <w:rPr>
                <w:szCs w:val="20"/>
              </w:rPr>
              <w:t xml:space="preserve">. A description of how </w:t>
            </w:r>
            <w:r w:rsidR="005D4B0F">
              <w:rPr>
                <w:szCs w:val="20"/>
              </w:rPr>
              <w:t xml:space="preserve">and why </w:t>
            </w:r>
            <w:r w:rsidR="00A5216F">
              <w:rPr>
                <w:szCs w:val="20"/>
              </w:rPr>
              <w:t xml:space="preserve">the website collects data is available at: </w:t>
            </w:r>
            <w:hyperlink r:id="rId8" w:history="1">
              <w:r w:rsidR="00A5216F" w:rsidRPr="000F25A6">
                <w:rPr>
                  <w:rStyle w:val="Hyperlink"/>
                  <w:szCs w:val="20"/>
                </w:rPr>
                <w:t>http://www.theguardian.com/us-news/ng-interactive/2015/jun/01/about-the-counted</w:t>
              </w:r>
            </w:hyperlink>
          </w:p>
          <w:p w:rsidR="00A5216F" w:rsidRDefault="00A5216F" w:rsidP="00A5216F">
            <w:pPr>
              <w:rPr>
                <w:szCs w:val="20"/>
              </w:rPr>
            </w:pPr>
          </w:p>
          <w:p w:rsidR="00A5216F" w:rsidRDefault="00A5216F" w:rsidP="00A5216F">
            <w:pPr>
              <w:rPr>
                <w:szCs w:val="20"/>
              </w:rPr>
            </w:pPr>
            <w:r>
              <w:rPr>
                <w:szCs w:val="20"/>
              </w:rPr>
              <w:t>Relevant information as to its sources is as follows:</w:t>
            </w:r>
          </w:p>
          <w:p w:rsidR="00A5216F" w:rsidRDefault="00A5216F" w:rsidP="00FC0E58">
            <w:r>
              <w:rPr>
                <w:szCs w:val="20"/>
              </w:rPr>
              <w:t>-- “</w:t>
            </w:r>
            <w:r>
              <w:t>The database will combine Guardian reporting with verified crowdsourced information to build a more comprehensive record of such fatalities. The Counted is the most thorough public accounting for deadly use of force in the US, but it will operate as an imperfect work in progress – and will be updated by Guardian reporters and interactive journalists as frequently and as promptly as possible.”</w:t>
            </w:r>
          </w:p>
          <w:p w:rsidR="00A5216F" w:rsidRDefault="00A5216F" w:rsidP="00FC0E58">
            <w:r>
              <w:t xml:space="preserve">-- “… we count with traditional reporting on police reports and witness statements, by monitoring regional news outlets, research groups and open-source reporting projects such as the websites </w:t>
            </w:r>
            <w:hyperlink r:id="rId9" w:tgtFrame="_blank" w:history="1">
              <w:r>
                <w:rPr>
                  <w:rStyle w:val="Hyperlink"/>
                </w:rPr>
                <w:t>Fatal Encounters</w:t>
              </w:r>
            </w:hyperlink>
            <w:r>
              <w:t xml:space="preserve"> and </w:t>
            </w:r>
            <w:hyperlink r:id="rId10" w:tgtFrame="_blank" w:history="1">
              <w:r>
                <w:rPr>
                  <w:rStyle w:val="Hyperlink"/>
                </w:rPr>
                <w:t>Killed by Police</w:t>
              </w:r>
            </w:hyperlink>
            <w:r>
              <w:t xml:space="preserve">. But our intention is to progress to a verified crowdsourced system … We welcome all contributions of information that may improve the quality of our data. The Counted is a comprehensive and ongoing process of verification, as we continue to work from an inaccurate standard toward a more perfect standard.”  </w:t>
            </w:r>
          </w:p>
          <w:p w:rsidR="00A5216F" w:rsidRDefault="00A5216F" w:rsidP="00A5216F"/>
          <w:p w:rsidR="005D4B0F" w:rsidRDefault="005D4B0F" w:rsidP="00FC0E58">
            <w:pPr>
              <w:rPr>
                <w:szCs w:val="20"/>
              </w:rPr>
            </w:pPr>
            <w:r>
              <w:rPr>
                <w:szCs w:val="20"/>
              </w:rPr>
              <w:t xml:space="preserve">The rationale provided for the creation of this website is the lack of reliable and official US data on the number of police killings. As stated by the website: </w:t>
            </w:r>
          </w:p>
          <w:p w:rsidR="005D4B0F" w:rsidRDefault="005D4B0F" w:rsidP="00FC0E58">
            <w:pPr>
              <w:rPr>
                <w:szCs w:val="20"/>
              </w:rPr>
            </w:pPr>
          </w:p>
          <w:p w:rsidR="005D4B0F" w:rsidRDefault="005D4B0F" w:rsidP="00FC0E58">
            <w:r>
              <w:rPr>
                <w:szCs w:val="20"/>
              </w:rPr>
              <w:t>“</w:t>
            </w:r>
            <w:r>
              <w:t>The FBI runs a voluntary program through which law enforcement agencies may or may not choose to submit their annual count of “justifiable homicides”, which it defines as “the killing of a felon in the line of duty”. This system is arguably less valuable than having no system at all: fluctuations in the number of agencies choosing to report figures, plus faulty reporting by agencies that do report, have resulted in partially informed news coverage pointing misleadingly to trends that may or may not exist … The FBI system counted 461 justifiable homicides by law enforcement in 2013, the latest year for which data is available. Crowdsourced counts found almost 300 additional fatalities during that year. The Counted, upon its launch on June 1, 2015, had already found close to that number of killings in just the first five months of this year.”</w:t>
            </w:r>
          </w:p>
          <w:p w:rsidR="005D4B0F" w:rsidRDefault="005D4B0F" w:rsidP="00A5216F">
            <w:pPr>
              <w:rPr>
                <w:szCs w:val="20"/>
              </w:rPr>
            </w:pPr>
          </w:p>
          <w:p w:rsidR="00A5216F" w:rsidRDefault="00A5216F" w:rsidP="00A5216F">
            <w:pPr>
              <w:rPr>
                <w:szCs w:val="20"/>
              </w:rPr>
            </w:pPr>
            <w:r>
              <w:rPr>
                <w:szCs w:val="20"/>
              </w:rPr>
              <w:t xml:space="preserve">The operation of this website may be only for 2015, noting that </w:t>
            </w:r>
            <w:r w:rsidRPr="00FC0E58">
              <w:rPr>
                <w:i/>
                <w:szCs w:val="20"/>
              </w:rPr>
              <w:t>The Guardian</w:t>
            </w:r>
            <w:r>
              <w:rPr>
                <w:szCs w:val="20"/>
              </w:rPr>
              <w:t xml:space="preserve"> states:</w:t>
            </w:r>
          </w:p>
          <w:p w:rsidR="000C3078" w:rsidRPr="004D107E" w:rsidRDefault="00A5216F" w:rsidP="00A5216F">
            <w:pPr>
              <w:rPr>
                <w:b/>
                <w:szCs w:val="20"/>
              </w:rPr>
            </w:pPr>
            <w:r>
              <w:rPr>
                <w:szCs w:val="20"/>
              </w:rPr>
              <w:t>“</w:t>
            </w:r>
            <w:r>
              <w:t xml:space="preserve">At present, the Guardian is collecting data on those killed by police specifically in 2015.” (see: </w:t>
            </w:r>
            <w:hyperlink r:id="rId11" w:history="1">
              <w:r w:rsidRPr="000F25A6">
                <w:rPr>
                  <w:rStyle w:val="Hyperlink"/>
                </w:rPr>
                <w:t>http://www.theguardian.com/us-news/ng-interactive/2015/jun/01/about-the-counted</w:t>
              </w:r>
            </w:hyperlink>
            <w:r>
              <w:t>).</w:t>
            </w:r>
            <w:r w:rsidR="000C3078" w:rsidRPr="004D107E">
              <w:rPr>
                <w:b/>
                <w:i/>
                <w:szCs w:val="20"/>
              </w:rPr>
              <w:t xml:space="preserve"> </w:t>
            </w:r>
          </w:p>
        </w:tc>
      </w:tr>
      <w:tr w:rsidR="000C3078" w:rsidRPr="004D107E" w:rsidTr="00A5216F">
        <w:tc>
          <w:tcPr>
            <w:tcW w:w="2088" w:type="dxa"/>
            <w:vMerge/>
          </w:tcPr>
          <w:p w:rsidR="000C3078" w:rsidRPr="004D107E" w:rsidRDefault="000C3078">
            <w:pPr>
              <w:rPr>
                <w:b/>
                <w:szCs w:val="20"/>
              </w:rPr>
            </w:pPr>
          </w:p>
        </w:tc>
        <w:tc>
          <w:tcPr>
            <w:tcW w:w="9216" w:type="dxa"/>
          </w:tcPr>
          <w:p w:rsidR="000C3078" w:rsidRPr="00A11C65" w:rsidRDefault="000C3078">
            <w:pPr>
              <w:rPr>
                <w:szCs w:val="20"/>
              </w:rPr>
            </w:pPr>
            <w:r w:rsidRPr="00FC0E58">
              <w:rPr>
                <w:i/>
                <w:szCs w:val="20"/>
              </w:rPr>
              <w:t>The Washington Post</w:t>
            </w:r>
            <w:r w:rsidRPr="004D107E">
              <w:rPr>
                <w:szCs w:val="20"/>
              </w:rPr>
              <w:t xml:space="preserve"> (episodic reports)</w:t>
            </w:r>
          </w:p>
          <w:p w:rsidR="000C3078" w:rsidRPr="00A11C65" w:rsidRDefault="000C3078">
            <w:pPr>
              <w:rPr>
                <w:rStyle w:val="Hyperlink"/>
              </w:rPr>
            </w:pPr>
            <w:r w:rsidRPr="00A11C65">
              <w:t xml:space="preserve"> -- website: </w:t>
            </w:r>
            <w:hyperlink r:id="rId12" w:history="1">
              <w:r w:rsidRPr="00A11C65">
                <w:rPr>
                  <w:rStyle w:val="Hyperlink"/>
                </w:rPr>
                <w:t>http://www.washingtonpost.com/graphics/national/police-shootings/</w:t>
              </w:r>
            </w:hyperlink>
          </w:p>
          <w:p w:rsidR="000C3078" w:rsidRPr="00A11C65" w:rsidRDefault="000C3078" w:rsidP="000408E8">
            <w:pPr>
              <w:rPr>
                <w:szCs w:val="20"/>
              </w:rPr>
            </w:pPr>
            <w:r w:rsidRPr="00A11C65">
              <w:rPr>
                <w:szCs w:val="20"/>
              </w:rPr>
              <w:t xml:space="preserve"> -- Features real-time data for “</w:t>
            </w:r>
            <w:r w:rsidRPr="004D107E">
              <w:t xml:space="preserve">only shootings in which a police officer, while on duty, shot and killed a civilian,” starting as of </w:t>
            </w:r>
            <w:r w:rsidRPr="00A11C65">
              <w:t>January</w:t>
            </w:r>
            <w:r w:rsidRPr="004D107E">
              <w:t xml:space="preserve"> 1, 2015 (N as of </w:t>
            </w:r>
            <w:r w:rsidR="00060C98">
              <w:t xml:space="preserve">October </w:t>
            </w:r>
            <w:r w:rsidR="000408E8">
              <w:t>6</w:t>
            </w:r>
            <w:r w:rsidR="00060C98">
              <w:t>, 2</w:t>
            </w:r>
            <w:r w:rsidRPr="004D107E">
              <w:t xml:space="preserve">015: </w:t>
            </w:r>
            <w:r w:rsidR="00060C98">
              <w:t>7</w:t>
            </w:r>
            <w:r w:rsidR="000408E8">
              <w:t>56</w:t>
            </w:r>
            <w:r w:rsidR="00060C98" w:rsidRPr="004D107E">
              <w:t xml:space="preserve"> </w:t>
            </w:r>
            <w:r w:rsidRPr="004D107E">
              <w:t>deaths).</w:t>
            </w:r>
            <w:r w:rsidRPr="00A11C65">
              <w:rPr>
                <w:szCs w:val="20"/>
              </w:rPr>
              <w:t xml:space="preserve"> </w:t>
            </w:r>
          </w:p>
        </w:tc>
      </w:tr>
      <w:tr w:rsidR="000C3078" w:rsidRPr="004D107E" w:rsidTr="00A5216F">
        <w:tc>
          <w:tcPr>
            <w:tcW w:w="2088" w:type="dxa"/>
            <w:vMerge w:val="restart"/>
          </w:tcPr>
          <w:p w:rsidR="000C3078" w:rsidRPr="004D107E" w:rsidRDefault="000C3078">
            <w:pPr>
              <w:rPr>
                <w:b/>
                <w:szCs w:val="20"/>
              </w:rPr>
            </w:pPr>
            <w:r w:rsidRPr="004D107E">
              <w:rPr>
                <w:b/>
                <w:szCs w:val="20"/>
              </w:rPr>
              <w:t>2) Advocacy group</w:t>
            </w:r>
          </w:p>
        </w:tc>
        <w:tc>
          <w:tcPr>
            <w:tcW w:w="9216" w:type="dxa"/>
          </w:tcPr>
          <w:p w:rsidR="000C3078" w:rsidRPr="004D107E" w:rsidRDefault="000C3078">
            <w:pPr>
              <w:rPr>
                <w:szCs w:val="20"/>
              </w:rPr>
            </w:pPr>
            <w:r w:rsidRPr="004D107E">
              <w:rPr>
                <w:szCs w:val="20"/>
              </w:rPr>
              <w:t>Fatal Encounters</w:t>
            </w:r>
          </w:p>
          <w:p w:rsidR="000C3078" w:rsidRPr="004D107E" w:rsidRDefault="000C3078">
            <w:pPr>
              <w:rPr>
                <w:szCs w:val="20"/>
              </w:rPr>
            </w:pPr>
            <w:r w:rsidRPr="004D107E">
              <w:rPr>
                <w:szCs w:val="20"/>
              </w:rPr>
              <w:t xml:space="preserve">-- website: </w:t>
            </w:r>
            <w:hyperlink r:id="rId13" w:history="1">
              <w:r w:rsidRPr="004D107E">
                <w:rPr>
                  <w:rStyle w:val="Hyperlink"/>
                  <w:szCs w:val="20"/>
                </w:rPr>
                <w:t>http://www.fatalencounters.org/</w:t>
              </w:r>
            </w:hyperlink>
          </w:p>
          <w:p w:rsidR="000C3078" w:rsidRPr="00A11C65" w:rsidRDefault="000C3078">
            <w:pPr>
              <w:rPr>
                <w:szCs w:val="20"/>
              </w:rPr>
            </w:pPr>
            <w:r w:rsidRPr="004D107E">
              <w:rPr>
                <w:szCs w:val="20"/>
              </w:rPr>
              <w:t xml:space="preserve">-- According to the website, </w:t>
            </w:r>
            <w:r w:rsidRPr="00A11C65">
              <w:rPr>
                <w:b/>
                <w:szCs w:val="20"/>
              </w:rPr>
              <w:t>“</w:t>
            </w:r>
            <w:r w:rsidRPr="00A11C65">
              <w:rPr>
                <w:rStyle w:val="Strong"/>
                <w:b w:val="0"/>
              </w:rPr>
              <w:t>This database contains records of people who’ve been killed through interactions with law enforcement since Jan. 1, 2000. At about 40 percent of its eventual size, it’s far from comprehensive. We anticipate completion of the national database by August 2017.”</w:t>
            </w:r>
          </w:p>
        </w:tc>
      </w:tr>
      <w:tr w:rsidR="000C3078" w:rsidRPr="004D107E" w:rsidTr="0095682A">
        <w:tc>
          <w:tcPr>
            <w:tcW w:w="2088" w:type="dxa"/>
            <w:vMerge/>
          </w:tcPr>
          <w:p w:rsidR="000C3078" w:rsidRPr="004D107E" w:rsidRDefault="000C3078">
            <w:pPr>
              <w:rPr>
                <w:b/>
                <w:szCs w:val="20"/>
              </w:rPr>
            </w:pPr>
          </w:p>
        </w:tc>
        <w:tc>
          <w:tcPr>
            <w:tcW w:w="9216" w:type="dxa"/>
          </w:tcPr>
          <w:p w:rsidR="000C3078" w:rsidRPr="004D107E" w:rsidRDefault="000C3078">
            <w:pPr>
              <w:rPr>
                <w:szCs w:val="20"/>
              </w:rPr>
            </w:pPr>
            <w:r w:rsidRPr="004D107E">
              <w:rPr>
                <w:szCs w:val="20"/>
              </w:rPr>
              <w:t>The Cato Institute’s National Police Misconduct Reporting Project</w:t>
            </w:r>
          </w:p>
          <w:p w:rsidR="000C3078" w:rsidRPr="004D107E" w:rsidRDefault="000C3078">
            <w:pPr>
              <w:rPr>
                <w:szCs w:val="20"/>
              </w:rPr>
            </w:pPr>
            <w:r w:rsidRPr="004D107E">
              <w:rPr>
                <w:szCs w:val="20"/>
              </w:rPr>
              <w:t xml:space="preserve"> -- website: </w:t>
            </w:r>
            <w:hyperlink r:id="rId14" w:history="1">
              <w:r w:rsidRPr="004D107E">
                <w:rPr>
                  <w:rStyle w:val="Hyperlink"/>
                  <w:szCs w:val="20"/>
                </w:rPr>
                <w:t>http://www.policemisconduct.net/statistics/</w:t>
              </w:r>
            </w:hyperlink>
          </w:p>
          <w:p w:rsidR="000C3078" w:rsidRPr="004D107E" w:rsidRDefault="000C3078">
            <w:pPr>
              <w:rPr>
                <w:szCs w:val="20"/>
              </w:rPr>
            </w:pPr>
            <w:r w:rsidRPr="004D107E">
              <w:rPr>
                <w:szCs w:val="20"/>
              </w:rPr>
              <w:t xml:space="preserve"> -- issues quarterly reports (including data on fatalities) in 2009 and 2010 only, </w:t>
            </w:r>
          </w:p>
        </w:tc>
      </w:tr>
      <w:tr w:rsidR="000C3078" w:rsidRPr="004D107E" w:rsidTr="00A5216F">
        <w:tc>
          <w:tcPr>
            <w:tcW w:w="2088" w:type="dxa"/>
            <w:vMerge/>
          </w:tcPr>
          <w:p w:rsidR="000C3078" w:rsidRPr="004D107E" w:rsidRDefault="000C3078">
            <w:pPr>
              <w:rPr>
                <w:b/>
                <w:szCs w:val="20"/>
              </w:rPr>
            </w:pPr>
          </w:p>
        </w:tc>
        <w:tc>
          <w:tcPr>
            <w:tcW w:w="9216" w:type="dxa"/>
          </w:tcPr>
          <w:p w:rsidR="000C3078" w:rsidRPr="004D107E" w:rsidRDefault="000C3078">
            <w:pPr>
              <w:rPr>
                <w:szCs w:val="20"/>
              </w:rPr>
            </w:pPr>
            <w:r w:rsidRPr="004D107E">
              <w:rPr>
                <w:szCs w:val="20"/>
              </w:rPr>
              <w:t>The National Law Enforcement Memorial Fund.</w:t>
            </w:r>
          </w:p>
          <w:p w:rsidR="000C3078" w:rsidRPr="004D107E" w:rsidRDefault="000C3078">
            <w:pPr>
              <w:rPr>
                <w:szCs w:val="20"/>
              </w:rPr>
            </w:pPr>
            <w:r w:rsidRPr="004D107E">
              <w:rPr>
                <w:szCs w:val="20"/>
              </w:rPr>
              <w:t xml:space="preserve">-- website: </w:t>
            </w:r>
            <w:hyperlink r:id="rId15" w:history="1">
              <w:r w:rsidRPr="004D107E">
                <w:rPr>
                  <w:rStyle w:val="Hyperlink"/>
                  <w:szCs w:val="20"/>
                </w:rPr>
                <w:t>http://nleomf.com/</w:t>
              </w:r>
            </w:hyperlink>
          </w:p>
          <w:p w:rsidR="000C3078" w:rsidRPr="00A11C65" w:rsidRDefault="000C3078" w:rsidP="00A638AD">
            <w:pPr>
              <w:rPr>
                <w:szCs w:val="20"/>
              </w:rPr>
            </w:pPr>
            <w:r w:rsidRPr="004D107E">
              <w:rPr>
                <w:szCs w:val="20"/>
              </w:rPr>
              <w:t>-- “</w:t>
            </w:r>
            <w:r w:rsidRPr="004D107E">
              <w:t xml:space="preserve">serves as a nationwide clearinghouse of information and statistics on law enforcement line-of-duty deaths” (N as of </w:t>
            </w:r>
            <w:r w:rsidR="005303E0">
              <w:t xml:space="preserve">October </w:t>
            </w:r>
            <w:r w:rsidR="00A638AD">
              <w:t>6</w:t>
            </w:r>
            <w:r w:rsidRPr="004D107E">
              <w:t xml:space="preserve">, 2015: </w:t>
            </w:r>
            <w:r w:rsidR="005303E0">
              <w:t>98</w:t>
            </w:r>
            <w:r w:rsidR="005303E0" w:rsidRPr="004D107E">
              <w:t xml:space="preserve"> </w:t>
            </w:r>
            <w:r w:rsidRPr="004D107E">
              <w:t xml:space="preserve">fatalities, </w:t>
            </w:r>
            <w:r w:rsidR="005303E0">
              <w:t>30</w:t>
            </w:r>
            <w:r w:rsidR="005303E0" w:rsidRPr="004D107E">
              <w:t xml:space="preserve"> </w:t>
            </w:r>
            <w:r w:rsidRPr="004D107E">
              <w:t xml:space="preserve">firearm related, </w:t>
            </w:r>
            <w:r w:rsidR="005303E0">
              <w:t>42</w:t>
            </w:r>
            <w:r w:rsidR="005303E0" w:rsidRPr="004D107E">
              <w:t xml:space="preserve"> </w:t>
            </w:r>
            <w:r w:rsidRPr="004D107E">
              <w:t xml:space="preserve">traffic-related, </w:t>
            </w:r>
            <w:r w:rsidR="005303E0">
              <w:t>26</w:t>
            </w:r>
            <w:r w:rsidR="005303E0" w:rsidRPr="004D107E">
              <w:t xml:space="preserve"> </w:t>
            </w:r>
            <w:r w:rsidRPr="004D107E">
              <w:t>other causes)</w:t>
            </w:r>
          </w:p>
        </w:tc>
      </w:tr>
      <w:tr w:rsidR="0095682A" w:rsidRPr="004D107E" w:rsidTr="00A11C65">
        <w:tc>
          <w:tcPr>
            <w:tcW w:w="2088" w:type="dxa"/>
          </w:tcPr>
          <w:p w:rsidR="0095682A" w:rsidRPr="004D107E" w:rsidRDefault="0095682A">
            <w:pPr>
              <w:rPr>
                <w:b/>
                <w:szCs w:val="20"/>
              </w:rPr>
            </w:pPr>
            <w:r w:rsidRPr="004D107E">
              <w:rPr>
                <w:b/>
                <w:szCs w:val="20"/>
              </w:rPr>
              <w:lastRenderedPageBreak/>
              <w:t>3) US vital statistics</w:t>
            </w:r>
          </w:p>
        </w:tc>
        <w:tc>
          <w:tcPr>
            <w:tcW w:w="9216" w:type="dxa"/>
          </w:tcPr>
          <w:p w:rsidR="0095682A" w:rsidRPr="004D107E" w:rsidRDefault="006877DD">
            <w:pPr>
              <w:rPr>
                <w:szCs w:val="20"/>
              </w:rPr>
            </w:pPr>
            <w:r w:rsidRPr="004D107E">
              <w:rPr>
                <w:szCs w:val="20"/>
              </w:rPr>
              <w:t>US Centers for Disease Control and Prevention (for deaths due to legal intervention)</w:t>
            </w:r>
          </w:p>
          <w:p w:rsidR="00FF6532" w:rsidRPr="004D107E" w:rsidRDefault="00FF6532">
            <w:pPr>
              <w:rPr>
                <w:szCs w:val="20"/>
              </w:rPr>
            </w:pPr>
          </w:p>
          <w:p w:rsidR="00325135" w:rsidRPr="004D107E" w:rsidRDefault="006877DD">
            <w:pPr>
              <w:rPr>
                <w:szCs w:val="20"/>
              </w:rPr>
            </w:pPr>
            <w:r w:rsidRPr="004D107E">
              <w:rPr>
                <w:szCs w:val="20"/>
              </w:rPr>
              <w:t>a) Compressed mortality data (publicly available county-level data back</w:t>
            </w:r>
            <w:r w:rsidR="00325135" w:rsidRPr="004D107E">
              <w:rPr>
                <w:szCs w:val="20"/>
              </w:rPr>
              <w:t>, for 1968-2013)</w:t>
            </w:r>
          </w:p>
          <w:p w:rsidR="00325135" w:rsidRPr="004D107E" w:rsidRDefault="00325135">
            <w:pPr>
              <w:rPr>
                <w:szCs w:val="20"/>
              </w:rPr>
            </w:pPr>
            <w:r w:rsidRPr="004D107E">
              <w:rPr>
                <w:szCs w:val="20"/>
              </w:rPr>
              <w:t xml:space="preserve"> -- website: </w:t>
            </w:r>
            <w:hyperlink r:id="rId16" w:history="1">
              <w:r w:rsidRPr="004D107E">
                <w:rPr>
                  <w:rStyle w:val="Hyperlink"/>
                  <w:szCs w:val="20"/>
                </w:rPr>
                <w:t>http://wonder.cdc.gov/mortSQL.html</w:t>
              </w:r>
            </w:hyperlink>
          </w:p>
          <w:p w:rsidR="006877DD" w:rsidRPr="004D107E" w:rsidRDefault="006877DD">
            <w:pPr>
              <w:rPr>
                <w:szCs w:val="20"/>
              </w:rPr>
            </w:pPr>
          </w:p>
          <w:p w:rsidR="00325135" w:rsidRPr="004D107E" w:rsidRDefault="006877DD">
            <w:pPr>
              <w:rPr>
                <w:szCs w:val="20"/>
              </w:rPr>
            </w:pPr>
            <w:r w:rsidRPr="004D107E">
              <w:rPr>
                <w:szCs w:val="20"/>
              </w:rPr>
              <w:t xml:space="preserve">b) CDC Wonder </w:t>
            </w:r>
            <w:r w:rsidR="00325135" w:rsidRPr="004D107E">
              <w:rPr>
                <w:szCs w:val="20"/>
              </w:rPr>
              <w:t xml:space="preserve">detailed </w:t>
            </w:r>
            <w:r w:rsidRPr="004D107E">
              <w:rPr>
                <w:szCs w:val="20"/>
              </w:rPr>
              <w:t>mortality data (publicly available county-level data</w:t>
            </w:r>
            <w:r w:rsidR="00325135" w:rsidRPr="004D107E">
              <w:rPr>
                <w:szCs w:val="20"/>
              </w:rPr>
              <w:t>, for 1999-2013)</w:t>
            </w:r>
          </w:p>
          <w:p w:rsidR="00325135" w:rsidRPr="004D107E" w:rsidRDefault="00325135">
            <w:pPr>
              <w:rPr>
                <w:szCs w:val="20"/>
              </w:rPr>
            </w:pPr>
            <w:r w:rsidRPr="004D107E">
              <w:rPr>
                <w:szCs w:val="20"/>
              </w:rPr>
              <w:t xml:space="preserve">-- website: </w:t>
            </w:r>
            <w:hyperlink r:id="rId17" w:history="1">
              <w:r w:rsidRPr="004D107E">
                <w:rPr>
                  <w:rStyle w:val="Hyperlink"/>
                  <w:szCs w:val="20"/>
                </w:rPr>
                <w:t>http://wonder.cdc.gov/ucd-icd10.html</w:t>
              </w:r>
            </w:hyperlink>
          </w:p>
          <w:p w:rsidR="006877DD" w:rsidRPr="004D107E" w:rsidRDefault="006877DD">
            <w:pPr>
              <w:rPr>
                <w:szCs w:val="20"/>
              </w:rPr>
            </w:pPr>
          </w:p>
          <w:p w:rsidR="00325135" w:rsidRPr="004D107E" w:rsidRDefault="006877DD" w:rsidP="00325135">
            <w:pPr>
              <w:rPr>
                <w:szCs w:val="20"/>
              </w:rPr>
            </w:pPr>
            <w:r w:rsidRPr="004D107E">
              <w:rPr>
                <w:szCs w:val="20"/>
              </w:rPr>
              <w:t>c) National Violent Death Reporting System</w:t>
            </w:r>
            <w:r w:rsidR="00325135" w:rsidRPr="004D107E">
              <w:rPr>
                <w:szCs w:val="20"/>
              </w:rPr>
              <w:t xml:space="preserve"> (publicly available state level data for 32 states, presently covering 2003-2012)</w:t>
            </w:r>
          </w:p>
          <w:p w:rsidR="000C3078" w:rsidRDefault="00325135" w:rsidP="00A11C65">
            <w:pPr>
              <w:rPr>
                <w:szCs w:val="20"/>
              </w:rPr>
            </w:pPr>
            <w:r w:rsidRPr="004D107E">
              <w:rPr>
                <w:szCs w:val="20"/>
              </w:rPr>
              <w:t xml:space="preserve">  -- website: </w:t>
            </w:r>
            <w:hyperlink r:id="rId18" w:history="1">
              <w:r w:rsidR="000C3078" w:rsidRPr="00D11346">
                <w:rPr>
                  <w:rStyle w:val="Hyperlink"/>
                  <w:szCs w:val="20"/>
                </w:rPr>
                <w:t>http://www.cdc.gov/ViolencePrevention/NVDRS/</w:t>
              </w:r>
            </w:hyperlink>
          </w:p>
          <w:p w:rsidR="000C3078" w:rsidRPr="00A11C65" w:rsidRDefault="000C3078" w:rsidP="00A11C65">
            <w:pPr>
              <w:rPr>
                <w:szCs w:val="20"/>
              </w:rPr>
            </w:pPr>
          </w:p>
        </w:tc>
      </w:tr>
      <w:tr w:rsidR="006877DD" w:rsidRPr="004D107E" w:rsidTr="0095682A">
        <w:tc>
          <w:tcPr>
            <w:tcW w:w="2088" w:type="dxa"/>
          </w:tcPr>
          <w:p w:rsidR="006877DD" w:rsidRPr="004D107E" w:rsidRDefault="00975DC1">
            <w:pPr>
              <w:rPr>
                <w:b/>
                <w:szCs w:val="20"/>
              </w:rPr>
            </w:pPr>
            <w:r w:rsidRPr="004D107E">
              <w:rPr>
                <w:b/>
                <w:szCs w:val="20"/>
              </w:rPr>
              <w:t>4) US Department of Justice</w:t>
            </w:r>
          </w:p>
        </w:tc>
        <w:tc>
          <w:tcPr>
            <w:tcW w:w="9216" w:type="dxa"/>
          </w:tcPr>
          <w:p w:rsidR="006877DD" w:rsidRPr="004D107E" w:rsidRDefault="00975DC1">
            <w:pPr>
              <w:rPr>
                <w:szCs w:val="20"/>
              </w:rPr>
            </w:pPr>
            <w:r w:rsidRPr="004D107E">
              <w:rPr>
                <w:szCs w:val="20"/>
              </w:rPr>
              <w:t>Bureau of Justice Statistics</w:t>
            </w:r>
          </w:p>
          <w:p w:rsidR="00975DC1" w:rsidRPr="004D107E" w:rsidRDefault="00975DC1">
            <w:pPr>
              <w:rPr>
                <w:szCs w:val="20"/>
              </w:rPr>
            </w:pPr>
            <w:r w:rsidRPr="004D107E">
              <w:rPr>
                <w:szCs w:val="20"/>
              </w:rPr>
              <w:t xml:space="preserve">-- website: </w:t>
            </w:r>
            <w:hyperlink r:id="rId19" w:history="1">
              <w:r w:rsidR="00FF6532" w:rsidRPr="004D107E">
                <w:rPr>
                  <w:rStyle w:val="Hyperlink"/>
                  <w:szCs w:val="20"/>
                </w:rPr>
                <w:t>http://www.bjs.gov/index.cfm?ty=tp&amp;tid=7</w:t>
              </w:r>
            </w:hyperlink>
          </w:p>
          <w:p w:rsidR="00975DC1" w:rsidRDefault="00975DC1" w:rsidP="00FF6532">
            <w:r w:rsidRPr="004D107E">
              <w:rPr>
                <w:szCs w:val="20"/>
              </w:rPr>
              <w:t xml:space="preserve"> -- </w:t>
            </w:r>
            <w:r w:rsidR="00FF6532" w:rsidRPr="004D107E">
              <w:rPr>
                <w:szCs w:val="20"/>
              </w:rPr>
              <w:t xml:space="preserve">According to the website: (a) </w:t>
            </w:r>
            <w:r w:rsidRPr="004D107E">
              <w:rPr>
                <w:szCs w:val="20"/>
              </w:rPr>
              <w:t>“</w:t>
            </w:r>
            <w:r w:rsidRPr="004D107E">
              <w:t>The BJS Law Enforcement Unit maintains more than a dozen national data collections covering federal, state, and local law enforcement agencies and special topics in law enforcement. Most data series are collected every 2 to 4 years and focus on aggregate or agency-level responses, meaning the information that is collected pertains to units, such as police departments, training academies, and crime labs. The data from law enforcement agencies provide national estimates for personnel, equipment, operations, agency policies, budgets, and job functions across agencies. The Law Enforcement Unit collects data on contacts between the public and police, special units within law enforcement agencies, and trends in police organization.”</w:t>
            </w:r>
            <w:r w:rsidR="00FF6532" w:rsidRPr="004D107E">
              <w:t>; and (b) the most recent data reported are for 2013.</w:t>
            </w:r>
            <w:r w:rsidRPr="004D107E">
              <w:t xml:space="preserve"> </w:t>
            </w:r>
          </w:p>
          <w:p w:rsidR="00156DE1" w:rsidRPr="004D107E" w:rsidRDefault="00156DE1" w:rsidP="006D60CD">
            <w:pPr>
              <w:rPr>
                <w:szCs w:val="20"/>
              </w:rPr>
            </w:pPr>
            <w:r>
              <w:t xml:space="preserve">-- On October </w:t>
            </w:r>
            <w:r w:rsidR="006D60CD">
              <w:t>5</w:t>
            </w:r>
            <w:r>
              <w:t xml:space="preserve">, 2015, the recently appointed US Attorney General Loretta Lynch </w:t>
            </w:r>
            <w:r w:rsidR="006D60CD">
              <w:t>announced that the DOJ would start piloting, in 2016, an open-source method of tracking “officer-involved deaths,” akin to that employed by “The Counted,” with the intent of “verifying the facts about the incident by surveying local police departments, medical examiner’s offices and investigative offices” (</w:t>
            </w:r>
            <w:r w:rsidR="006D60CD" w:rsidRPr="006D60CD">
              <w:t>http://www.theguardian.com/us-news/2015/oct/05/justice-department-trials-system-count-killings-us-law-enforcement-the-counted</w:t>
            </w:r>
            <w:r w:rsidR="006D60CD">
              <w:t>).</w:t>
            </w:r>
            <w:r>
              <w:t xml:space="preserve"> </w:t>
            </w:r>
          </w:p>
        </w:tc>
      </w:tr>
      <w:tr w:rsidR="004D107E" w:rsidRPr="004D107E" w:rsidTr="0095682A">
        <w:tc>
          <w:tcPr>
            <w:tcW w:w="2088" w:type="dxa"/>
          </w:tcPr>
          <w:p w:rsidR="004D107E" w:rsidRPr="00A11C65" w:rsidRDefault="004D107E">
            <w:pPr>
              <w:rPr>
                <w:b/>
                <w:szCs w:val="20"/>
              </w:rPr>
            </w:pPr>
            <w:r w:rsidRPr="00A11C65">
              <w:rPr>
                <w:b/>
                <w:szCs w:val="20"/>
              </w:rPr>
              <w:t>5) US Federal Bureau of Investigation</w:t>
            </w:r>
          </w:p>
        </w:tc>
        <w:tc>
          <w:tcPr>
            <w:tcW w:w="9216" w:type="dxa"/>
          </w:tcPr>
          <w:p w:rsidR="004D107E" w:rsidRPr="00A11C65" w:rsidRDefault="004D107E" w:rsidP="004D107E">
            <w:pPr>
              <w:rPr>
                <w:szCs w:val="20"/>
              </w:rPr>
            </w:pPr>
            <w:r w:rsidRPr="00A11C65">
              <w:rPr>
                <w:szCs w:val="20"/>
              </w:rPr>
              <w:t>Unified Crime Reporting Program: Supplementary Homicide Reports</w:t>
            </w:r>
            <w:r w:rsidR="00C879E5">
              <w:rPr>
                <w:szCs w:val="20"/>
              </w:rPr>
              <w:t xml:space="preserve"> (SHR)</w:t>
            </w:r>
          </w:p>
          <w:p w:rsidR="004D107E" w:rsidRPr="004D107E" w:rsidRDefault="004D107E" w:rsidP="004D107E">
            <w:pPr>
              <w:rPr>
                <w:szCs w:val="20"/>
              </w:rPr>
            </w:pPr>
            <w:r w:rsidRPr="00A11C65">
              <w:rPr>
                <w:szCs w:val="20"/>
              </w:rPr>
              <w:t xml:space="preserve">-- website: </w:t>
            </w:r>
            <w:hyperlink r:id="rId20" w:history="1">
              <w:r w:rsidRPr="00A11C65">
                <w:rPr>
                  <w:rStyle w:val="Hyperlink"/>
                  <w:szCs w:val="20"/>
                </w:rPr>
                <w:t>https://www.fbi.gov/about-us/cjis/ucr/crime-in-the-u.s/2012/crime-in-the-u.s.-2012/offenses-known-to-law-enforcement/expanded-homicide/expandhomicidemain</w:t>
              </w:r>
            </w:hyperlink>
          </w:p>
          <w:p w:rsidR="004D107E" w:rsidRPr="004D107E" w:rsidRDefault="004D107E" w:rsidP="004D107E">
            <w:pPr>
              <w:rPr>
                <w:rFonts w:eastAsia="Times New Roman"/>
              </w:rPr>
            </w:pPr>
            <w:r w:rsidRPr="00A11C65">
              <w:rPr>
                <w:szCs w:val="20"/>
              </w:rPr>
              <w:t>-- According to website</w:t>
            </w:r>
            <w:r w:rsidRPr="00A11C65">
              <w:t>: “</w:t>
            </w:r>
            <w:r w:rsidRPr="00A11C65">
              <w:rPr>
                <w:rFonts w:eastAsia="Times New Roman"/>
              </w:rPr>
              <w:t>The FBI’s Uniform Crime Reporting (UCR) Program collects supplementary homicide data that provide the age, sex, and race of the murder victim and offender; the type of weapon used; the relationship of the victim to the offender; and the circumstance surrounding the incident. Statistics gleaned from these supplemental data are provided in this section.”</w:t>
            </w:r>
          </w:p>
          <w:p w:rsidR="004D107E" w:rsidRDefault="004D107E" w:rsidP="004D107E">
            <w:pPr>
              <w:rPr>
                <w:rStyle w:val="Hyperlink"/>
                <w:rFonts w:eastAsia="Times New Roman"/>
              </w:rPr>
            </w:pPr>
            <w:r w:rsidRPr="00A11C65">
              <w:rPr>
                <w:rFonts w:eastAsia="Times New Roman"/>
              </w:rPr>
              <w:t xml:space="preserve">-- Collects data on “justifiable homicides” by law enforcement officers-- Dataset available at: </w:t>
            </w:r>
            <w:hyperlink r:id="rId21" w:history="1">
              <w:r w:rsidRPr="00A11C65">
                <w:rPr>
                  <w:rStyle w:val="Hyperlink"/>
                  <w:rFonts w:eastAsia="Times New Roman"/>
                </w:rPr>
                <w:t>http://www.icpsr.umich.edu/icpsrweb/NACJD/studies/36124</w:t>
              </w:r>
            </w:hyperlink>
          </w:p>
          <w:p w:rsidR="00A638AD" w:rsidRPr="00A11C65" w:rsidRDefault="00A638AD" w:rsidP="00A638AD">
            <w:pPr>
              <w:rPr>
                <w:szCs w:val="20"/>
              </w:rPr>
            </w:pPr>
            <w:r>
              <w:rPr>
                <w:rFonts w:eastAsia="Times New Roman"/>
              </w:rPr>
              <w:t>-- Limitations are that reporting of data for the SHR to the FBI is voluntary and, in the case of homicides, the US Department of Justice has documented that many cases are not repo</w:t>
            </w:r>
            <w:r w:rsidRPr="00C879E5">
              <w:rPr>
                <w:rFonts w:eastAsia="Times New Roman"/>
              </w:rPr>
              <w:t xml:space="preserve">rted or having missing information (see: </w:t>
            </w:r>
            <w:hyperlink r:id="rId22" w:history="1">
              <w:r w:rsidRPr="0038308D">
                <w:rPr>
                  <w:rStyle w:val="Hyperlink"/>
                </w:rPr>
                <w:t>http://www.bjs.gov/index.cfm?ty=pbdetail&amp;iid=5259</w:t>
              </w:r>
            </w:hyperlink>
            <w:r w:rsidRPr="00C879E5">
              <w:rPr>
                <w:rStyle w:val="Hyperlink"/>
              </w:rPr>
              <w:t>)</w:t>
            </w:r>
          </w:p>
        </w:tc>
      </w:tr>
      <w:tr w:rsidR="00FF6532" w:rsidRPr="004D107E" w:rsidTr="00A5216F">
        <w:tc>
          <w:tcPr>
            <w:tcW w:w="11304" w:type="dxa"/>
            <w:gridSpan w:val="2"/>
          </w:tcPr>
          <w:p w:rsidR="00FF6532" w:rsidRPr="004D107E" w:rsidRDefault="00FF6532" w:rsidP="006D60CD">
            <w:pPr>
              <w:rPr>
                <w:szCs w:val="20"/>
              </w:rPr>
            </w:pPr>
            <w:r w:rsidRPr="00A11C65">
              <w:rPr>
                <w:szCs w:val="20"/>
                <w:vertAlign w:val="superscript"/>
              </w:rPr>
              <w:t>a</w:t>
            </w:r>
            <w:r w:rsidRPr="004D107E">
              <w:rPr>
                <w:szCs w:val="20"/>
              </w:rPr>
              <w:t xml:space="preserve"> all websites accessed on </w:t>
            </w:r>
            <w:r w:rsidR="00C879E5">
              <w:rPr>
                <w:szCs w:val="20"/>
              </w:rPr>
              <w:t xml:space="preserve">October </w:t>
            </w:r>
            <w:r w:rsidR="006D60CD">
              <w:rPr>
                <w:szCs w:val="20"/>
              </w:rPr>
              <w:t>6</w:t>
            </w:r>
            <w:r w:rsidRPr="004D107E">
              <w:rPr>
                <w:szCs w:val="20"/>
              </w:rPr>
              <w:t>, 2015.</w:t>
            </w:r>
          </w:p>
        </w:tc>
      </w:tr>
    </w:tbl>
    <w:p w:rsidR="0095682A" w:rsidRPr="004D107E" w:rsidRDefault="0095682A">
      <w:pPr>
        <w:rPr>
          <w:b/>
          <w:szCs w:val="20"/>
        </w:rPr>
      </w:pPr>
    </w:p>
    <w:p w:rsidR="00C57E2C" w:rsidRDefault="00C57E2C" w:rsidP="00C57E2C">
      <w:pPr>
        <w:rPr>
          <w:szCs w:val="20"/>
        </w:rPr>
      </w:pPr>
    </w:p>
    <w:sectPr w:rsidR="00C57E2C" w:rsidSect="009A5353">
      <w:footerReference w:type="default" r:id="rId23"/>
      <w:pgSz w:w="12240" w:h="15840" w:code="1"/>
      <w:pgMar w:top="720" w:right="576" w:bottom="720" w:left="57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526" w:rsidRDefault="00644526" w:rsidP="00FC69B8">
      <w:r>
        <w:separator/>
      </w:r>
    </w:p>
  </w:endnote>
  <w:endnote w:type="continuationSeparator" w:id="0">
    <w:p w:rsidR="00644526" w:rsidRDefault="00644526" w:rsidP="00FC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16F" w:rsidRDefault="00A5216F" w:rsidP="00A03ECF">
    <w:pPr>
      <w:pStyle w:val="Header"/>
      <w:jc w:val="right"/>
    </w:pPr>
    <w:r>
      <w:t xml:space="preserve">Page </w:t>
    </w:r>
    <w:r>
      <w:rPr>
        <w:b/>
      </w:rPr>
      <w:fldChar w:fldCharType="begin"/>
    </w:r>
    <w:r>
      <w:rPr>
        <w:b/>
      </w:rPr>
      <w:instrText xml:space="preserve"> PAGE  \* Arabic  \* MERGEFORMAT </w:instrText>
    </w:r>
    <w:r>
      <w:rPr>
        <w:b/>
      </w:rPr>
      <w:fldChar w:fldCharType="separate"/>
    </w:r>
    <w:r w:rsidR="004576A5">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4576A5">
      <w:rPr>
        <w:b/>
        <w:noProof/>
      </w:rPr>
      <w:t>2</w:t>
    </w:r>
    <w:r>
      <w:rPr>
        <w:b/>
      </w:rPr>
      <w:fldChar w:fldCharType="end"/>
    </w:r>
  </w:p>
  <w:p w:rsidR="00A5216F" w:rsidRDefault="00A52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526" w:rsidRDefault="00644526" w:rsidP="00FC69B8">
      <w:r>
        <w:separator/>
      </w:r>
    </w:p>
  </w:footnote>
  <w:footnote w:type="continuationSeparator" w:id="0">
    <w:p w:rsidR="00644526" w:rsidRDefault="00644526" w:rsidP="00FC6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880" w:hanging="360"/>
      </w:pPr>
      <w:rPr>
        <w:rFonts w:ascii="Times New Roman" w:hAnsi="Times New Roman" w:cs="Times New Roman"/>
        <w:b w:val="0"/>
        <w:bCs w:val="0"/>
        <w:w w:val="99"/>
        <w:sz w:val="24"/>
        <w:szCs w:val="24"/>
      </w:rPr>
    </w:lvl>
    <w:lvl w:ilvl="1">
      <w:numFmt w:val="bullet"/>
      <w:lvlText w:val="•"/>
      <w:lvlJc w:val="left"/>
      <w:pPr>
        <w:ind w:left="2604" w:hanging="360"/>
      </w:pPr>
    </w:lvl>
    <w:lvl w:ilvl="2">
      <w:numFmt w:val="bullet"/>
      <w:lvlText w:val="•"/>
      <w:lvlJc w:val="left"/>
      <w:pPr>
        <w:ind w:left="3328" w:hanging="360"/>
      </w:pPr>
    </w:lvl>
    <w:lvl w:ilvl="3">
      <w:numFmt w:val="bullet"/>
      <w:lvlText w:val="•"/>
      <w:lvlJc w:val="left"/>
      <w:pPr>
        <w:ind w:left="4052" w:hanging="360"/>
      </w:pPr>
    </w:lvl>
    <w:lvl w:ilvl="4">
      <w:numFmt w:val="bullet"/>
      <w:lvlText w:val="•"/>
      <w:lvlJc w:val="left"/>
      <w:pPr>
        <w:ind w:left="4776" w:hanging="360"/>
      </w:pPr>
    </w:lvl>
    <w:lvl w:ilvl="5">
      <w:numFmt w:val="bullet"/>
      <w:lvlText w:val="•"/>
      <w:lvlJc w:val="left"/>
      <w:pPr>
        <w:ind w:left="5500" w:hanging="360"/>
      </w:pPr>
    </w:lvl>
    <w:lvl w:ilvl="6">
      <w:numFmt w:val="bullet"/>
      <w:lvlText w:val="•"/>
      <w:lvlJc w:val="left"/>
      <w:pPr>
        <w:ind w:left="6224" w:hanging="360"/>
      </w:pPr>
    </w:lvl>
    <w:lvl w:ilvl="7">
      <w:numFmt w:val="bullet"/>
      <w:lvlText w:val="•"/>
      <w:lvlJc w:val="left"/>
      <w:pPr>
        <w:ind w:left="6948" w:hanging="360"/>
      </w:pPr>
    </w:lvl>
    <w:lvl w:ilvl="8">
      <w:numFmt w:val="bullet"/>
      <w:lvlText w:val="•"/>
      <w:lvlJc w:val="left"/>
      <w:pPr>
        <w:ind w:left="7672" w:hanging="360"/>
      </w:pPr>
    </w:lvl>
  </w:abstractNum>
  <w:abstractNum w:abstractNumId="1">
    <w:nsid w:val="42D63D25"/>
    <w:multiLevelType w:val="multilevel"/>
    <w:tmpl w:val="045CB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B8"/>
    <w:rsid w:val="00005BB2"/>
    <w:rsid w:val="00026D5C"/>
    <w:rsid w:val="00032A69"/>
    <w:rsid w:val="000408E8"/>
    <w:rsid w:val="00045B11"/>
    <w:rsid w:val="00055CF7"/>
    <w:rsid w:val="00060B83"/>
    <w:rsid w:val="00060C98"/>
    <w:rsid w:val="000A4545"/>
    <w:rsid w:val="000A604F"/>
    <w:rsid w:val="000B3132"/>
    <w:rsid w:val="000C1FCF"/>
    <w:rsid w:val="000C3078"/>
    <w:rsid w:val="000E14C5"/>
    <w:rsid w:val="00103AFD"/>
    <w:rsid w:val="001046D3"/>
    <w:rsid w:val="00110F97"/>
    <w:rsid w:val="00112527"/>
    <w:rsid w:val="001209F2"/>
    <w:rsid w:val="00131918"/>
    <w:rsid w:val="00156DE1"/>
    <w:rsid w:val="00161E25"/>
    <w:rsid w:val="00161E48"/>
    <w:rsid w:val="001620BB"/>
    <w:rsid w:val="00174018"/>
    <w:rsid w:val="001856EB"/>
    <w:rsid w:val="001972B4"/>
    <w:rsid w:val="001A083A"/>
    <w:rsid w:val="001C1CCA"/>
    <w:rsid w:val="001C3F26"/>
    <w:rsid w:val="001D14AA"/>
    <w:rsid w:val="001D71E9"/>
    <w:rsid w:val="00200DF9"/>
    <w:rsid w:val="00201803"/>
    <w:rsid w:val="0020256B"/>
    <w:rsid w:val="00237F94"/>
    <w:rsid w:val="0025205E"/>
    <w:rsid w:val="00285AF8"/>
    <w:rsid w:val="002B3434"/>
    <w:rsid w:val="002C270D"/>
    <w:rsid w:val="002D0CF9"/>
    <w:rsid w:val="002F4F1A"/>
    <w:rsid w:val="003025BE"/>
    <w:rsid w:val="00302C13"/>
    <w:rsid w:val="003113A8"/>
    <w:rsid w:val="00311835"/>
    <w:rsid w:val="00325135"/>
    <w:rsid w:val="00363B55"/>
    <w:rsid w:val="00375944"/>
    <w:rsid w:val="00380B8C"/>
    <w:rsid w:val="003A4F2B"/>
    <w:rsid w:val="003B01C6"/>
    <w:rsid w:val="003B7867"/>
    <w:rsid w:val="003E115C"/>
    <w:rsid w:val="003E54F1"/>
    <w:rsid w:val="003F2E3F"/>
    <w:rsid w:val="00414F7E"/>
    <w:rsid w:val="004166CD"/>
    <w:rsid w:val="00436400"/>
    <w:rsid w:val="00444632"/>
    <w:rsid w:val="0045758D"/>
    <w:rsid w:val="004576A5"/>
    <w:rsid w:val="00465291"/>
    <w:rsid w:val="00484337"/>
    <w:rsid w:val="00494A59"/>
    <w:rsid w:val="004A0893"/>
    <w:rsid w:val="004B5239"/>
    <w:rsid w:val="004D107E"/>
    <w:rsid w:val="004E418F"/>
    <w:rsid w:val="004F62CC"/>
    <w:rsid w:val="004F6DBE"/>
    <w:rsid w:val="0051687B"/>
    <w:rsid w:val="005303E0"/>
    <w:rsid w:val="00531AC6"/>
    <w:rsid w:val="00553586"/>
    <w:rsid w:val="005544BC"/>
    <w:rsid w:val="00554B6C"/>
    <w:rsid w:val="00560873"/>
    <w:rsid w:val="00563583"/>
    <w:rsid w:val="0058331E"/>
    <w:rsid w:val="005A253C"/>
    <w:rsid w:val="005C56BA"/>
    <w:rsid w:val="005C59B9"/>
    <w:rsid w:val="005D4B0F"/>
    <w:rsid w:val="005F1051"/>
    <w:rsid w:val="005F3E7D"/>
    <w:rsid w:val="005F557C"/>
    <w:rsid w:val="005F753A"/>
    <w:rsid w:val="00625C48"/>
    <w:rsid w:val="00640EE8"/>
    <w:rsid w:val="006432FF"/>
    <w:rsid w:val="00644526"/>
    <w:rsid w:val="0067517D"/>
    <w:rsid w:val="00677A1B"/>
    <w:rsid w:val="00680841"/>
    <w:rsid w:val="006834AF"/>
    <w:rsid w:val="006849BF"/>
    <w:rsid w:val="006877DD"/>
    <w:rsid w:val="00697D3E"/>
    <w:rsid w:val="006A7D74"/>
    <w:rsid w:val="006C1790"/>
    <w:rsid w:val="006C1EEC"/>
    <w:rsid w:val="006D60CD"/>
    <w:rsid w:val="006F32F7"/>
    <w:rsid w:val="00700ED8"/>
    <w:rsid w:val="00714351"/>
    <w:rsid w:val="0072475C"/>
    <w:rsid w:val="00762301"/>
    <w:rsid w:val="007627E3"/>
    <w:rsid w:val="00765209"/>
    <w:rsid w:val="007654E1"/>
    <w:rsid w:val="00774B4D"/>
    <w:rsid w:val="0077579B"/>
    <w:rsid w:val="00783F71"/>
    <w:rsid w:val="007854DA"/>
    <w:rsid w:val="0078796C"/>
    <w:rsid w:val="007A2E15"/>
    <w:rsid w:val="007B6B33"/>
    <w:rsid w:val="007D52A6"/>
    <w:rsid w:val="007E571F"/>
    <w:rsid w:val="007F66DF"/>
    <w:rsid w:val="00814D20"/>
    <w:rsid w:val="00822EE3"/>
    <w:rsid w:val="00841D36"/>
    <w:rsid w:val="008538BF"/>
    <w:rsid w:val="008629B3"/>
    <w:rsid w:val="00874CF2"/>
    <w:rsid w:val="00875A2E"/>
    <w:rsid w:val="008761FF"/>
    <w:rsid w:val="00880F26"/>
    <w:rsid w:val="008868DC"/>
    <w:rsid w:val="00891368"/>
    <w:rsid w:val="008A628F"/>
    <w:rsid w:val="008C6C91"/>
    <w:rsid w:val="008D1715"/>
    <w:rsid w:val="008E5D2A"/>
    <w:rsid w:val="008F0720"/>
    <w:rsid w:val="008F5FFD"/>
    <w:rsid w:val="00900265"/>
    <w:rsid w:val="009213B1"/>
    <w:rsid w:val="00922F53"/>
    <w:rsid w:val="0095041D"/>
    <w:rsid w:val="00951A62"/>
    <w:rsid w:val="00955779"/>
    <w:rsid w:val="0095682A"/>
    <w:rsid w:val="0097541D"/>
    <w:rsid w:val="00975DC1"/>
    <w:rsid w:val="00994A76"/>
    <w:rsid w:val="009A5353"/>
    <w:rsid w:val="009A6982"/>
    <w:rsid w:val="009C1084"/>
    <w:rsid w:val="009C393E"/>
    <w:rsid w:val="009C416A"/>
    <w:rsid w:val="009D188D"/>
    <w:rsid w:val="009D26BA"/>
    <w:rsid w:val="009D396A"/>
    <w:rsid w:val="009E13F9"/>
    <w:rsid w:val="009F2C8A"/>
    <w:rsid w:val="00A03ECF"/>
    <w:rsid w:val="00A11C65"/>
    <w:rsid w:val="00A22000"/>
    <w:rsid w:val="00A321FF"/>
    <w:rsid w:val="00A37281"/>
    <w:rsid w:val="00A4273F"/>
    <w:rsid w:val="00A42812"/>
    <w:rsid w:val="00A42AE3"/>
    <w:rsid w:val="00A431B6"/>
    <w:rsid w:val="00A4360B"/>
    <w:rsid w:val="00A5216F"/>
    <w:rsid w:val="00A638AD"/>
    <w:rsid w:val="00A64D4B"/>
    <w:rsid w:val="00A7424D"/>
    <w:rsid w:val="00A8255A"/>
    <w:rsid w:val="00A93C48"/>
    <w:rsid w:val="00AA0B79"/>
    <w:rsid w:val="00AC5B3C"/>
    <w:rsid w:val="00B0070B"/>
    <w:rsid w:val="00B20B4E"/>
    <w:rsid w:val="00B32FB9"/>
    <w:rsid w:val="00B53EE6"/>
    <w:rsid w:val="00B55462"/>
    <w:rsid w:val="00B57DB6"/>
    <w:rsid w:val="00B63B32"/>
    <w:rsid w:val="00B65A53"/>
    <w:rsid w:val="00B65CDE"/>
    <w:rsid w:val="00B77635"/>
    <w:rsid w:val="00B93621"/>
    <w:rsid w:val="00B96B4C"/>
    <w:rsid w:val="00BB0A8A"/>
    <w:rsid w:val="00BB36B6"/>
    <w:rsid w:val="00BD10E6"/>
    <w:rsid w:val="00BF090C"/>
    <w:rsid w:val="00C1459E"/>
    <w:rsid w:val="00C23125"/>
    <w:rsid w:val="00C24DE8"/>
    <w:rsid w:val="00C30AF7"/>
    <w:rsid w:val="00C42C5C"/>
    <w:rsid w:val="00C45858"/>
    <w:rsid w:val="00C57E2C"/>
    <w:rsid w:val="00C61D33"/>
    <w:rsid w:val="00C6255D"/>
    <w:rsid w:val="00C65D8D"/>
    <w:rsid w:val="00C737B1"/>
    <w:rsid w:val="00C74D75"/>
    <w:rsid w:val="00C879E5"/>
    <w:rsid w:val="00C92F29"/>
    <w:rsid w:val="00CA53F4"/>
    <w:rsid w:val="00CB1F0F"/>
    <w:rsid w:val="00CB6C5A"/>
    <w:rsid w:val="00CC6206"/>
    <w:rsid w:val="00CD13F3"/>
    <w:rsid w:val="00CD4F62"/>
    <w:rsid w:val="00CE3932"/>
    <w:rsid w:val="00CF232D"/>
    <w:rsid w:val="00CF3010"/>
    <w:rsid w:val="00CF3029"/>
    <w:rsid w:val="00D06CC8"/>
    <w:rsid w:val="00D27FC8"/>
    <w:rsid w:val="00D36E4C"/>
    <w:rsid w:val="00D46882"/>
    <w:rsid w:val="00D5284D"/>
    <w:rsid w:val="00D9222A"/>
    <w:rsid w:val="00DB0C75"/>
    <w:rsid w:val="00DB1318"/>
    <w:rsid w:val="00DB16C4"/>
    <w:rsid w:val="00DE6A47"/>
    <w:rsid w:val="00E0257D"/>
    <w:rsid w:val="00E06A8A"/>
    <w:rsid w:val="00E1026F"/>
    <w:rsid w:val="00E2056D"/>
    <w:rsid w:val="00E30464"/>
    <w:rsid w:val="00E44A04"/>
    <w:rsid w:val="00E75696"/>
    <w:rsid w:val="00EA5086"/>
    <w:rsid w:val="00EB1A29"/>
    <w:rsid w:val="00EB6DBE"/>
    <w:rsid w:val="00EB71F8"/>
    <w:rsid w:val="00EE014C"/>
    <w:rsid w:val="00EE764B"/>
    <w:rsid w:val="00F05DE0"/>
    <w:rsid w:val="00F1059F"/>
    <w:rsid w:val="00F11554"/>
    <w:rsid w:val="00F22AC7"/>
    <w:rsid w:val="00F33736"/>
    <w:rsid w:val="00F37F9F"/>
    <w:rsid w:val="00F44025"/>
    <w:rsid w:val="00F51BA0"/>
    <w:rsid w:val="00F54CED"/>
    <w:rsid w:val="00FC0E58"/>
    <w:rsid w:val="00FC1B32"/>
    <w:rsid w:val="00FC2302"/>
    <w:rsid w:val="00FC69B8"/>
    <w:rsid w:val="00FD0F27"/>
    <w:rsid w:val="00FD6F1A"/>
    <w:rsid w:val="00FF6532"/>
    <w:rsid w:val="00FF6B59"/>
    <w:rsid w:val="00FF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E6BF38-30EC-4412-82D6-0855088D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115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C69B8"/>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9B8"/>
    <w:pPr>
      <w:tabs>
        <w:tab w:val="center" w:pos="4680"/>
        <w:tab w:val="right" w:pos="9360"/>
      </w:tabs>
    </w:pPr>
  </w:style>
  <w:style w:type="character" w:customStyle="1" w:styleId="HeaderChar">
    <w:name w:val="Header Char"/>
    <w:basedOn w:val="DefaultParagraphFont"/>
    <w:link w:val="Header"/>
    <w:uiPriority w:val="99"/>
    <w:rsid w:val="00FC69B8"/>
  </w:style>
  <w:style w:type="paragraph" w:styleId="Footer">
    <w:name w:val="footer"/>
    <w:basedOn w:val="Normal"/>
    <w:link w:val="FooterChar"/>
    <w:uiPriority w:val="99"/>
    <w:unhideWhenUsed/>
    <w:rsid w:val="00FC69B8"/>
    <w:pPr>
      <w:tabs>
        <w:tab w:val="center" w:pos="4680"/>
        <w:tab w:val="right" w:pos="9360"/>
      </w:tabs>
    </w:pPr>
  </w:style>
  <w:style w:type="character" w:customStyle="1" w:styleId="FooterChar">
    <w:name w:val="Footer Char"/>
    <w:basedOn w:val="DefaultParagraphFont"/>
    <w:link w:val="Footer"/>
    <w:uiPriority w:val="99"/>
    <w:rsid w:val="00FC69B8"/>
  </w:style>
  <w:style w:type="paragraph" w:styleId="NormalWeb">
    <w:name w:val="Normal (Web)"/>
    <w:basedOn w:val="Normal"/>
    <w:uiPriority w:val="99"/>
    <w:unhideWhenUsed/>
    <w:rsid w:val="00FC69B8"/>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FC69B8"/>
    <w:rPr>
      <w:color w:val="0000FF"/>
      <w:u w:val="single"/>
    </w:rPr>
  </w:style>
  <w:style w:type="character" w:customStyle="1" w:styleId="Heading4Char">
    <w:name w:val="Heading 4 Char"/>
    <w:basedOn w:val="DefaultParagraphFont"/>
    <w:link w:val="Heading4"/>
    <w:uiPriority w:val="9"/>
    <w:rsid w:val="00FC69B8"/>
    <w:rPr>
      <w:rFonts w:eastAsia="Times New Roman"/>
      <w:b/>
      <w:bCs/>
      <w:sz w:val="24"/>
      <w:szCs w:val="24"/>
    </w:rPr>
  </w:style>
  <w:style w:type="paragraph" w:styleId="EndnoteText">
    <w:name w:val="endnote text"/>
    <w:basedOn w:val="Normal"/>
    <w:link w:val="EndnoteTextChar"/>
    <w:unhideWhenUsed/>
    <w:rsid w:val="0045758D"/>
    <w:rPr>
      <w:rFonts w:eastAsia="Calibri"/>
      <w:sz w:val="20"/>
      <w:szCs w:val="20"/>
    </w:rPr>
  </w:style>
  <w:style w:type="character" w:customStyle="1" w:styleId="EndnoteTextChar">
    <w:name w:val="Endnote Text Char"/>
    <w:basedOn w:val="DefaultParagraphFont"/>
    <w:link w:val="EndnoteText"/>
    <w:rsid w:val="0045758D"/>
    <w:rPr>
      <w:rFonts w:eastAsia="Calibri"/>
      <w:sz w:val="20"/>
      <w:szCs w:val="20"/>
    </w:rPr>
  </w:style>
  <w:style w:type="character" w:styleId="EndnoteReference">
    <w:name w:val="endnote reference"/>
    <w:unhideWhenUsed/>
    <w:rsid w:val="0045758D"/>
    <w:rPr>
      <w:vertAlign w:val="superscript"/>
    </w:rPr>
  </w:style>
  <w:style w:type="paragraph" w:styleId="HTMLPreformatted">
    <w:name w:val="HTML Preformatted"/>
    <w:basedOn w:val="Normal"/>
    <w:link w:val="HTMLPreformattedChar"/>
    <w:uiPriority w:val="99"/>
    <w:unhideWhenUsed/>
    <w:rsid w:val="009C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9C416A"/>
    <w:rPr>
      <w:rFonts w:ascii="Courier New" w:eastAsia="SimSun" w:hAnsi="Courier New" w:cs="Courier New"/>
      <w:sz w:val="20"/>
      <w:szCs w:val="20"/>
      <w:lang w:eastAsia="zh-CN"/>
    </w:rPr>
  </w:style>
  <w:style w:type="table" w:styleId="TableGrid">
    <w:name w:val="Table Grid"/>
    <w:basedOn w:val="TableNormal"/>
    <w:uiPriority w:val="59"/>
    <w:rsid w:val="009C4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84337"/>
    <w:pPr>
      <w:autoSpaceDE w:val="0"/>
      <w:autoSpaceDN w:val="0"/>
      <w:adjustRightInd w:val="0"/>
      <w:ind w:left="1839"/>
    </w:pPr>
    <w:rPr>
      <w:sz w:val="24"/>
      <w:szCs w:val="24"/>
    </w:rPr>
  </w:style>
  <w:style w:type="character" w:customStyle="1" w:styleId="BodyTextChar">
    <w:name w:val="Body Text Char"/>
    <w:basedOn w:val="DefaultParagraphFont"/>
    <w:link w:val="BodyText"/>
    <w:uiPriority w:val="1"/>
    <w:rsid w:val="00484337"/>
    <w:rPr>
      <w:sz w:val="24"/>
      <w:szCs w:val="24"/>
    </w:rPr>
  </w:style>
  <w:style w:type="character" w:customStyle="1" w:styleId="Heading3Char">
    <w:name w:val="Heading 3 Char"/>
    <w:basedOn w:val="DefaultParagraphFont"/>
    <w:link w:val="Heading3"/>
    <w:uiPriority w:val="9"/>
    <w:semiHidden/>
    <w:rsid w:val="00F1155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E54F1"/>
    <w:rPr>
      <w:rFonts w:ascii="Calibri" w:hAnsi="Calibri" w:cs="Calibri"/>
      <w:sz w:val="16"/>
      <w:szCs w:val="16"/>
    </w:rPr>
  </w:style>
  <w:style w:type="character" w:customStyle="1" w:styleId="BalloonTextChar">
    <w:name w:val="Balloon Text Char"/>
    <w:basedOn w:val="DefaultParagraphFont"/>
    <w:link w:val="BalloonText"/>
    <w:uiPriority w:val="99"/>
    <w:semiHidden/>
    <w:rsid w:val="003E54F1"/>
    <w:rPr>
      <w:rFonts w:ascii="Calibri" w:hAnsi="Calibri" w:cs="Calibri"/>
      <w:sz w:val="16"/>
      <w:szCs w:val="16"/>
    </w:rPr>
  </w:style>
  <w:style w:type="paragraph" w:customStyle="1" w:styleId="SOMContent">
    <w:name w:val="SOMContent"/>
    <w:basedOn w:val="Normal"/>
    <w:rsid w:val="0095682A"/>
    <w:pPr>
      <w:spacing w:before="120"/>
    </w:pPr>
    <w:rPr>
      <w:rFonts w:eastAsia="Times New Roman"/>
      <w:sz w:val="24"/>
      <w:szCs w:val="24"/>
    </w:rPr>
  </w:style>
  <w:style w:type="character" w:styleId="Strong">
    <w:name w:val="Strong"/>
    <w:basedOn w:val="DefaultParagraphFont"/>
    <w:uiPriority w:val="22"/>
    <w:qFormat/>
    <w:rsid w:val="00FF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635">
      <w:bodyDiv w:val="1"/>
      <w:marLeft w:val="0"/>
      <w:marRight w:val="0"/>
      <w:marTop w:val="0"/>
      <w:marBottom w:val="0"/>
      <w:divBdr>
        <w:top w:val="none" w:sz="0" w:space="0" w:color="auto"/>
        <w:left w:val="none" w:sz="0" w:space="0" w:color="auto"/>
        <w:bottom w:val="none" w:sz="0" w:space="0" w:color="auto"/>
        <w:right w:val="none" w:sz="0" w:space="0" w:color="auto"/>
      </w:divBdr>
    </w:div>
    <w:div w:id="300579533">
      <w:bodyDiv w:val="1"/>
      <w:marLeft w:val="0"/>
      <w:marRight w:val="0"/>
      <w:marTop w:val="0"/>
      <w:marBottom w:val="0"/>
      <w:divBdr>
        <w:top w:val="none" w:sz="0" w:space="0" w:color="auto"/>
        <w:left w:val="none" w:sz="0" w:space="0" w:color="auto"/>
        <w:bottom w:val="none" w:sz="0" w:space="0" w:color="auto"/>
        <w:right w:val="none" w:sz="0" w:space="0" w:color="auto"/>
      </w:divBdr>
    </w:div>
    <w:div w:id="479928629">
      <w:bodyDiv w:val="1"/>
      <w:marLeft w:val="0"/>
      <w:marRight w:val="0"/>
      <w:marTop w:val="0"/>
      <w:marBottom w:val="0"/>
      <w:divBdr>
        <w:top w:val="none" w:sz="0" w:space="0" w:color="auto"/>
        <w:left w:val="none" w:sz="0" w:space="0" w:color="auto"/>
        <w:bottom w:val="none" w:sz="0" w:space="0" w:color="auto"/>
        <w:right w:val="none" w:sz="0" w:space="0" w:color="auto"/>
      </w:divBdr>
    </w:div>
    <w:div w:id="661737800">
      <w:bodyDiv w:val="1"/>
      <w:marLeft w:val="0"/>
      <w:marRight w:val="0"/>
      <w:marTop w:val="0"/>
      <w:marBottom w:val="0"/>
      <w:divBdr>
        <w:top w:val="none" w:sz="0" w:space="0" w:color="auto"/>
        <w:left w:val="none" w:sz="0" w:space="0" w:color="auto"/>
        <w:bottom w:val="none" w:sz="0" w:space="0" w:color="auto"/>
        <w:right w:val="none" w:sz="0" w:space="0" w:color="auto"/>
      </w:divBdr>
    </w:div>
    <w:div w:id="793329834">
      <w:bodyDiv w:val="1"/>
      <w:marLeft w:val="0"/>
      <w:marRight w:val="0"/>
      <w:marTop w:val="0"/>
      <w:marBottom w:val="0"/>
      <w:divBdr>
        <w:top w:val="none" w:sz="0" w:space="0" w:color="auto"/>
        <w:left w:val="none" w:sz="0" w:space="0" w:color="auto"/>
        <w:bottom w:val="none" w:sz="0" w:space="0" w:color="auto"/>
        <w:right w:val="none" w:sz="0" w:space="0" w:color="auto"/>
      </w:divBdr>
    </w:div>
    <w:div w:id="801118735">
      <w:bodyDiv w:val="1"/>
      <w:marLeft w:val="0"/>
      <w:marRight w:val="0"/>
      <w:marTop w:val="0"/>
      <w:marBottom w:val="0"/>
      <w:divBdr>
        <w:top w:val="none" w:sz="0" w:space="0" w:color="auto"/>
        <w:left w:val="none" w:sz="0" w:space="0" w:color="auto"/>
        <w:bottom w:val="none" w:sz="0" w:space="0" w:color="auto"/>
        <w:right w:val="none" w:sz="0" w:space="0" w:color="auto"/>
      </w:divBdr>
    </w:div>
    <w:div w:id="844320784">
      <w:bodyDiv w:val="1"/>
      <w:marLeft w:val="0"/>
      <w:marRight w:val="0"/>
      <w:marTop w:val="0"/>
      <w:marBottom w:val="0"/>
      <w:divBdr>
        <w:top w:val="none" w:sz="0" w:space="0" w:color="auto"/>
        <w:left w:val="none" w:sz="0" w:space="0" w:color="auto"/>
        <w:bottom w:val="none" w:sz="0" w:space="0" w:color="auto"/>
        <w:right w:val="none" w:sz="0" w:space="0" w:color="auto"/>
      </w:divBdr>
      <w:divsChild>
        <w:div w:id="1020201898">
          <w:marLeft w:val="0"/>
          <w:marRight w:val="0"/>
          <w:marTop w:val="0"/>
          <w:marBottom w:val="0"/>
          <w:divBdr>
            <w:top w:val="none" w:sz="0" w:space="0" w:color="auto"/>
            <w:left w:val="none" w:sz="0" w:space="0" w:color="auto"/>
            <w:bottom w:val="none" w:sz="0" w:space="0" w:color="auto"/>
            <w:right w:val="none" w:sz="0" w:space="0" w:color="auto"/>
          </w:divBdr>
        </w:div>
        <w:div w:id="2063745757">
          <w:marLeft w:val="0"/>
          <w:marRight w:val="0"/>
          <w:marTop w:val="0"/>
          <w:marBottom w:val="0"/>
          <w:divBdr>
            <w:top w:val="none" w:sz="0" w:space="0" w:color="auto"/>
            <w:left w:val="none" w:sz="0" w:space="0" w:color="auto"/>
            <w:bottom w:val="none" w:sz="0" w:space="0" w:color="auto"/>
            <w:right w:val="none" w:sz="0" w:space="0" w:color="auto"/>
          </w:divBdr>
        </w:div>
      </w:divsChild>
    </w:div>
    <w:div w:id="891968825">
      <w:bodyDiv w:val="1"/>
      <w:marLeft w:val="0"/>
      <w:marRight w:val="0"/>
      <w:marTop w:val="0"/>
      <w:marBottom w:val="0"/>
      <w:divBdr>
        <w:top w:val="none" w:sz="0" w:space="0" w:color="auto"/>
        <w:left w:val="none" w:sz="0" w:space="0" w:color="auto"/>
        <w:bottom w:val="none" w:sz="0" w:space="0" w:color="auto"/>
        <w:right w:val="none" w:sz="0" w:space="0" w:color="auto"/>
      </w:divBdr>
    </w:div>
    <w:div w:id="1029532565">
      <w:bodyDiv w:val="1"/>
      <w:marLeft w:val="0"/>
      <w:marRight w:val="0"/>
      <w:marTop w:val="0"/>
      <w:marBottom w:val="0"/>
      <w:divBdr>
        <w:top w:val="none" w:sz="0" w:space="0" w:color="auto"/>
        <w:left w:val="none" w:sz="0" w:space="0" w:color="auto"/>
        <w:bottom w:val="none" w:sz="0" w:space="0" w:color="auto"/>
        <w:right w:val="none" w:sz="0" w:space="0" w:color="auto"/>
      </w:divBdr>
    </w:div>
    <w:div w:id="1338072714">
      <w:bodyDiv w:val="1"/>
      <w:marLeft w:val="0"/>
      <w:marRight w:val="0"/>
      <w:marTop w:val="0"/>
      <w:marBottom w:val="0"/>
      <w:divBdr>
        <w:top w:val="none" w:sz="0" w:space="0" w:color="auto"/>
        <w:left w:val="none" w:sz="0" w:space="0" w:color="auto"/>
        <w:bottom w:val="none" w:sz="0" w:space="0" w:color="auto"/>
        <w:right w:val="none" w:sz="0" w:space="0" w:color="auto"/>
      </w:divBdr>
      <w:divsChild>
        <w:div w:id="256408497">
          <w:marLeft w:val="0"/>
          <w:marRight w:val="0"/>
          <w:marTop w:val="0"/>
          <w:marBottom w:val="0"/>
          <w:divBdr>
            <w:top w:val="none" w:sz="0" w:space="0" w:color="auto"/>
            <w:left w:val="none" w:sz="0" w:space="0" w:color="auto"/>
            <w:bottom w:val="none" w:sz="0" w:space="0" w:color="auto"/>
            <w:right w:val="none" w:sz="0" w:space="0" w:color="auto"/>
          </w:divBdr>
        </w:div>
      </w:divsChild>
    </w:div>
    <w:div w:id="159057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us-news/ng-interactive/2015/jun/01/about-the-counted" TargetMode="External"/><Relationship Id="rId13" Type="http://schemas.openxmlformats.org/officeDocument/2006/relationships/hyperlink" Target="http://www.fatalencounters.org/" TargetMode="External"/><Relationship Id="rId18" Type="http://schemas.openxmlformats.org/officeDocument/2006/relationships/hyperlink" Target="http://www.cdc.gov/ViolencePrevention/NVDRS/" TargetMode="External"/><Relationship Id="rId3" Type="http://schemas.openxmlformats.org/officeDocument/2006/relationships/settings" Target="settings.xml"/><Relationship Id="rId21" Type="http://schemas.openxmlformats.org/officeDocument/2006/relationships/hyperlink" Target="http://www.icpsr.umich.edu/icpsrweb/NACJD/studies/36124" TargetMode="External"/><Relationship Id="rId7" Type="http://schemas.openxmlformats.org/officeDocument/2006/relationships/hyperlink" Target="http://www.theguardian.com/us-news/ng-interactive/2015/jun/01/the-counted-police-killings-us-database" TargetMode="External"/><Relationship Id="rId12" Type="http://schemas.openxmlformats.org/officeDocument/2006/relationships/hyperlink" Target="http://www.washingtonpost.com/graphics/national/police-shootings/" TargetMode="External"/><Relationship Id="rId17" Type="http://schemas.openxmlformats.org/officeDocument/2006/relationships/hyperlink" Target="http://wonder.cdc.gov/ucd-icd10.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onder.cdc.gov/mortSQL.html" TargetMode="External"/><Relationship Id="rId20" Type="http://schemas.openxmlformats.org/officeDocument/2006/relationships/hyperlink" Target="https://www.fbi.gov/about-us/cjis/ucr/crime-in-the-u.s/2012/crime-in-the-u.s.-2012/offenses-known-to-law-enforcement/expanded-homicide/expandhomicidema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guardian.com/us-news/ng-interactive/2015/jun/01/about-the-counte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leomf.com/" TargetMode="External"/><Relationship Id="rId23" Type="http://schemas.openxmlformats.org/officeDocument/2006/relationships/footer" Target="footer1.xml"/><Relationship Id="rId10" Type="http://schemas.openxmlformats.org/officeDocument/2006/relationships/hyperlink" Target="http://killedbypolice.net/" TargetMode="External"/><Relationship Id="rId19" Type="http://schemas.openxmlformats.org/officeDocument/2006/relationships/hyperlink" Target="http://www.bjs.gov/index.cfm?ty=tp&amp;tid=7" TargetMode="External"/><Relationship Id="rId4" Type="http://schemas.openxmlformats.org/officeDocument/2006/relationships/webSettings" Target="webSettings.xml"/><Relationship Id="rId9" Type="http://schemas.openxmlformats.org/officeDocument/2006/relationships/hyperlink" Target="http://www.fatalencounters.org/" TargetMode="External"/><Relationship Id="rId14" Type="http://schemas.openxmlformats.org/officeDocument/2006/relationships/hyperlink" Target="http://www.policemisconduct.net/statistics/" TargetMode="External"/><Relationship Id="rId22" Type="http://schemas.openxmlformats.org/officeDocument/2006/relationships/hyperlink" Target="http://www.bjs.gov/index.cfm?ty=pbdetail&amp;iid=52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1262</Words>
  <Characters>7200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Rebecca Lockhart</cp:lastModifiedBy>
  <cp:revision>2</cp:revision>
  <cp:lastPrinted>2015-06-27T20:21:00Z</cp:lastPrinted>
  <dcterms:created xsi:type="dcterms:W3CDTF">2015-10-23T11:01:00Z</dcterms:created>
  <dcterms:modified xsi:type="dcterms:W3CDTF">2015-10-23T11:01:00Z</dcterms:modified>
</cp:coreProperties>
</file>