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C2B2" w14:textId="62307EB2" w:rsidR="005E2CD7" w:rsidRDefault="00E171FE" w:rsidP="005E2CD7">
      <w:pPr>
        <w:rPr>
          <w:b/>
          <w:i/>
        </w:rPr>
      </w:pPr>
      <w:r>
        <w:rPr>
          <w:b/>
          <w:i/>
        </w:rPr>
        <w:t>S</w:t>
      </w:r>
      <w:r w:rsidR="00D37697">
        <w:rPr>
          <w:b/>
          <w:i/>
        </w:rPr>
        <w:t>2</w:t>
      </w:r>
      <w:r>
        <w:rPr>
          <w:b/>
          <w:i/>
        </w:rPr>
        <w:t xml:space="preserve"> Text</w:t>
      </w:r>
      <w:r w:rsidR="005E2CD7">
        <w:rPr>
          <w:b/>
          <w:i/>
        </w:rPr>
        <w:t>:</w:t>
      </w:r>
    </w:p>
    <w:p w14:paraId="79A0DE1C" w14:textId="3C0914AC" w:rsidR="005E2CD7" w:rsidRPr="00C9271D" w:rsidRDefault="00D37697" w:rsidP="005E2CD7">
      <w:pPr>
        <w:rPr>
          <w:b/>
          <w:i/>
        </w:rPr>
      </w:pPr>
      <w:r w:rsidRPr="00D37697">
        <w:rPr>
          <w:b/>
          <w:i/>
        </w:rPr>
        <w:t>Sensitivity analysis 1: Exemptions for small manufacturers and producers</w:t>
      </w:r>
    </w:p>
    <w:p w14:paraId="5E6B3321" w14:textId="5BAF6BF7" w:rsidR="00B8666C" w:rsidRDefault="005E2CD7" w:rsidP="005E2CD7">
      <w:pPr>
        <w:spacing w:line="480" w:lineRule="auto"/>
        <w:jc w:val="both"/>
      </w:pPr>
      <w:r>
        <w:t xml:space="preserve">In sensitivity analysis 1 average annual sales of levy liable drinks was estimated from our data, and manufacturers with &lt;1M or &lt;0.5M litres of liable product were excluded from the analysis. Controlled ITS analysis was carried out for both levy liable tiers and the results </w:t>
      </w:r>
      <w:r w:rsidR="00B8666C">
        <w:t xml:space="preserve">are very similar to </w:t>
      </w:r>
      <w:r>
        <w:t>those in the main analyses (</w:t>
      </w:r>
      <w:r w:rsidR="00E171FE">
        <w:t>Table 2 and Table 3</w:t>
      </w:r>
      <w:r>
        <w:t xml:space="preserve">) where all manufacturers were included. </w:t>
      </w:r>
    </w:p>
    <w:p w14:paraId="463CD0E0" w14:textId="73CDB9DF" w:rsidR="00B8666C" w:rsidRDefault="00B8666C" w:rsidP="005E2CD7">
      <w:pPr>
        <w:spacing w:line="480" w:lineRule="auto"/>
        <w:jc w:val="both"/>
      </w:pPr>
      <w:r>
        <w:t>For example, in the main analysis (Table 2 and Table 3), a</w:t>
      </w:r>
      <w:r w:rsidR="005E2CD7">
        <w:t xml:space="preserve">fter 2 years </w:t>
      </w:r>
      <w:r>
        <w:t xml:space="preserve">we found a relative increase in purchase volume of higher tier drinks of 9.1% and a relative decrease in purchase volume of lower tier drinks of 38.4%. Comparable figures for sugar were 10.2% and -38.2%. </w:t>
      </w:r>
    </w:p>
    <w:p w14:paraId="45F07BF4" w14:textId="36E64299" w:rsidR="00B8666C" w:rsidRDefault="00B8666C" w:rsidP="005E2CD7">
      <w:pPr>
        <w:spacing w:line="480" w:lineRule="auto"/>
        <w:jc w:val="both"/>
      </w:pPr>
      <w:r>
        <w:t xml:space="preserve">When </w:t>
      </w:r>
      <w:r w:rsidR="00D05311">
        <w:t>manufacturers with sales of &lt;1M litres per year of liable product were excluded the figures were 9.5%, -39.0%, 11.4% and -41.6%; when manufacturers with sales of &lt;0.5M litres per year of liable product were excluded the figures were 9.6%, -39.0%, 9.8% and -41.6% (see S2 Table and S3 Table).</w:t>
      </w:r>
    </w:p>
    <w:p w14:paraId="2B75C1E6" w14:textId="4C574A6C" w:rsidR="005E2CD7" w:rsidRDefault="005E2CD7" w:rsidP="005E2CD7">
      <w:pPr>
        <w:spacing w:line="480" w:lineRule="auto"/>
        <w:jc w:val="both"/>
        <w:rPr>
          <w:sz w:val="18"/>
          <w:szCs w:val="18"/>
          <w:vertAlign w:val="superscript"/>
        </w:rPr>
      </w:pPr>
      <w:r>
        <w:rPr>
          <w:sz w:val="18"/>
          <w:szCs w:val="18"/>
          <w:vertAlign w:val="superscript"/>
        </w:rPr>
        <w:br w:type="page"/>
      </w:r>
    </w:p>
    <w:p w14:paraId="5F9C6A59" w14:textId="77777777" w:rsidR="005E2CD7" w:rsidRDefault="005E2CD7" w:rsidP="005E2CD7">
      <w:pPr>
        <w:sectPr w:rsidR="005E2CD7" w:rsidSect="00610066">
          <w:pgSz w:w="11906" w:h="16838"/>
          <w:pgMar w:top="1440" w:right="1440" w:bottom="1440" w:left="1440" w:header="709" w:footer="709" w:gutter="0"/>
          <w:lnNumType w:countBy="1" w:restart="continuous"/>
          <w:cols w:space="708"/>
          <w:docGrid w:linePitch="360"/>
        </w:sectPr>
      </w:pPr>
    </w:p>
    <w:p w14:paraId="0EA8B15A" w14:textId="4BCEE321" w:rsidR="005E2CD7" w:rsidRPr="003F00FD" w:rsidRDefault="00E171FE" w:rsidP="005E2CD7">
      <w:pPr>
        <w:spacing w:line="480" w:lineRule="auto"/>
        <w:jc w:val="both"/>
        <w:rPr>
          <w:b/>
        </w:rPr>
      </w:pPr>
      <w:r>
        <w:lastRenderedPageBreak/>
        <w:t>S2 Table</w:t>
      </w:r>
      <w:r w:rsidR="005E2CD7" w:rsidRPr="0074611C">
        <w:t xml:space="preserve"> </w:t>
      </w:r>
      <w:r w:rsidR="005E2CD7">
        <w:t>Adjusted change in mean v</w:t>
      </w:r>
      <w:r w:rsidR="005E2CD7" w:rsidRPr="003F00FD">
        <w:t xml:space="preserve">olume </w:t>
      </w:r>
      <w:r w:rsidR="005E2CD7">
        <w:t xml:space="preserve">of drinks </w:t>
      </w:r>
      <w:r w:rsidR="00B8666C">
        <w:t xml:space="preserve">(ml) </w:t>
      </w:r>
      <w:r w:rsidR="005E2CD7">
        <w:t>purchased per household per week (95% CI) (level) and adjusted change per week (trend) post-announcement of the Soft Drinks Industry Levy including toiletries as a control condition, with absolute and relative differences in purchased volume at two-years post-announcement</w:t>
      </w:r>
      <w:r w:rsidR="00B8666C">
        <w:t>;</w:t>
      </w:r>
      <w:r w:rsidR="005E2CD7">
        <w:t xml:space="preserve"> excluding small manufacturers</w:t>
      </w:r>
    </w:p>
    <w:tbl>
      <w:tblPr>
        <w:tblStyle w:val="TableGrid1"/>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719"/>
        <w:gridCol w:w="1668"/>
        <w:gridCol w:w="2551"/>
        <w:gridCol w:w="1985"/>
        <w:gridCol w:w="2268"/>
      </w:tblGrid>
      <w:tr w:rsidR="00B8666C" w:rsidRPr="0025382B" w14:paraId="76E6F723" w14:textId="77777777" w:rsidTr="00B75901">
        <w:trPr>
          <w:trHeight w:val="262"/>
        </w:trPr>
        <w:tc>
          <w:tcPr>
            <w:tcW w:w="3969" w:type="dxa"/>
            <w:gridSpan w:val="2"/>
            <w:tcBorders>
              <w:top w:val="single" w:sz="8" w:space="0" w:color="auto"/>
            </w:tcBorders>
          </w:tcPr>
          <w:p w14:paraId="71A0609F" w14:textId="77777777" w:rsidR="00B8666C" w:rsidRPr="0025382B" w:rsidRDefault="00B8666C" w:rsidP="00B03E46">
            <w:pPr>
              <w:jc w:val="both"/>
              <w:rPr>
                <w:sz w:val="20"/>
                <w:szCs w:val="20"/>
              </w:rPr>
            </w:pPr>
          </w:p>
        </w:tc>
        <w:tc>
          <w:tcPr>
            <w:tcW w:w="1668" w:type="dxa"/>
            <w:tcBorders>
              <w:top w:val="single" w:sz="8" w:space="0" w:color="auto"/>
            </w:tcBorders>
          </w:tcPr>
          <w:p w14:paraId="30A7A461" w14:textId="77777777" w:rsidR="00B8666C" w:rsidRPr="0025382B" w:rsidRDefault="00B8666C" w:rsidP="00B03E46">
            <w:pPr>
              <w:jc w:val="center"/>
              <w:rPr>
                <w:sz w:val="20"/>
                <w:szCs w:val="20"/>
              </w:rPr>
            </w:pPr>
          </w:p>
        </w:tc>
        <w:tc>
          <w:tcPr>
            <w:tcW w:w="2551" w:type="dxa"/>
            <w:tcBorders>
              <w:top w:val="single" w:sz="8" w:space="0" w:color="auto"/>
            </w:tcBorders>
          </w:tcPr>
          <w:p w14:paraId="2A59F761" w14:textId="77777777" w:rsidR="00B8666C" w:rsidRPr="0025382B" w:rsidRDefault="00B8666C" w:rsidP="00B03E46">
            <w:pPr>
              <w:jc w:val="center"/>
              <w:rPr>
                <w:sz w:val="20"/>
                <w:szCs w:val="20"/>
              </w:rPr>
            </w:pPr>
          </w:p>
        </w:tc>
        <w:tc>
          <w:tcPr>
            <w:tcW w:w="4253" w:type="dxa"/>
            <w:gridSpan w:val="2"/>
            <w:tcBorders>
              <w:top w:val="single" w:sz="8" w:space="0" w:color="auto"/>
              <w:bottom w:val="single" w:sz="8" w:space="0" w:color="auto"/>
            </w:tcBorders>
          </w:tcPr>
          <w:p w14:paraId="58740B6B" w14:textId="77777777" w:rsidR="00B8666C" w:rsidRPr="0025382B" w:rsidRDefault="00B8666C" w:rsidP="00B03E46">
            <w:pPr>
              <w:jc w:val="center"/>
              <w:rPr>
                <w:sz w:val="20"/>
                <w:szCs w:val="20"/>
              </w:rPr>
            </w:pPr>
            <w:r w:rsidRPr="0025382B">
              <w:rPr>
                <w:sz w:val="20"/>
                <w:szCs w:val="20"/>
              </w:rPr>
              <w:t>Change at 2 years after the SDIL announcement</w:t>
            </w:r>
          </w:p>
        </w:tc>
      </w:tr>
      <w:tr w:rsidR="00B8666C" w:rsidRPr="0025382B" w14:paraId="370B0B58" w14:textId="77777777" w:rsidTr="00B75901">
        <w:trPr>
          <w:trHeight w:val="247"/>
        </w:trPr>
        <w:tc>
          <w:tcPr>
            <w:tcW w:w="3969" w:type="dxa"/>
            <w:gridSpan w:val="2"/>
            <w:tcBorders>
              <w:bottom w:val="single" w:sz="8" w:space="0" w:color="auto"/>
            </w:tcBorders>
          </w:tcPr>
          <w:p w14:paraId="4D336F80" w14:textId="0E318705" w:rsidR="00B8666C" w:rsidRPr="0025382B" w:rsidRDefault="00B8666C" w:rsidP="00B03E46">
            <w:pPr>
              <w:jc w:val="both"/>
              <w:rPr>
                <w:sz w:val="20"/>
                <w:szCs w:val="20"/>
              </w:rPr>
            </w:pPr>
            <w:r>
              <w:rPr>
                <w:sz w:val="20"/>
                <w:szCs w:val="20"/>
              </w:rPr>
              <w:t>Category</w:t>
            </w:r>
          </w:p>
        </w:tc>
        <w:tc>
          <w:tcPr>
            <w:tcW w:w="1668" w:type="dxa"/>
            <w:tcBorders>
              <w:bottom w:val="single" w:sz="8" w:space="0" w:color="auto"/>
            </w:tcBorders>
          </w:tcPr>
          <w:p w14:paraId="49496E25" w14:textId="77777777" w:rsidR="00B8666C" w:rsidRPr="0025382B" w:rsidRDefault="00B8666C" w:rsidP="00B03E46">
            <w:pPr>
              <w:jc w:val="center"/>
              <w:rPr>
                <w:sz w:val="20"/>
                <w:szCs w:val="20"/>
              </w:rPr>
            </w:pPr>
            <w:r w:rsidRPr="0025382B">
              <w:rPr>
                <w:sz w:val="20"/>
                <w:szCs w:val="20"/>
              </w:rPr>
              <w:t>Level change</w:t>
            </w:r>
            <w:r>
              <w:rPr>
                <w:sz w:val="20"/>
                <w:szCs w:val="20"/>
              </w:rPr>
              <w:t xml:space="preserve"> (ml)</w:t>
            </w:r>
          </w:p>
        </w:tc>
        <w:tc>
          <w:tcPr>
            <w:tcW w:w="2551" w:type="dxa"/>
            <w:tcBorders>
              <w:bottom w:val="single" w:sz="8" w:space="0" w:color="auto"/>
            </w:tcBorders>
          </w:tcPr>
          <w:p w14:paraId="211369D2" w14:textId="77777777" w:rsidR="00B8666C" w:rsidRPr="0025382B" w:rsidRDefault="00B8666C" w:rsidP="00B03E46">
            <w:pPr>
              <w:jc w:val="center"/>
              <w:rPr>
                <w:sz w:val="20"/>
                <w:szCs w:val="20"/>
              </w:rPr>
            </w:pPr>
            <w:r w:rsidRPr="0025382B">
              <w:rPr>
                <w:sz w:val="20"/>
                <w:szCs w:val="20"/>
              </w:rPr>
              <w:t>Trend change</w:t>
            </w:r>
            <w:r>
              <w:rPr>
                <w:sz w:val="20"/>
                <w:szCs w:val="20"/>
              </w:rPr>
              <w:t xml:space="preserve"> (ml per week)</w:t>
            </w:r>
          </w:p>
        </w:tc>
        <w:tc>
          <w:tcPr>
            <w:tcW w:w="1985" w:type="dxa"/>
            <w:tcBorders>
              <w:top w:val="single" w:sz="8" w:space="0" w:color="auto"/>
              <w:bottom w:val="single" w:sz="8" w:space="0" w:color="auto"/>
            </w:tcBorders>
          </w:tcPr>
          <w:p w14:paraId="00CF51BE" w14:textId="77777777" w:rsidR="00B8666C" w:rsidRPr="0025382B" w:rsidRDefault="00B8666C" w:rsidP="00B03E46">
            <w:pPr>
              <w:jc w:val="both"/>
              <w:rPr>
                <w:sz w:val="20"/>
                <w:szCs w:val="20"/>
              </w:rPr>
            </w:pPr>
            <w:r w:rsidRPr="0025382B">
              <w:rPr>
                <w:sz w:val="20"/>
                <w:szCs w:val="20"/>
              </w:rPr>
              <w:t>Absolute change</w:t>
            </w:r>
            <w:r>
              <w:rPr>
                <w:sz w:val="20"/>
                <w:szCs w:val="20"/>
              </w:rPr>
              <w:t xml:space="preserve"> (ml)</w:t>
            </w:r>
          </w:p>
        </w:tc>
        <w:tc>
          <w:tcPr>
            <w:tcW w:w="2268" w:type="dxa"/>
            <w:tcBorders>
              <w:top w:val="single" w:sz="8" w:space="0" w:color="auto"/>
              <w:bottom w:val="single" w:sz="8" w:space="0" w:color="auto"/>
            </w:tcBorders>
          </w:tcPr>
          <w:p w14:paraId="2C7F9F32" w14:textId="77777777" w:rsidR="00B8666C" w:rsidRPr="0025382B" w:rsidRDefault="00B8666C" w:rsidP="00B03E46">
            <w:pPr>
              <w:jc w:val="both"/>
              <w:rPr>
                <w:sz w:val="20"/>
                <w:szCs w:val="20"/>
              </w:rPr>
            </w:pPr>
            <w:r w:rsidRPr="0025382B">
              <w:rPr>
                <w:sz w:val="20"/>
                <w:szCs w:val="20"/>
              </w:rPr>
              <w:t>Relative change</w:t>
            </w:r>
            <w:r>
              <w:rPr>
                <w:sz w:val="20"/>
                <w:szCs w:val="20"/>
              </w:rPr>
              <w:t xml:space="preserve"> (%)</w:t>
            </w:r>
          </w:p>
        </w:tc>
      </w:tr>
      <w:tr w:rsidR="005E2CD7" w:rsidRPr="0025382B" w14:paraId="560F24E2" w14:textId="77777777" w:rsidTr="00B75901">
        <w:trPr>
          <w:trHeight w:val="262"/>
        </w:trPr>
        <w:tc>
          <w:tcPr>
            <w:tcW w:w="3969" w:type="dxa"/>
            <w:gridSpan w:val="2"/>
            <w:tcBorders>
              <w:top w:val="single" w:sz="8" w:space="0" w:color="auto"/>
              <w:bottom w:val="single" w:sz="8" w:space="0" w:color="DEEAF6" w:themeColor="accent1" w:themeTint="33"/>
            </w:tcBorders>
          </w:tcPr>
          <w:p w14:paraId="3DBF0D91" w14:textId="77777777" w:rsidR="005E2CD7" w:rsidRPr="00801344" w:rsidRDefault="005E2CD7" w:rsidP="00B03E46">
            <w:pPr>
              <w:jc w:val="both"/>
              <w:rPr>
                <w:sz w:val="20"/>
                <w:szCs w:val="20"/>
              </w:rPr>
            </w:pPr>
            <w:r w:rsidRPr="00801344">
              <w:rPr>
                <w:sz w:val="20"/>
                <w:szCs w:val="20"/>
              </w:rPr>
              <w:t>&lt;1 M Litres</w:t>
            </w:r>
          </w:p>
        </w:tc>
        <w:tc>
          <w:tcPr>
            <w:tcW w:w="1668" w:type="dxa"/>
            <w:tcBorders>
              <w:top w:val="single" w:sz="8" w:space="0" w:color="auto"/>
              <w:bottom w:val="single" w:sz="8" w:space="0" w:color="DEEAF6" w:themeColor="accent1" w:themeTint="33"/>
            </w:tcBorders>
          </w:tcPr>
          <w:p w14:paraId="657846B2" w14:textId="77777777" w:rsidR="005E2CD7" w:rsidRPr="0025382B" w:rsidRDefault="005E2CD7" w:rsidP="00B03E46">
            <w:pPr>
              <w:jc w:val="center"/>
              <w:rPr>
                <w:sz w:val="20"/>
                <w:szCs w:val="20"/>
              </w:rPr>
            </w:pPr>
          </w:p>
        </w:tc>
        <w:tc>
          <w:tcPr>
            <w:tcW w:w="2551" w:type="dxa"/>
            <w:tcBorders>
              <w:top w:val="single" w:sz="8" w:space="0" w:color="auto"/>
              <w:bottom w:val="single" w:sz="8" w:space="0" w:color="DEEAF6" w:themeColor="accent1" w:themeTint="33"/>
            </w:tcBorders>
          </w:tcPr>
          <w:p w14:paraId="523CFE65" w14:textId="77777777" w:rsidR="005E2CD7" w:rsidRPr="0025382B" w:rsidRDefault="005E2CD7" w:rsidP="00B03E46">
            <w:pPr>
              <w:jc w:val="center"/>
              <w:rPr>
                <w:sz w:val="20"/>
                <w:szCs w:val="20"/>
              </w:rPr>
            </w:pPr>
          </w:p>
        </w:tc>
        <w:tc>
          <w:tcPr>
            <w:tcW w:w="1985" w:type="dxa"/>
            <w:tcBorders>
              <w:top w:val="single" w:sz="8" w:space="0" w:color="auto"/>
              <w:bottom w:val="single" w:sz="8" w:space="0" w:color="DEEAF6" w:themeColor="accent1" w:themeTint="33"/>
            </w:tcBorders>
          </w:tcPr>
          <w:p w14:paraId="08F83978" w14:textId="77777777" w:rsidR="005E2CD7" w:rsidRPr="0025382B" w:rsidRDefault="005E2CD7" w:rsidP="00B03E46">
            <w:pPr>
              <w:jc w:val="both"/>
              <w:rPr>
                <w:sz w:val="20"/>
                <w:szCs w:val="20"/>
              </w:rPr>
            </w:pPr>
          </w:p>
        </w:tc>
        <w:tc>
          <w:tcPr>
            <w:tcW w:w="2268" w:type="dxa"/>
            <w:tcBorders>
              <w:top w:val="single" w:sz="8" w:space="0" w:color="auto"/>
              <w:bottom w:val="single" w:sz="8" w:space="0" w:color="DEEAF6" w:themeColor="accent1" w:themeTint="33"/>
            </w:tcBorders>
          </w:tcPr>
          <w:p w14:paraId="35C15CBA" w14:textId="77777777" w:rsidR="005E2CD7" w:rsidRPr="0025382B" w:rsidRDefault="005E2CD7" w:rsidP="00B03E46">
            <w:pPr>
              <w:jc w:val="both"/>
              <w:rPr>
                <w:sz w:val="20"/>
                <w:szCs w:val="20"/>
              </w:rPr>
            </w:pPr>
          </w:p>
        </w:tc>
      </w:tr>
      <w:tr w:rsidR="005E2CD7" w:rsidRPr="0025382B" w14:paraId="0DCBEB90" w14:textId="77777777" w:rsidTr="00B75901">
        <w:trPr>
          <w:trHeight w:val="247"/>
        </w:trPr>
        <w:tc>
          <w:tcPr>
            <w:tcW w:w="250" w:type="dxa"/>
            <w:tcBorders>
              <w:top w:val="single" w:sz="8" w:space="0" w:color="DEEAF6" w:themeColor="accent1" w:themeTint="33"/>
              <w:bottom w:val="single" w:sz="8" w:space="0" w:color="DEEAF6" w:themeColor="accent1" w:themeTint="33"/>
            </w:tcBorders>
          </w:tcPr>
          <w:p w14:paraId="1E06DFB9" w14:textId="77777777" w:rsidR="005E2CD7" w:rsidRPr="0025382B" w:rsidRDefault="005E2CD7" w:rsidP="00B03E46">
            <w:pPr>
              <w:jc w:val="both"/>
              <w:rPr>
                <w:sz w:val="20"/>
                <w:szCs w:val="20"/>
              </w:rPr>
            </w:pPr>
          </w:p>
        </w:tc>
        <w:tc>
          <w:tcPr>
            <w:tcW w:w="3719" w:type="dxa"/>
            <w:tcBorders>
              <w:top w:val="single" w:sz="8" w:space="0" w:color="DEEAF6" w:themeColor="accent1" w:themeTint="33"/>
              <w:bottom w:val="single" w:sz="8" w:space="0" w:color="DEEAF6" w:themeColor="accent1" w:themeTint="33"/>
            </w:tcBorders>
          </w:tcPr>
          <w:p w14:paraId="08C18C16" w14:textId="77777777" w:rsidR="005E2CD7" w:rsidRPr="0025382B" w:rsidRDefault="005E2CD7" w:rsidP="00B03E46">
            <w:pPr>
              <w:jc w:val="both"/>
              <w:rPr>
                <w:sz w:val="20"/>
                <w:szCs w:val="20"/>
              </w:rPr>
            </w:pPr>
            <w:r w:rsidRPr="0025382B">
              <w:rPr>
                <w:sz w:val="20"/>
                <w:szCs w:val="20"/>
              </w:rPr>
              <w:t>High</w:t>
            </w:r>
            <w:r>
              <w:rPr>
                <w:sz w:val="20"/>
                <w:szCs w:val="20"/>
              </w:rPr>
              <w:t>er</w:t>
            </w:r>
            <w:r w:rsidRPr="0025382B">
              <w:rPr>
                <w:sz w:val="20"/>
                <w:szCs w:val="20"/>
              </w:rPr>
              <w:t xml:space="preserve"> tier ≥8g of sugar per 100ml</w:t>
            </w:r>
          </w:p>
        </w:tc>
        <w:tc>
          <w:tcPr>
            <w:tcW w:w="1668" w:type="dxa"/>
            <w:tcBorders>
              <w:top w:val="single" w:sz="8" w:space="0" w:color="DEEAF6" w:themeColor="accent1" w:themeTint="33"/>
              <w:bottom w:val="single" w:sz="8" w:space="0" w:color="DEEAF6" w:themeColor="accent1" w:themeTint="33"/>
            </w:tcBorders>
          </w:tcPr>
          <w:p w14:paraId="0427CD3C" w14:textId="004EDCBC" w:rsidR="005E2CD7" w:rsidRPr="00622AA1" w:rsidRDefault="00E16C80" w:rsidP="00B03E46">
            <w:pPr>
              <w:jc w:val="center"/>
              <w:rPr>
                <w:b/>
                <w:sz w:val="20"/>
                <w:szCs w:val="20"/>
              </w:rPr>
            </w:pPr>
            <w:r>
              <w:rPr>
                <w:b/>
                <w:sz w:val="20"/>
                <w:szCs w:val="20"/>
              </w:rPr>
              <w:t>4</w:t>
            </w:r>
            <w:r w:rsidR="005E2CD7">
              <w:rPr>
                <w:b/>
                <w:sz w:val="20"/>
                <w:szCs w:val="20"/>
              </w:rPr>
              <w:t>8.</w:t>
            </w:r>
            <w:r>
              <w:rPr>
                <w:b/>
                <w:sz w:val="20"/>
                <w:szCs w:val="20"/>
              </w:rPr>
              <w:t>8</w:t>
            </w:r>
            <w:r w:rsidR="005E2CD7" w:rsidRPr="00622AA1">
              <w:rPr>
                <w:b/>
                <w:sz w:val="20"/>
                <w:szCs w:val="20"/>
              </w:rPr>
              <w:t xml:space="preserve"> (</w:t>
            </w:r>
            <w:r w:rsidR="00BC2295">
              <w:rPr>
                <w:b/>
                <w:sz w:val="20"/>
                <w:szCs w:val="20"/>
              </w:rPr>
              <w:t>8.4, 89.2)</w:t>
            </w:r>
          </w:p>
        </w:tc>
        <w:tc>
          <w:tcPr>
            <w:tcW w:w="2551" w:type="dxa"/>
            <w:tcBorders>
              <w:top w:val="single" w:sz="8" w:space="0" w:color="DEEAF6" w:themeColor="accent1" w:themeTint="33"/>
              <w:bottom w:val="single" w:sz="8" w:space="0" w:color="DEEAF6" w:themeColor="accent1" w:themeTint="33"/>
            </w:tcBorders>
          </w:tcPr>
          <w:p w14:paraId="05F934D7" w14:textId="5CA166BD" w:rsidR="005E2CD7" w:rsidRPr="0025382B" w:rsidRDefault="005E2CD7" w:rsidP="00B8666C">
            <w:pPr>
              <w:jc w:val="center"/>
              <w:rPr>
                <w:sz w:val="20"/>
                <w:szCs w:val="20"/>
              </w:rPr>
            </w:pPr>
            <w:r w:rsidRPr="0025382B">
              <w:rPr>
                <w:sz w:val="20"/>
                <w:szCs w:val="20"/>
              </w:rPr>
              <w:t>-0.</w:t>
            </w:r>
            <w:r w:rsidR="00E16C80">
              <w:rPr>
                <w:sz w:val="20"/>
                <w:szCs w:val="20"/>
              </w:rPr>
              <w:t>1</w:t>
            </w:r>
            <w:r w:rsidRPr="0025382B">
              <w:rPr>
                <w:sz w:val="20"/>
                <w:szCs w:val="20"/>
              </w:rPr>
              <w:t xml:space="preserve"> (-</w:t>
            </w:r>
            <w:r w:rsidR="00BC2295">
              <w:rPr>
                <w:sz w:val="20"/>
                <w:szCs w:val="20"/>
              </w:rPr>
              <w:t>0.7</w:t>
            </w:r>
            <w:r w:rsidRPr="0025382B">
              <w:rPr>
                <w:sz w:val="20"/>
                <w:szCs w:val="20"/>
              </w:rPr>
              <w:t>, 0.</w:t>
            </w:r>
            <w:r w:rsidR="00BC2295">
              <w:rPr>
                <w:sz w:val="20"/>
                <w:szCs w:val="20"/>
              </w:rPr>
              <w:t>5</w:t>
            </w:r>
            <w:r w:rsidRPr="0025382B">
              <w:rPr>
                <w:sz w:val="20"/>
                <w:szCs w:val="20"/>
              </w:rPr>
              <w:t>)</w:t>
            </w:r>
          </w:p>
        </w:tc>
        <w:tc>
          <w:tcPr>
            <w:tcW w:w="1985" w:type="dxa"/>
            <w:tcBorders>
              <w:top w:val="single" w:sz="8" w:space="0" w:color="DEEAF6" w:themeColor="accent1" w:themeTint="33"/>
              <w:bottom w:val="single" w:sz="8" w:space="0" w:color="DEEAF6" w:themeColor="accent1" w:themeTint="33"/>
            </w:tcBorders>
          </w:tcPr>
          <w:p w14:paraId="446CDEDE" w14:textId="4ACF5619" w:rsidR="005E2CD7" w:rsidRPr="00B75901" w:rsidRDefault="00797811" w:rsidP="00B03E46">
            <w:pPr>
              <w:jc w:val="both"/>
              <w:rPr>
                <w:b/>
                <w:sz w:val="20"/>
                <w:szCs w:val="20"/>
              </w:rPr>
            </w:pPr>
            <w:r w:rsidRPr="00B75901">
              <w:rPr>
                <w:b/>
                <w:sz w:val="20"/>
                <w:szCs w:val="20"/>
              </w:rPr>
              <w:t>42.</w:t>
            </w:r>
            <w:r w:rsidR="00490891" w:rsidRPr="00B75901">
              <w:rPr>
                <w:b/>
                <w:sz w:val="20"/>
                <w:szCs w:val="20"/>
              </w:rPr>
              <w:t>2</w:t>
            </w:r>
            <w:r w:rsidR="005E2CD7" w:rsidRPr="00B75901">
              <w:rPr>
                <w:b/>
                <w:sz w:val="20"/>
                <w:szCs w:val="20"/>
              </w:rPr>
              <w:t xml:space="preserve"> (</w:t>
            </w:r>
            <w:r w:rsidRPr="00B75901">
              <w:rPr>
                <w:b/>
                <w:sz w:val="20"/>
                <w:szCs w:val="20"/>
              </w:rPr>
              <w:t>20.</w:t>
            </w:r>
            <w:r w:rsidR="00490891" w:rsidRPr="00B75901">
              <w:rPr>
                <w:b/>
                <w:sz w:val="20"/>
                <w:szCs w:val="20"/>
              </w:rPr>
              <w:t>3</w:t>
            </w:r>
            <w:r w:rsidR="005E2CD7" w:rsidRPr="00B75901">
              <w:rPr>
                <w:b/>
                <w:sz w:val="20"/>
                <w:szCs w:val="20"/>
              </w:rPr>
              <w:t xml:space="preserve">, </w:t>
            </w:r>
            <w:r w:rsidRPr="00B75901">
              <w:rPr>
                <w:b/>
                <w:sz w:val="20"/>
                <w:szCs w:val="20"/>
              </w:rPr>
              <w:t>6</w:t>
            </w:r>
            <w:r w:rsidR="00490891" w:rsidRPr="00B75901">
              <w:rPr>
                <w:b/>
                <w:sz w:val="20"/>
                <w:szCs w:val="20"/>
              </w:rPr>
              <w:t>4</w:t>
            </w:r>
            <w:r w:rsidR="00E16C80" w:rsidRPr="00B75901">
              <w:rPr>
                <w:b/>
                <w:sz w:val="20"/>
                <w:szCs w:val="20"/>
              </w:rPr>
              <w:t>.</w:t>
            </w:r>
            <w:r w:rsidR="00490891" w:rsidRPr="00B75901">
              <w:rPr>
                <w:b/>
                <w:sz w:val="20"/>
                <w:szCs w:val="20"/>
              </w:rPr>
              <w:t>1</w:t>
            </w:r>
            <w:r w:rsidR="005E2CD7" w:rsidRPr="00B75901">
              <w:rPr>
                <w:b/>
                <w:sz w:val="20"/>
                <w:szCs w:val="20"/>
              </w:rPr>
              <w:t>)</w:t>
            </w:r>
          </w:p>
        </w:tc>
        <w:tc>
          <w:tcPr>
            <w:tcW w:w="2268" w:type="dxa"/>
            <w:tcBorders>
              <w:top w:val="single" w:sz="8" w:space="0" w:color="DEEAF6" w:themeColor="accent1" w:themeTint="33"/>
              <w:bottom w:val="single" w:sz="8" w:space="0" w:color="DEEAF6" w:themeColor="accent1" w:themeTint="33"/>
            </w:tcBorders>
          </w:tcPr>
          <w:p w14:paraId="1FAEBE6C" w14:textId="424A33C2" w:rsidR="005E2CD7" w:rsidRPr="00B75901" w:rsidRDefault="00E16C80" w:rsidP="00B03E46">
            <w:pPr>
              <w:jc w:val="both"/>
              <w:rPr>
                <w:b/>
                <w:sz w:val="20"/>
                <w:szCs w:val="20"/>
              </w:rPr>
            </w:pPr>
            <w:r w:rsidRPr="00B75901">
              <w:rPr>
                <w:b/>
                <w:sz w:val="20"/>
                <w:szCs w:val="20"/>
              </w:rPr>
              <w:t>9</w:t>
            </w:r>
            <w:r w:rsidR="00490891" w:rsidRPr="00B75901">
              <w:rPr>
                <w:b/>
                <w:sz w:val="20"/>
                <w:szCs w:val="20"/>
              </w:rPr>
              <w:t>.5</w:t>
            </w:r>
            <w:r w:rsidR="005E2CD7" w:rsidRPr="00B75901">
              <w:rPr>
                <w:b/>
                <w:sz w:val="20"/>
                <w:szCs w:val="20"/>
              </w:rPr>
              <w:t xml:space="preserve"> (</w:t>
            </w:r>
            <w:r w:rsidRPr="00B75901">
              <w:rPr>
                <w:b/>
                <w:sz w:val="20"/>
                <w:szCs w:val="20"/>
              </w:rPr>
              <w:t>4.</w:t>
            </w:r>
            <w:r w:rsidR="00490891" w:rsidRPr="00B75901">
              <w:rPr>
                <w:b/>
                <w:sz w:val="20"/>
                <w:szCs w:val="20"/>
              </w:rPr>
              <w:t>6</w:t>
            </w:r>
            <w:r w:rsidR="005E2CD7" w:rsidRPr="00B75901">
              <w:rPr>
                <w:b/>
                <w:sz w:val="20"/>
                <w:szCs w:val="20"/>
              </w:rPr>
              <w:t xml:space="preserve">, </w:t>
            </w:r>
            <w:r w:rsidRPr="00B75901">
              <w:rPr>
                <w:b/>
                <w:sz w:val="20"/>
                <w:szCs w:val="20"/>
              </w:rPr>
              <w:t>1</w:t>
            </w:r>
            <w:r w:rsidR="005E2CD7" w:rsidRPr="00B75901">
              <w:rPr>
                <w:b/>
                <w:sz w:val="20"/>
                <w:szCs w:val="20"/>
              </w:rPr>
              <w:t>4.</w:t>
            </w:r>
            <w:r w:rsidR="00490891" w:rsidRPr="00B75901">
              <w:rPr>
                <w:b/>
                <w:sz w:val="20"/>
                <w:szCs w:val="20"/>
              </w:rPr>
              <w:t>4</w:t>
            </w:r>
            <w:r w:rsidR="005E2CD7" w:rsidRPr="00B75901">
              <w:rPr>
                <w:b/>
                <w:sz w:val="20"/>
                <w:szCs w:val="20"/>
              </w:rPr>
              <w:t>)</w:t>
            </w:r>
          </w:p>
        </w:tc>
      </w:tr>
      <w:tr w:rsidR="005E2CD7" w:rsidRPr="0025382B" w14:paraId="0DCE196B" w14:textId="77777777" w:rsidTr="00B75901">
        <w:trPr>
          <w:trHeight w:val="262"/>
        </w:trPr>
        <w:tc>
          <w:tcPr>
            <w:tcW w:w="250" w:type="dxa"/>
            <w:tcBorders>
              <w:top w:val="single" w:sz="8" w:space="0" w:color="DEEAF6" w:themeColor="accent1" w:themeTint="33"/>
              <w:bottom w:val="single" w:sz="8" w:space="0" w:color="DEEAF6" w:themeColor="accent1" w:themeTint="33"/>
            </w:tcBorders>
          </w:tcPr>
          <w:p w14:paraId="63189ADF" w14:textId="77777777" w:rsidR="005E2CD7" w:rsidRPr="0025382B" w:rsidRDefault="005E2CD7" w:rsidP="00B03E46">
            <w:pPr>
              <w:jc w:val="both"/>
              <w:rPr>
                <w:sz w:val="20"/>
                <w:szCs w:val="20"/>
              </w:rPr>
            </w:pPr>
          </w:p>
        </w:tc>
        <w:tc>
          <w:tcPr>
            <w:tcW w:w="3719" w:type="dxa"/>
            <w:tcBorders>
              <w:top w:val="single" w:sz="8" w:space="0" w:color="DEEAF6" w:themeColor="accent1" w:themeTint="33"/>
              <w:bottom w:val="single" w:sz="8" w:space="0" w:color="DEEAF6" w:themeColor="accent1" w:themeTint="33"/>
            </w:tcBorders>
          </w:tcPr>
          <w:p w14:paraId="41FA599E" w14:textId="33B062FB" w:rsidR="005E2CD7" w:rsidRPr="0025382B" w:rsidRDefault="005E2CD7" w:rsidP="00B03E46">
            <w:pPr>
              <w:jc w:val="both"/>
              <w:rPr>
                <w:sz w:val="20"/>
                <w:szCs w:val="20"/>
              </w:rPr>
            </w:pPr>
            <w:r w:rsidRPr="0025382B">
              <w:rPr>
                <w:sz w:val="20"/>
                <w:szCs w:val="20"/>
              </w:rPr>
              <w:t>Low</w:t>
            </w:r>
            <w:r>
              <w:rPr>
                <w:sz w:val="20"/>
                <w:szCs w:val="20"/>
              </w:rPr>
              <w:t>er</w:t>
            </w:r>
            <w:r w:rsidRPr="0025382B">
              <w:rPr>
                <w:sz w:val="20"/>
                <w:szCs w:val="20"/>
              </w:rPr>
              <w:t xml:space="preserve"> tier ≥5g - &lt;8g of sugar per 100ml</w:t>
            </w:r>
          </w:p>
        </w:tc>
        <w:tc>
          <w:tcPr>
            <w:tcW w:w="1668" w:type="dxa"/>
            <w:tcBorders>
              <w:top w:val="single" w:sz="8" w:space="0" w:color="DEEAF6" w:themeColor="accent1" w:themeTint="33"/>
              <w:bottom w:val="single" w:sz="8" w:space="0" w:color="DEEAF6" w:themeColor="accent1" w:themeTint="33"/>
            </w:tcBorders>
          </w:tcPr>
          <w:p w14:paraId="3C4CDEDC" w14:textId="175F3964" w:rsidR="005E2CD7" w:rsidRPr="0025382B" w:rsidRDefault="0012644A" w:rsidP="00B03E46">
            <w:pPr>
              <w:jc w:val="center"/>
              <w:rPr>
                <w:sz w:val="20"/>
                <w:szCs w:val="20"/>
              </w:rPr>
            </w:pPr>
            <w:r>
              <w:rPr>
                <w:sz w:val="20"/>
                <w:szCs w:val="20"/>
              </w:rPr>
              <w:t>-2.1</w:t>
            </w:r>
            <w:r w:rsidR="005E2CD7" w:rsidRPr="0025382B">
              <w:rPr>
                <w:sz w:val="20"/>
                <w:szCs w:val="20"/>
              </w:rPr>
              <w:t xml:space="preserve"> (-</w:t>
            </w:r>
            <w:r>
              <w:rPr>
                <w:sz w:val="20"/>
                <w:szCs w:val="20"/>
              </w:rPr>
              <w:t>25</w:t>
            </w:r>
            <w:r w:rsidR="005E2CD7">
              <w:rPr>
                <w:sz w:val="20"/>
                <w:szCs w:val="20"/>
              </w:rPr>
              <w:t>.</w:t>
            </w:r>
            <w:r>
              <w:rPr>
                <w:sz w:val="20"/>
                <w:szCs w:val="20"/>
              </w:rPr>
              <w:t>1</w:t>
            </w:r>
            <w:r w:rsidR="005E2CD7" w:rsidRPr="0025382B">
              <w:rPr>
                <w:sz w:val="20"/>
                <w:szCs w:val="20"/>
              </w:rPr>
              <w:t xml:space="preserve">, </w:t>
            </w:r>
            <w:r>
              <w:rPr>
                <w:sz w:val="20"/>
                <w:szCs w:val="20"/>
              </w:rPr>
              <w:t>21</w:t>
            </w:r>
            <w:r w:rsidR="005E2CD7">
              <w:rPr>
                <w:sz w:val="20"/>
                <w:szCs w:val="20"/>
              </w:rPr>
              <w:t>.0</w:t>
            </w:r>
            <w:r w:rsidR="005E2CD7" w:rsidRPr="0025382B">
              <w:rPr>
                <w:sz w:val="20"/>
                <w:szCs w:val="20"/>
              </w:rPr>
              <w:t>)</w:t>
            </w:r>
          </w:p>
        </w:tc>
        <w:tc>
          <w:tcPr>
            <w:tcW w:w="2551" w:type="dxa"/>
            <w:tcBorders>
              <w:top w:val="single" w:sz="8" w:space="0" w:color="DEEAF6" w:themeColor="accent1" w:themeTint="33"/>
              <w:bottom w:val="single" w:sz="8" w:space="0" w:color="DEEAF6" w:themeColor="accent1" w:themeTint="33"/>
            </w:tcBorders>
          </w:tcPr>
          <w:p w14:paraId="6C0E7D4E" w14:textId="4E2A6AFE" w:rsidR="005E2CD7" w:rsidRPr="00622AA1" w:rsidRDefault="005E2CD7" w:rsidP="00B8666C">
            <w:pPr>
              <w:jc w:val="center"/>
              <w:rPr>
                <w:b/>
                <w:sz w:val="20"/>
                <w:szCs w:val="20"/>
              </w:rPr>
            </w:pPr>
            <w:r w:rsidRPr="00622AA1">
              <w:rPr>
                <w:b/>
                <w:sz w:val="20"/>
                <w:szCs w:val="20"/>
              </w:rPr>
              <w:t>-0.</w:t>
            </w:r>
            <w:r w:rsidR="0012644A">
              <w:rPr>
                <w:b/>
                <w:sz w:val="20"/>
                <w:szCs w:val="20"/>
              </w:rPr>
              <w:t>66</w:t>
            </w:r>
            <w:r w:rsidR="00B8666C">
              <w:rPr>
                <w:b/>
                <w:sz w:val="20"/>
                <w:szCs w:val="20"/>
              </w:rPr>
              <w:t xml:space="preserve"> </w:t>
            </w:r>
            <w:r w:rsidRPr="00622AA1">
              <w:rPr>
                <w:b/>
                <w:sz w:val="20"/>
                <w:szCs w:val="20"/>
              </w:rPr>
              <w:t>(-</w:t>
            </w:r>
            <w:r w:rsidR="0012644A">
              <w:rPr>
                <w:b/>
                <w:sz w:val="20"/>
                <w:szCs w:val="20"/>
              </w:rPr>
              <w:t>1.0</w:t>
            </w:r>
            <w:r w:rsidR="00B8666C">
              <w:rPr>
                <w:b/>
                <w:sz w:val="20"/>
                <w:szCs w:val="20"/>
              </w:rPr>
              <w:t>1</w:t>
            </w:r>
            <w:r w:rsidRPr="00622AA1">
              <w:rPr>
                <w:b/>
                <w:sz w:val="20"/>
                <w:szCs w:val="20"/>
              </w:rPr>
              <w:t>, -0.</w:t>
            </w:r>
            <w:r w:rsidR="00B8666C">
              <w:rPr>
                <w:b/>
                <w:sz w:val="20"/>
                <w:szCs w:val="20"/>
              </w:rPr>
              <w:t>3</w:t>
            </w:r>
            <w:r w:rsidRPr="00622AA1">
              <w:rPr>
                <w:b/>
                <w:sz w:val="20"/>
                <w:szCs w:val="20"/>
              </w:rPr>
              <w:t>)</w:t>
            </w:r>
          </w:p>
        </w:tc>
        <w:tc>
          <w:tcPr>
            <w:tcW w:w="1985" w:type="dxa"/>
            <w:tcBorders>
              <w:top w:val="single" w:sz="8" w:space="0" w:color="DEEAF6" w:themeColor="accent1" w:themeTint="33"/>
              <w:bottom w:val="single" w:sz="8" w:space="0" w:color="DEEAF6" w:themeColor="accent1" w:themeTint="33"/>
            </w:tcBorders>
          </w:tcPr>
          <w:p w14:paraId="02E9FBF2" w14:textId="4AF92306" w:rsidR="005E2CD7" w:rsidRPr="00622AA1" w:rsidRDefault="005E2CD7" w:rsidP="00B03E46">
            <w:pPr>
              <w:jc w:val="both"/>
              <w:rPr>
                <w:b/>
                <w:sz w:val="20"/>
                <w:szCs w:val="20"/>
              </w:rPr>
            </w:pPr>
            <w:r w:rsidRPr="00622AA1">
              <w:rPr>
                <w:b/>
                <w:sz w:val="20"/>
                <w:szCs w:val="20"/>
              </w:rPr>
              <w:t>-</w:t>
            </w:r>
            <w:r w:rsidR="000E2CCD">
              <w:rPr>
                <w:b/>
                <w:sz w:val="20"/>
                <w:szCs w:val="20"/>
              </w:rPr>
              <w:t>6</w:t>
            </w:r>
            <w:r w:rsidR="006D1AF4">
              <w:rPr>
                <w:b/>
                <w:sz w:val="20"/>
                <w:szCs w:val="20"/>
              </w:rPr>
              <w:t>8</w:t>
            </w:r>
            <w:r w:rsidR="000E2CCD">
              <w:rPr>
                <w:b/>
                <w:sz w:val="20"/>
                <w:szCs w:val="20"/>
              </w:rPr>
              <w:t>.</w:t>
            </w:r>
            <w:r w:rsidR="006D1AF4">
              <w:rPr>
                <w:b/>
                <w:sz w:val="20"/>
                <w:szCs w:val="20"/>
              </w:rPr>
              <w:t>9</w:t>
            </w:r>
            <w:r w:rsidR="00B8666C">
              <w:rPr>
                <w:b/>
                <w:sz w:val="20"/>
                <w:szCs w:val="20"/>
              </w:rPr>
              <w:t xml:space="preserve"> </w:t>
            </w:r>
            <w:r w:rsidRPr="00622AA1">
              <w:rPr>
                <w:b/>
                <w:sz w:val="20"/>
                <w:szCs w:val="20"/>
              </w:rPr>
              <w:t>(-</w:t>
            </w:r>
            <w:r w:rsidR="000E2CCD">
              <w:rPr>
                <w:b/>
                <w:sz w:val="20"/>
                <w:szCs w:val="20"/>
              </w:rPr>
              <w:t>8</w:t>
            </w:r>
            <w:r w:rsidR="006D1AF4">
              <w:rPr>
                <w:b/>
                <w:sz w:val="20"/>
                <w:szCs w:val="20"/>
              </w:rPr>
              <w:t>2</w:t>
            </w:r>
            <w:r w:rsidR="000E2CCD">
              <w:rPr>
                <w:b/>
                <w:sz w:val="20"/>
                <w:szCs w:val="20"/>
              </w:rPr>
              <w:t>.</w:t>
            </w:r>
            <w:r w:rsidR="006D1AF4">
              <w:rPr>
                <w:b/>
                <w:sz w:val="20"/>
                <w:szCs w:val="20"/>
              </w:rPr>
              <w:t>1</w:t>
            </w:r>
            <w:r w:rsidRPr="00622AA1">
              <w:rPr>
                <w:b/>
                <w:sz w:val="20"/>
                <w:szCs w:val="20"/>
              </w:rPr>
              <w:t>, -</w:t>
            </w:r>
            <w:r w:rsidR="000E2CCD">
              <w:rPr>
                <w:b/>
                <w:sz w:val="20"/>
                <w:szCs w:val="20"/>
              </w:rPr>
              <w:t>5</w:t>
            </w:r>
            <w:r w:rsidR="006D1AF4">
              <w:rPr>
                <w:b/>
                <w:sz w:val="20"/>
                <w:szCs w:val="20"/>
              </w:rPr>
              <w:t>5</w:t>
            </w:r>
            <w:r w:rsidR="000E2CCD">
              <w:rPr>
                <w:b/>
                <w:sz w:val="20"/>
                <w:szCs w:val="20"/>
              </w:rPr>
              <w:t>.</w:t>
            </w:r>
            <w:r w:rsidR="006D1AF4">
              <w:rPr>
                <w:b/>
                <w:sz w:val="20"/>
                <w:szCs w:val="20"/>
              </w:rPr>
              <w:t>8</w:t>
            </w:r>
            <w:r w:rsidRPr="00622AA1">
              <w:rPr>
                <w:b/>
                <w:sz w:val="20"/>
                <w:szCs w:val="20"/>
              </w:rPr>
              <w:t>)</w:t>
            </w:r>
          </w:p>
        </w:tc>
        <w:tc>
          <w:tcPr>
            <w:tcW w:w="2268" w:type="dxa"/>
            <w:tcBorders>
              <w:top w:val="single" w:sz="8" w:space="0" w:color="DEEAF6" w:themeColor="accent1" w:themeTint="33"/>
              <w:bottom w:val="single" w:sz="8" w:space="0" w:color="DEEAF6" w:themeColor="accent1" w:themeTint="33"/>
            </w:tcBorders>
          </w:tcPr>
          <w:p w14:paraId="657327E3" w14:textId="2712B5DD" w:rsidR="005E2CD7" w:rsidRPr="00622AA1" w:rsidRDefault="005E2CD7" w:rsidP="00B03E46">
            <w:pPr>
              <w:jc w:val="both"/>
              <w:rPr>
                <w:b/>
                <w:sz w:val="20"/>
                <w:szCs w:val="20"/>
              </w:rPr>
            </w:pPr>
            <w:r w:rsidRPr="00622AA1">
              <w:rPr>
                <w:b/>
                <w:sz w:val="20"/>
                <w:szCs w:val="20"/>
              </w:rPr>
              <w:t>-</w:t>
            </w:r>
            <w:r w:rsidR="000E2CCD">
              <w:rPr>
                <w:b/>
                <w:sz w:val="20"/>
                <w:szCs w:val="20"/>
              </w:rPr>
              <w:t>3</w:t>
            </w:r>
            <w:r w:rsidR="006D1AF4">
              <w:rPr>
                <w:b/>
                <w:sz w:val="20"/>
                <w:szCs w:val="20"/>
              </w:rPr>
              <w:t>9</w:t>
            </w:r>
            <w:r w:rsidR="000E2CCD">
              <w:rPr>
                <w:b/>
                <w:sz w:val="20"/>
                <w:szCs w:val="20"/>
              </w:rPr>
              <w:t>.</w:t>
            </w:r>
            <w:r w:rsidR="006D1AF4">
              <w:rPr>
                <w:b/>
                <w:sz w:val="20"/>
                <w:szCs w:val="20"/>
              </w:rPr>
              <w:t>0</w:t>
            </w:r>
            <w:r w:rsidRPr="00622AA1">
              <w:rPr>
                <w:b/>
                <w:sz w:val="20"/>
                <w:szCs w:val="20"/>
              </w:rPr>
              <w:t xml:space="preserve"> (-</w:t>
            </w:r>
            <w:r w:rsidR="000E2CCD">
              <w:rPr>
                <w:b/>
                <w:sz w:val="20"/>
                <w:szCs w:val="20"/>
              </w:rPr>
              <w:t>4</w:t>
            </w:r>
            <w:r w:rsidR="006D1AF4">
              <w:rPr>
                <w:b/>
                <w:sz w:val="20"/>
                <w:szCs w:val="20"/>
              </w:rPr>
              <w:t>6</w:t>
            </w:r>
            <w:r w:rsidR="000E2CCD">
              <w:rPr>
                <w:b/>
                <w:sz w:val="20"/>
                <w:szCs w:val="20"/>
              </w:rPr>
              <w:t>.</w:t>
            </w:r>
            <w:r w:rsidR="006D1AF4">
              <w:rPr>
                <w:b/>
                <w:sz w:val="20"/>
                <w:szCs w:val="20"/>
              </w:rPr>
              <w:t>5</w:t>
            </w:r>
            <w:r w:rsidR="000E2CCD">
              <w:rPr>
                <w:b/>
                <w:sz w:val="20"/>
                <w:szCs w:val="20"/>
              </w:rPr>
              <w:t>, -31.</w:t>
            </w:r>
            <w:r w:rsidR="006D1AF4">
              <w:rPr>
                <w:b/>
                <w:sz w:val="20"/>
                <w:szCs w:val="20"/>
              </w:rPr>
              <w:t>6</w:t>
            </w:r>
            <w:r w:rsidRPr="00622AA1">
              <w:rPr>
                <w:b/>
                <w:sz w:val="20"/>
                <w:szCs w:val="20"/>
              </w:rPr>
              <w:t>)</w:t>
            </w:r>
          </w:p>
        </w:tc>
      </w:tr>
      <w:tr w:rsidR="005E2CD7" w:rsidRPr="0025382B" w14:paraId="1B16EE5A" w14:textId="77777777" w:rsidTr="00B75901">
        <w:trPr>
          <w:trHeight w:val="247"/>
        </w:trPr>
        <w:tc>
          <w:tcPr>
            <w:tcW w:w="3969" w:type="dxa"/>
            <w:gridSpan w:val="2"/>
            <w:tcBorders>
              <w:top w:val="single" w:sz="8" w:space="0" w:color="DEEAF6" w:themeColor="accent1" w:themeTint="33"/>
              <w:bottom w:val="single" w:sz="8" w:space="0" w:color="DEEAF6" w:themeColor="accent1" w:themeTint="33"/>
            </w:tcBorders>
          </w:tcPr>
          <w:p w14:paraId="36B1E235" w14:textId="77777777" w:rsidR="005E2CD7" w:rsidRPr="00801344" w:rsidRDefault="005E2CD7" w:rsidP="00B03E46">
            <w:pPr>
              <w:jc w:val="both"/>
              <w:rPr>
                <w:sz w:val="20"/>
                <w:szCs w:val="20"/>
              </w:rPr>
            </w:pPr>
            <w:r w:rsidRPr="00801344">
              <w:rPr>
                <w:sz w:val="20"/>
                <w:szCs w:val="20"/>
              </w:rPr>
              <w:t>&lt;0.5M Litres</w:t>
            </w:r>
          </w:p>
        </w:tc>
        <w:tc>
          <w:tcPr>
            <w:tcW w:w="1668" w:type="dxa"/>
            <w:tcBorders>
              <w:top w:val="single" w:sz="8" w:space="0" w:color="DEEAF6" w:themeColor="accent1" w:themeTint="33"/>
              <w:bottom w:val="single" w:sz="8" w:space="0" w:color="DEEAF6" w:themeColor="accent1" w:themeTint="33"/>
            </w:tcBorders>
          </w:tcPr>
          <w:p w14:paraId="613FD7E7" w14:textId="77777777" w:rsidR="005E2CD7" w:rsidRPr="0025382B" w:rsidRDefault="005E2CD7" w:rsidP="00B03E46">
            <w:pPr>
              <w:jc w:val="center"/>
              <w:rPr>
                <w:sz w:val="20"/>
                <w:szCs w:val="20"/>
              </w:rPr>
            </w:pPr>
          </w:p>
        </w:tc>
        <w:tc>
          <w:tcPr>
            <w:tcW w:w="2551" w:type="dxa"/>
            <w:tcBorders>
              <w:top w:val="single" w:sz="8" w:space="0" w:color="DEEAF6" w:themeColor="accent1" w:themeTint="33"/>
              <w:bottom w:val="single" w:sz="8" w:space="0" w:color="DEEAF6" w:themeColor="accent1" w:themeTint="33"/>
            </w:tcBorders>
          </w:tcPr>
          <w:p w14:paraId="694AB226" w14:textId="77777777" w:rsidR="005E2CD7" w:rsidRPr="0025382B" w:rsidRDefault="005E2CD7" w:rsidP="00B03E46">
            <w:pPr>
              <w:jc w:val="center"/>
              <w:rPr>
                <w:sz w:val="20"/>
                <w:szCs w:val="20"/>
              </w:rPr>
            </w:pPr>
          </w:p>
        </w:tc>
        <w:tc>
          <w:tcPr>
            <w:tcW w:w="1985" w:type="dxa"/>
            <w:tcBorders>
              <w:top w:val="single" w:sz="8" w:space="0" w:color="DEEAF6" w:themeColor="accent1" w:themeTint="33"/>
              <w:bottom w:val="single" w:sz="8" w:space="0" w:color="DEEAF6" w:themeColor="accent1" w:themeTint="33"/>
            </w:tcBorders>
          </w:tcPr>
          <w:p w14:paraId="71A157F5" w14:textId="77777777" w:rsidR="005E2CD7" w:rsidRPr="0025382B" w:rsidRDefault="005E2CD7" w:rsidP="00B03E46">
            <w:pPr>
              <w:jc w:val="both"/>
              <w:rPr>
                <w:sz w:val="20"/>
                <w:szCs w:val="20"/>
              </w:rPr>
            </w:pPr>
          </w:p>
        </w:tc>
        <w:tc>
          <w:tcPr>
            <w:tcW w:w="2268" w:type="dxa"/>
            <w:tcBorders>
              <w:top w:val="single" w:sz="8" w:space="0" w:color="DEEAF6" w:themeColor="accent1" w:themeTint="33"/>
              <w:bottom w:val="single" w:sz="8" w:space="0" w:color="DEEAF6" w:themeColor="accent1" w:themeTint="33"/>
            </w:tcBorders>
          </w:tcPr>
          <w:p w14:paraId="55B85162" w14:textId="77777777" w:rsidR="005E2CD7" w:rsidRPr="0025382B" w:rsidRDefault="005E2CD7" w:rsidP="00B03E46">
            <w:pPr>
              <w:jc w:val="both"/>
              <w:rPr>
                <w:sz w:val="20"/>
                <w:szCs w:val="20"/>
              </w:rPr>
            </w:pPr>
          </w:p>
        </w:tc>
      </w:tr>
      <w:tr w:rsidR="005E2CD7" w:rsidRPr="0025382B" w14:paraId="4FC2500E" w14:textId="77777777" w:rsidTr="00B75901">
        <w:trPr>
          <w:trHeight w:val="262"/>
        </w:trPr>
        <w:tc>
          <w:tcPr>
            <w:tcW w:w="250" w:type="dxa"/>
            <w:tcBorders>
              <w:top w:val="single" w:sz="8" w:space="0" w:color="DEEAF6" w:themeColor="accent1" w:themeTint="33"/>
              <w:bottom w:val="single" w:sz="8" w:space="0" w:color="DEEAF6" w:themeColor="accent1" w:themeTint="33"/>
            </w:tcBorders>
          </w:tcPr>
          <w:p w14:paraId="59C2ACB0" w14:textId="77777777" w:rsidR="005E2CD7" w:rsidRPr="0025382B" w:rsidRDefault="005E2CD7" w:rsidP="00B03E46">
            <w:pPr>
              <w:jc w:val="both"/>
              <w:rPr>
                <w:sz w:val="20"/>
                <w:szCs w:val="20"/>
              </w:rPr>
            </w:pPr>
          </w:p>
        </w:tc>
        <w:tc>
          <w:tcPr>
            <w:tcW w:w="3719" w:type="dxa"/>
            <w:tcBorders>
              <w:top w:val="single" w:sz="8" w:space="0" w:color="DEEAF6" w:themeColor="accent1" w:themeTint="33"/>
              <w:bottom w:val="single" w:sz="8" w:space="0" w:color="DEEAF6" w:themeColor="accent1" w:themeTint="33"/>
            </w:tcBorders>
          </w:tcPr>
          <w:p w14:paraId="1C67CC68" w14:textId="43E42916" w:rsidR="005E2CD7" w:rsidRPr="0025382B" w:rsidRDefault="005E2CD7" w:rsidP="00B03E46">
            <w:pPr>
              <w:jc w:val="both"/>
              <w:rPr>
                <w:sz w:val="20"/>
                <w:szCs w:val="20"/>
              </w:rPr>
            </w:pPr>
            <w:r w:rsidRPr="0025382B">
              <w:rPr>
                <w:sz w:val="20"/>
                <w:szCs w:val="20"/>
              </w:rPr>
              <w:t>High</w:t>
            </w:r>
            <w:r>
              <w:rPr>
                <w:sz w:val="20"/>
                <w:szCs w:val="20"/>
              </w:rPr>
              <w:t>er</w:t>
            </w:r>
            <w:r w:rsidRPr="0025382B">
              <w:rPr>
                <w:sz w:val="20"/>
                <w:szCs w:val="20"/>
              </w:rPr>
              <w:t xml:space="preserve"> tier ≥8g of sugar per 100ml</w:t>
            </w:r>
          </w:p>
        </w:tc>
        <w:tc>
          <w:tcPr>
            <w:tcW w:w="1668" w:type="dxa"/>
            <w:tcBorders>
              <w:top w:val="single" w:sz="8" w:space="0" w:color="DEEAF6" w:themeColor="accent1" w:themeTint="33"/>
              <w:bottom w:val="single" w:sz="8" w:space="0" w:color="DEEAF6" w:themeColor="accent1" w:themeTint="33"/>
            </w:tcBorders>
          </w:tcPr>
          <w:p w14:paraId="55197DE8" w14:textId="30C2E431" w:rsidR="005E2CD7" w:rsidRPr="00622AA1" w:rsidRDefault="006E7F16" w:rsidP="00B03E46">
            <w:pPr>
              <w:jc w:val="center"/>
              <w:rPr>
                <w:b/>
                <w:sz w:val="20"/>
                <w:szCs w:val="20"/>
              </w:rPr>
            </w:pPr>
            <w:r>
              <w:rPr>
                <w:b/>
                <w:sz w:val="20"/>
                <w:szCs w:val="20"/>
              </w:rPr>
              <w:t>48.2</w:t>
            </w:r>
            <w:r w:rsidRPr="00622AA1">
              <w:rPr>
                <w:b/>
                <w:sz w:val="20"/>
                <w:szCs w:val="20"/>
              </w:rPr>
              <w:t xml:space="preserve"> (</w:t>
            </w:r>
            <w:r>
              <w:rPr>
                <w:b/>
                <w:sz w:val="20"/>
                <w:szCs w:val="20"/>
              </w:rPr>
              <w:t>7.6, 88.8)</w:t>
            </w:r>
          </w:p>
        </w:tc>
        <w:tc>
          <w:tcPr>
            <w:tcW w:w="2551" w:type="dxa"/>
            <w:tcBorders>
              <w:top w:val="single" w:sz="8" w:space="0" w:color="DEEAF6" w:themeColor="accent1" w:themeTint="33"/>
              <w:bottom w:val="single" w:sz="8" w:space="0" w:color="DEEAF6" w:themeColor="accent1" w:themeTint="33"/>
            </w:tcBorders>
          </w:tcPr>
          <w:p w14:paraId="4E001C1A" w14:textId="460A9AD3" w:rsidR="005E2CD7" w:rsidRPr="0025382B" w:rsidRDefault="005E2CD7" w:rsidP="00B03E46">
            <w:pPr>
              <w:jc w:val="center"/>
              <w:rPr>
                <w:sz w:val="20"/>
                <w:szCs w:val="20"/>
              </w:rPr>
            </w:pPr>
            <w:r w:rsidRPr="0025382B">
              <w:rPr>
                <w:sz w:val="20"/>
                <w:szCs w:val="20"/>
              </w:rPr>
              <w:t>-0.</w:t>
            </w:r>
            <w:r w:rsidR="009C11F4">
              <w:rPr>
                <w:sz w:val="20"/>
                <w:szCs w:val="20"/>
              </w:rPr>
              <w:t>08</w:t>
            </w:r>
            <w:r w:rsidRPr="0025382B">
              <w:rPr>
                <w:sz w:val="20"/>
                <w:szCs w:val="20"/>
              </w:rPr>
              <w:t xml:space="preserve"> (-</w:t>
            </w:r>
            <w:r w:rsidR="009C11F4">
              <w:rPr>
                <w:sz w:val="20"/>
                <w:szCs w:val="20"/>
              </w:rPr>
              <w:t>0.7, 0.5</w:t>
            </w:r>
            <w:r w:rsidRPr="0025382B">
              <w:rPr>
                <w:sz w:val="20"/>
                <w:szCs w:val="20"/>
              </w:rPr>
              <w:t>)</w:t>
            </w:r>
          </w:p>
        </w:tc>
        <w:tc>
          <w:tcPr>
            <w:tcW w:w="1985" w:type="dxa"/>
            <w:tcBorders>
              <w:top w:val="single" w:sz="8" w:space="0" w:color="DEEAF6" w:themeColor="accent1" w:themeTint="33"/>
              <w:bottom w:val="single" w:sz="8" w:space="0" w:color="DEEAF6" w:themeColor="accent1" w:themeTint="33"/>
            </w:tcBorders>
          </w:tcPr>
          <w:p w14:paraId="7542DDB8" w14:textId="5F8199B1" w:rsidR="005E2CD7" w:rsidRPr="00B75901" w:rsidRDefault="0079527A" w:rsidP="00B03E46">
            <w:pPr>
              <w:jc w:val="both"/>
              <w:rPr>
                <w:b/>
                <w:sz w:val="20"/>
                <w:szCs w:val="20"/>
              </w:rPr>
            </w:pPr>
            <w:r w:rsidRPr="00B75901">
              <w:rPr>
                <w:b/>
                <w:sz w:val="20"/>
                <w:szCs w:val="20"/>
              </w:rPr>
              <w:t>4</w:t>
            </w:r>
            <w:r w:rsidR="006D1AF4" w:rsidRPr="00B75901">
              <w:rPr>
                <w:b/>
                <w:sz w:val="20"/>
                <w:szCs w:val="20"/>
              </w:rPr>
              <w:t>2</w:t>
            </w:r>
            <w:r w:rsidRPr="00B75901">
              <w:rPr>
                <w:b/>
                <w:sz w:val="20"/>
                <w:szCs w:val="20"/>
              </w:rPr>
              <w:t>.</w:t>
            </w:r>
            <w:r w:rsidR="006D1AF4" w:rsidRPr="00B75901">
              <w:rPr>
                <w:b/>
                <w:sz w:val="20"/>
                <w:szCs w:val="20"/>
              </w:rPr>
              <w:t>8</w:t>
            </w:r>
            <w:r w:rsidR="005E2CD7" w:rsidRPr="00B75901">
              <w:rPr>
                <w:b/>
                <w:sz w:val="20"/>
                <w:szCs w:val="20"/>
              </w:rPr>
              <w:t xml:space="preserve"> (</w:t>
            </w:r>
            <w:r w:rsidRPr="00B75901">
              <w:rPr>
                <w:b/>
                <w:sz w:val="20"/>
                <w:szCs w:val="20"/>
              </w:rPr>
              <w:t>2</w:t>
            </w:r>
            <w:r w:rsidR="006D1AF4" w:rsidRPr="00B75901">
              <w:rPr>
                <w:b/>
                <w:sz w:val="20"/>
                <w:szCs w:val="20"/>
              </w:rPr>
              <w:t>0</w:t>
            </w:r>
            <w:r w:rsidRPr="00B75901">
              <w:rPr>
                <w:b/>
                <w:sz w:val="20"/>
                <w:szCs w:val="20"/>
              </w:rPr>
              <w:t>.</w:t>
            </w:r>
            <w:r w:rsidR="006D1AF4" w:rsidRPr="00B75901">
              <w:rPr>
                <w:b/>
                <w:sz w:val="20"/>
                <w:szCs w:val="20"/>
              </w:rPr>
              <w:t>8</w:t>
            </w:r>
            <w:r w:rsidR="005E2CD7" w:rsidRPr="00B75901">
              <w:rPr>
                <w:b/>
                <w:sz w:val="20"/>
                <w:szCs w:val="20"/>
              </w:rPr>
              <w:t xml:space="preserve">, </w:t>
            </w:r>
            <w:r w:rsidRPr="00B75901">
              <w:rPr>
                <w:b/>
                <w:sz w:val="20"/>
                <w:szCs w:val="20"/>
              </w:rPr>
              <w:t>64.</w:t>
            </w:r>
            <w:r w:rsidR="006D1AF4" w:rsidRPr="00B75901">
              <w:rPr>
                <w:b/>
                <w:sz w:val="20"/>
                <w:szCs w:val="20"/>
              </w:rPr>
              <w:t>9</w:t>
            </w:r>
            <w:r w:rsidR="005E2CD7" w:rsidRPr="00B75901">
              <w:rPr>
                <w:b/>
                <w:sz w:val="20"/>
                <w:szCs w:val="20"/>
              </w:rPr>
              <w:t>)</w:t>
            </w:r>
          </w:p>
        </w:tc>
        <w:tc>
          <w:tcPr>
            <w:tcW w:w="2268" w:type="dxa"/>
            <w:tcBorders>
              <w:top w:val="single" w:sz="8" w:space="0" w:color="DEEAF6" w:themeColor="accent1" w:themeTint="33"/>
              <w:bottom w:val="single" w:sz="8" w:space="0" w:color="DEEAF6" w:themeColor="accent1" w:themeTint="33"/>
            </w:tcBorders>
          </w:tcPr>
          <w:p w14:paraId="2140D89A" w14:textId="76008EB4" w:rsidR="005E2CD7" w:rsidRPr="00B75901" w:rsidRDefault="0079527A" w:rsidP="00B03E46">
            <w:pPr>
              <w:jc w:val="both"/>
              <w:rPr>
                <w:b/>
                <w:sz w:val="20"/>
                <w:szCs w:val="20"/>
              </w:rPr>
            </w:pPr>
            <w:r w:rsidRPr="00B75901">
              <w:rPr>
                <w:b/>
                <w:sz w:val="20"/>
                <w:szCs w:val="20"/>
              </w:rPr>
              <w:t>9.</w:t>
            </w:r>
            <w:r w:rsidR="006D1AF4" w:rsidRPr="00B75901">
              <w:rPr>
                <w:b/>
                <w:sz w:val="20"/>
                <w:szCs w:val="20"/>
              </w:rPr>
              <w:t>6</w:t>
            </w:r>
            <w:r w:rsidR="005E2CD7" w:rsidRPr="00B75901">
              <w:rPr>
                <w:b/>
                <w:sz w:val="20"/>
                <w:szCs w:val="20"/>
              </w:rPr>
              <w:t xml:space="preserve"> (</w:t>
            </w:r>
            <w:r w:rsidRPr="00B75901">
              <w:rPr>
                <w:b/>
                <w:sz w:val="20"/>
                <w:szCs w:val="20"/>
              </w:rPr>
              <w:t>4.7</w:t>
            </w:r>
            <w:r w:rsidR="005E2CD7" w:rsidRPr="00B75901">
              <w:rPr>
                <w:b/>
                <w:sz w:val="20"/>
                <w:szCs w:val="20"/>
              </w:rPr>
              <w:t xml:space="preserve">, </w:t>
            </w:r>
            <w:r w:rsidRPr="00B75901">
              <w:rPr>
                <w:b/>
                <w:sz w:val="20"/>
                <w:szCs w:val="20"/>
              </w:rPr>
              <w:t>1</w:t>
            </w:r>
            <w:r w:rsidR="005E2CD7" w:rsidRPr="00B75901">
              <w:rPr>
                <w:b/>
                <w:sz w:val="20"/>
                <w:szCs w:val="20"/>
              </w:rPr>
              <w:t>4.</w:t>
            </w:r>
            <w:r w:rsidR="006D1AF4" w:rsidRPr="00B75901">
              <w:rPr>
                <w:b/>
                <w:sz w:val="20"/>
                <w:szCs w:val="20"/>
              </w:rPr>
              <w:t>5</w:t>
            </w:r>
            <w:r w:rsidR="005E2CD7" w:rsidRPr="00B75901">
              <w:rPr>
                <w:b/>
                <w:sz w:val="20"/>
                <w:szCs w:val="20"/>
              </w:rPr>
              <w:t>)</w:t>
            </w:r>
          </w:p>
        </w:tc>
      </w:tr>
      <w:tr w:rsidR="00CD445A" w:rsidRPr="0025382B" w14:paraId="79F6D1C3" w14:textId="77777777" w:rsidTr="00B75901">
        <w:trPr>
          <w:trHeight w:val="262"/>
        </w:trPr>
        <w:tc>
          <w:tcPr>
            <w:tcW w:w="250" w:type="dxa"/>
            <w:tcBorders>
              <w:top w:val="single" w:sz="8" w:space="0" w:color="DEEAF6" w:themeColor="accent1" w:themeTint="33"/>
              <w:bottom w:val="single" w:sz="8" w:space="0" w:color="auto"/>
            </w:tcBorders>
          </w:tcPr>
          <w:p w14:paraId="6C860732" w14:textId="77777777" w:rsidR="00CD445A" w:rsidRPr="0025382B" w:rsidRDefault="00CD445A" w:rsidP="00CD445A">
            <w:pPr>
              <w:jc w:val="both"/>
              <w:rPr>
                <w:sz w:val="20"/>
                <w:szCs w:val="20"/>
              </w:rPr>
            </w:pPr>
          </w:p>
        </w:tc>
        <w:tc>
          <w:tcPr>
            <w:tcW w:w="3719" w:type="dxa"/>
            <w:tcBorders>
              <w:top w:val="single" w:sz="8" w:space="0" w:color="DEEAF6" w:themeColor="accent1" w:themeTint="33"/>
              <w:bottom w:val="single" w:sz="8" w:space="0" w:color="auto"/>
            </w:tcBorders>
          </w:tcPr>
          <w:p w14:paraId="6CCEE865" w14:textId="0E6F78AB" w:rsidR="00CD445A" w:rsidRPr="0025382B" w:rsidRDefault="00CD445A" w:rsidP="00CD445A">
            <w:pPr>
              <w:jc w:val="both"/>
              <w:rPr>
                <w:sz w:val="20"/>
                <w:szCs w:val="20"/>
              </w:rPr>
            </w:pPr>
            <w:r w:rsidRPr="0025382B">
              <w:rPr>
                <w:sz w:val="20"/>
                <w:szCs w:val="20"/>
              </w:rPr>
              <w:t>Low</w:t>
            </w:r>
            <w:r>
              <w:rPr>
                <w:sz w:val="20"/>
                <w:szCs w:val="20"/>
              </w:rPr>
              <w:t>er</w:t>
            </w:r>
            <w:r w:rsidRPr="0025382B">
              <w:rPr>
                <w:sz w:val="20"/>
                <w:szCs w:val="20"/>
              </w:rPr>
              <w:t xml:space="preserve"> tier ≥5g - &lt;8g of sugar per 100ml</w:t>
            </w:r>
          </w:p>
        </w:tc>
        <w:tc>
          <w:tcPr>
            <w:tcW w:w="1668" w:type="dxa"/>
            <w:tcBorders>
              <w:top w:val="single" w:sz="8" w:space="0" w:color="DEEAF6" w:themeColor="accent1" w:themeTint="33"/>
              <w:bottom w:val="single" w:sz="8" w:space="0" w:color="auto"/>
            </w:tcBorders>
          </w:tcPr>
          <w:p w14:paraId="58B665CC" w14:textId="5CBEEA8F" w:rsidR="00CD445A" w:rsidRPr="0025382B" w:rsidRDefault="006E7F16" w:rsidP="00CD445A">
            <w:pPr>
              <w:jc w:val="center"/>
              <w:rPr>
                <w:sz w:val="20"/>
                <w:szCs w:val="20"/>
              </w:rPr>
            </w:pPr>
            <w:r>
              <w:rPr>
                <w:sz w:val="20"/>
                <w:szCs w:val="20"/>
              </w:rPr>
              <w:t>-2.1</w:t>
            </w:r>
            <w:r w:rsidRPr="0025382B">
              <w:rPr>
                <w:sz w:val="20"/>
                <w:szCs w:val="20"/>
              </w:rPr>
              <w:t xml:space="preserve"> (-</w:t>
            </w:r>
            <w:r>
              <w:rPr>
                <w:sz w:val="20"/>
                <w:szCs w:val="20"/>
              </w:rPr>
              <w:t>25.</w:t>
            </w:r>
            <w:r w:rsidR="00FC1EC8">
              <w:rPr>
                <w:sz w:val="20"/>
                <w:szCs w:val="20"/>
              </w:rPr>
              <w:t>1</w:t>
            </w:r>
            <w:r w:rsidRPr="0025382B">
              <w:rPr>
                <w:sz w:val="20"/>
                <w:szCs w:val="20"/>
              </w:rPr>
              <w:t xml:space="preserve">, </w:t>
            </w:r>
            <w:r>
              <w:rPr>
                <w:sz w:val="20"/>
                <w:szCs w:val="20"/>
              </w:rPr>
              <w:t>21.</w:t>
            </w:r>
            <w:r w:rsidR="00FC1EC8">
              <w:rPr>
                <w:sz w:val="20"/>
                <w:szCs w:val="20"/>
              </w:rPr>
              <w:t>8</w:t>
            </w:r>
            <w:r w:rsidRPr="0025382B">
              <w:rPr>
                <w:sz w:val="20"/>
                <w:szCs w:val="20"/>
              </w:rPr>
              <w:t>)</w:t>
            </w:r>
          </w:p>
        </w:tc>
        <w:tc>
          <w:tcPr>
            <w:tcW w:w="2551" w:type="dxa"/>
            <w:tcBorders>
              <w:top w:val="single" w:sz="8" w:space="0" w:color="DEEAF6" w:themeColor="accent1" w:themeTint="33"/>
              <w:bottom w:val="single" w:sz="8" w:space="0" w:color="auto"/>
            </w:tcBorders>
          </w:tcPr>
          <w:p w14:paraId="686C2DBB" w14:textId="6682AB87" w:rsidR="00CD445A" w:rsidRPr="00622AA1" w:rsidRDefault="00CD445A" w:rsidP="00B8666C">
            <w:pPr>
              <w:jc w:val="center"/>
              <w:rPr>
                <w:b/>
                <w:sz w:val="20"/>
                <w:szCs w:val="20"/>
              </w:rPr>
            </w:pPr>
            <w:r w:rsidRPr="00622AA1">
              <w:rPr>
                <w:b/>
                <w:sz w:val="20"/>
                <w:szCs w:val="20"/>
              </w:rPr>
              <w:t>-0.</w:t>
            </w:r>
            <w:r w:rsidR="00B8666C">
              <w:rPr>
                <w:b/>
                <w:sz w:val="20"/>
                <w:szCs w:val="20"/>
              </w:rPr>
              <w:t>7</w:t>
            </w:r>
            <w:r w:rsidRPr="00622AA1">
              <w:rPr>
                <w:b/>
                <w:sz w:val="20"/>
                <w:szCs w:val="20"/>
              </w:rPr>
              <w:t xml:space="preserve"> (-</w:t>
            </w:r>
            <w:r w:rsidR="009C11F4">
              <w:rPr>
                <w:b/>
                <w:sz w:val="20"/>
                <w:szCs w:val="20"/>
              </w:rPr>
              <w:t>1.</w:t>
            </w:r>
            <w:r w:rsidR="00B8666C">
              <w:rPr>
                <w:b/>
                <w:sz w:val="20"/>
                <w:szCs w:val="20"/>
              </w:rPr>
              <w:t>1</w:t>
            </w:r>
            <w:r w:rsidRPr="00622AA1">
              <w:rPr>
                <w:b/>
                <w:sz w:val="20"/>
                <w:szCs w:val="20"/>
              </w:rPr>
              <w:t>, -0.</w:t>
            </w:r>
            <w:r w:rsidR="009C11F4">
              <w:rPr>
                <w:b/>
                <w:sz w:val="20"/>
                <w:szCs w:val="20"/>
              </w:rPr>
              <w:t>2</w:t>
            </w:r>
            <w:r w:rsidRPr="00622AA1">
              <w:rPr>
                <w:b/>
                <w:sz w:val="20"/>
                <w:szCs w:val="20"/>
              </w:rPr>
              <w:t>)</w:t>
            </w:r>
          </w:p>
        </w:tc>
        <w:tc>
          <w:tcPr>
            <w:tcW w:w="1985" w:type="dxa"/>
            <w:tcBorders>
              <w:top w:val="single" w:sz="8" w:space="0" w:color="DEEAF6" w:themeColor="accent1" w:themeTint="33"/>
              <w:bottom w:val="single" w:sz="8" w:space="0" w:color="auto"/>
            </w:tcBorders>
          </w:tcPr>
          <w:p w14:paraId="19234AFC" w14:textId="6C9F45BD" w:rsidR="00CD445A" w:rsidRPr="00622AA1" w:rsidRDefault="00CD445A" w:rsidP="00CD445A">
            <w:pPr>
              <w:jc w:val="both"/>
              <w:rPr>
                <w:b/>
                <w:sz w:val="20"/>
                <w:szCs w:val="20"/>
              </w:rPr>
            </w:pPr>
            <w:r w:rsidRPr="00622AA1">
              <w:rPr>
                <w:b/>
                <w:sz w:val="20"/>
                <w:szCs w:val="20"/>
              </w:rPr>
              <w:t>-</w:t>
            </w:r>
            <w:r>
              <w:rPr>
                <w:b/>
                <w:sz w:val="20"/>
                <w:szCs w:val="20"/>
              </w:rPr>
              <w:t>6</w:t>
            </w:r>
            <w:r w:rsidR="00FC1EC8">
              <w:rPr>
                <w:b/>
                <w:sz w:val="20"/>
                <w:szCs w:val="20"/>
              </w:rPr>
              <w:t>9</w:t>
            </w:r>
            <w:r>
              <w:rPr>
                <w:b/>
                <w:sz w:val="20"/>
                <w:szCs w:val="20"/>
              </w:rPr>
              <w:t>.</w:t>
            </w:r>
            <w:r w:rsidR="00FC1EC8">
              <w:rPr>
                <w:b/>
                <w:sz w:val="20"/>
                <w:szCs w:val="20"/>
              </w:rPr>
              <w:t>0</w:t>
            </w:r>
            <w:r w:rsidR="00B8666C">
              <w:rPr>
                <w:b/>
                <w:sz w:val="20"/>
                <w:szCs w:val="20"/>
              </w:rPr>
              <w:t xml:space="preserve"> </w:t>
            </w:r>
            <w:r w:rsidRPr="00622AA1">
              <w:rPr>
                <w:b/>
                <w:sz w:val="20"/>
                <w:szCs w:val="20"/>
              </w:rPr>
              <w:t>(-</w:t>
            </w:r>
            <w:r>
              <w:rPr>
                <w:b/>
                <w:sz w:val="20"/>
                <w:szCs w:val="20"/>
              </w:rPr>
              <w:t>8</w:t>
            </w:r>
            <w:r w:rsidR="00FC1EC8">
              <w:rPr>
                <w:b/>
                <w:sz w:val="20"/>
                <w:szCs w:val="20"/>
              </w:rPr>
              <w:t>2</w:t>
            </w:r>
            <w:r>
              <w:rPr>
                <w:b/>
                <w:sz w:val="20"/>
                <w:szCs w:val="20"/>
              </w:rPr>
              <w:t>.</w:t>
            </w:r>
            <w:r w:rsidR="00FC1EC8">
              <w:rPr>
                <w:b/>
                <w:sz w:val="20"/>
                <w:szCs w:val="20"/>
              </w:rPr>
              <w:t>1</w:t>
            </w:r>
            <w:r w:rsidRPr="00622AA1">
              <w:rPr>
                <w:b/>
                <w:sz w:val="20"/>
                <w:szCs w:val="20"/>
              </w:rPr>
              <w:t>, -</w:t>
            </w:r>
            <w:r>
              <w:rPr>
                <w:b/>
                <w:sz w:val="20"/>
                <w:szCs w:val="20"/>
              </w:rPr>
              <w:t>55.</w:t>
            </w:r>
            <w:r w:rsidR="00FC1EC8">
              <w:rPr>
                <w:b/>
                <w:sz w:val="20"/>
                <w:szCs w:val="20"/>
              </w:rPr>
              <w:t>9</w:t>
            </w:r>
            <w:r w:rsidRPr="00622AA1">
              <w:rPr>
                <w:b/>
                <w:sz w:val="20"/>
                <w:szCs w:val="20"/>
              </w:rPr>
              <w:t>)</w:t>
            </w:r>
          </w:p>
        </w:tc>
        <w:tc>
          <w:tcPr>
            <w:tcW w:w="2268" w:type="dxa"/>
            <w:tcBorders>
              <w:top w:val="single" w:sz="8" w:space="0" w:color="DEEAF6" w:themeColor="accent1" w:themeTint="33"/>
              <w:bottom w:val="single" w:sz="8" w:space="0" w:color="auto"/>
            </w:tcBorders>
          </w:tcPr>
          <w:p w14:paraId="7A00562C" w14:textId="2A1E9B87" w:rsidR="00CD445A" w:rsidRPr="00622AA1" w:rsidRDefault="00CD445A" w:rsidP="00CD445A">
            <w:pPr>
              <w:jc w:val="both"/>
              <w:rPr>
                <w:b/>
                <w:sz w:val="20"/>
                <w:szCs w:val="20"/>
              </w:rPr>
            </w:pPr>
            <w:r w:rsidRPr="00622AA1">
              <w:rPr>
                <w:b/>
                <w:sz w:val="20"/>
                <w:szCs w:val="20"/>
              </w:rPr>
              <w:t>-</w:t>
            </w:r>
            <w:r>
              <w:rPr>
                <w:b/>
                <w:sz w:val="20"/>
                <w:szCs w:val="20"/>
              </w:rPr>
              <w:t>3</w:t>
            </w:r>
            <w:r w:rsidR="00FC1EC8">
              <w:rPr>
                <w:b/>
                <w:sz w:val="20"/>
                <w:szCs w:val="20"/>
              </w:rPr>
              <w:t>9</w:t>
            </w:r>
            <w:r>
              <w:rPr>
                <w:b/>
                <w:sz w:val="20"/>
                <w:szCs w:val="20"/>
              </w:rPr>
              <w:t>.</w:t>
            </w:r>
            <w:r w:rsidR="00FC1EC8">
              <w:rPr>
                <w:b/>
                <w:sz w:val="20"/>
                <w:szCs w:val="20"/>
              </w:rPr>
              <w:t>0</w:t>
            </w:r>
            <w:r w:rsidRPr="00622AA1">
              <w:rPr>
                <w:b/>
                <w:sz w:val="20"/>
                <w:szCs w:val="20"/>
              </w:rPr>
              <w:t xml:space="preserve"> (-</w:t>
            </w:r>
            <w:r>
              <w:rPr>
                <w:b/>
                <w:sz w:val="20"/>
                <w:szCs w:val="20"/>
              </w:rPr>
              <w:t>4</w:t>
            </w:r>
            <w:r w:rsidR="00FC1EC8">
              <w:rPr>
                <w:b/>
                <w:sz w:val="20"/>
                <w:szCs w:val="20"/>
              </w:rPr>
              <w:t>6</w:t>
            </w:r>
            <w:r>
              <w:rPr>
                <w:b/>
                <w:sz w:val="20"/>
                <w:szCs w:val="20"/>
              </w:rPr>
              <w:t>.</w:t>
            </w:r>
            <w:r w:rsidR="00FC1EC8">
              <w:rPr>
                <w:b/>
                <w:sz w:val="20"/>
                <w:szCs w:val="20"/>
              </w:rPr>
              <w:t>4</w:t>
            </w:r>
            <w:r>
              <w:rPr>
                <w:b/>
                <w:sz w:val="20"/>
                <w:szCs w:val="20"/>
              </w:rPr>
              <w:t>, -31.</w:t>
            </w:r>
            <w:r w:rsidR="00FC1EC8">
              <w:rPr>
                <w:b/>
                <w:sz w:val="20"/>
                <w:szCs w:val="20"/>
              </w:rPr>
              <w:t>6</w:t>
            </w:r>
            <w:r w:rsidRPr="00622AA1">
              <w:rPr>
                <w:b/>
                <w:sz w:val="20"/>
                <w:szCs w:val="20"/>
              </w:rPr>
              <w:t>)</w:t>
            </w:r>
          </w:p>
        </w:tc>
      </w:tr>
    </w:tbl>
    <w:p w14:paraId="0CDA28BE" w14:textId="734161DB" w:rsidR="005E2CD7" w:rsidRDefault="005E2CD7" w:rsidP="005E2CD7">
      <w:pPr>
        <w:spacing w:after="0" w:line="240" w:lineRule="auto"/>
        <w:jc w:val="both"/>
      </w:pPr>
      <w:r w:rsidRPr="00371CF0">
        <w:t xml:space="preserve">Level change is the difference between the model estimates and the counterfactual at the first week after the SDIL announcement. The trend change is the mean change in the slope of purchases following the announcement. The absolute and relative differences represent the difference between the counterfactual and the model estimates in the final week of the study. </w:t>
      </w:r>
      <w:r w:rsidR="00B8666C">
        <w:t>E</w:t>
      </w:r>
      <w:r w:rsidRPr="00371CF0">
        <w:t>stimates statistically significant at the p&lt;0.05 level are highlighted in bold</w:t>
      </w:r>
    </w:p>
    <w:p w14:paraId="2859C117" w14:textId="77777777" w:rsidR="005E2CD7" w:rsidRDefault="005E2CD7" w:rsidP="005E2CD7">
      <w:pPr>
        <w:spacing w:after="0" w:line="240" w:lineRule="auto"/>
        <w:jc w:val="both"/>
      </w:pPr>
    </w:p>
    <w:p w14:paraId="16514E73" w14:textId="77777777" w:rsidR="005E2CD7" w:rsidRDefault="005E2CD7" w:rsidP="005E2CD7">
      <w:pPr>
        <w:spacing w:line="480" w:lineRule="auto"/>
        <w:jc w:val="both"/>
      </w:pPr>
    </w:p>
    <w:p w14:paraId="483B4301" w14:textId="77777777" w:rsidR="005E2CD7" w:rsidRDefault="005E2CD7" w:rsidP="005E2CD7">
      <w:pPr>
        <w:spacing w:line="480" w:lineRule="auto"/>
        <w:jc w:val="both"/>
      </w:pPr>
    </w:p>
    <w:p w14:paraId="2486642B" w14:textId="77777777" w:rsidR="005E2CD7" w:rsidRDefault="005E2CD7" w:rsidP="005E2CD7">
      <w:pPr>
        <w:spacing w:line="480" w:lineRule="auto"/>
        <w:jc w:val="both"/>
      </w:pPr>
    </w:p>
    <w:p w14:paraId="52BD8130" w14:textId="2E540A44" w:rsidR="005E2CD7" w:rsidRPr="003F00FD" w:rsidRDefault="00E171FE" w:rsidP="005E2CD7">
      <w:pPr>
        <w:spacing w:line="480" w:lineRule="auto"/>
        <w:jc w:val="both"/>
      </w:pPr>
      <w:r>
        <w:lastRenderedPageBreak/>
        <w:t>S3 Table</w:t>
      </w:r>
      <w:r w:rsidR="005E2CD7">
        <w:t xml:space="preserve"> Adjusted change in mean sugar </w:t>
      </w:r>
      <w:r w:rsidR="00B8666C">
        <w:t xml:space="preserve">(g) </w:t>
      </w:r>
      <w:r w:rsidR="005E2CD7">
        <w:t>in drinks purchased per household per week (95% CI)  (level) and adjusted change per week (trend) post-announcement of the Soft Drinks Industry Levy, with absolute and relative differences in purchased volume at two-years post-announcement</w:t>
      </w:r>
      <w:r w:rsidR="00B8666C">
        <w:t>;</w:t>
      </w:r>
      <w:r w:rsidR="005E2CD7">
        <w:t xml:space="preserve"> excluding small manufacturers</w:t>
      </w:r>
    </w:p>
    <w:tbl>
      <w:tblPr>
        <w:tblStyle w:val="TableGrid1"/>
        <w:tblW w:w="1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48"/>
        <w:gridCol w:w="236"/>
        <w:gridCol w:w="1625"/>
        <w:gridCol w:w="2563"/>
        <w:gridCol w:w="1928"/>
        <w:gridCol w:w="2260"/>
      </w:tblGrid>
      <w:tr w:rsidR="005E2CD7" w:rsidRPr="0025382B" w14:paraId="75763C5E" w14:textId="77777777" w:rsidTr="00B03E46">
        <w:tc>
          <w:tcPr>
            <w:tcW w:w="3940" w:type="dxa"/>
            <w:gridSpan w:val="2"/>
            <w:tcBorders>
              <w:top w:val="single" w:sz="8" w:space="0" w:color="auto"/>
            </w:tcBorders>
          </w:tcPr>
          <w:p w14:paraId="4B11F7C9" w14:textId="77777777" w:rsidR="005E2CD7" w:rsidRPr="0025382B" w:rsidRDefault="005E2CD7" w:rsidP="00B03E46">
            <w:pPr>
              <w:jc w:val="both"/>
              <w:rPr>
                <w:sz w:val="20"/>
                <w:szCs w:val="20"/>
              </w:rPr>
            </w:pPr>
          </w:p>
        </w:tc>
        <w:tc>
          <w:tcPr>
            <w:tcW w:w="236" w:type="dxa"/>
            <w:tcBorders>
              <w:top w:val="single" w:sz="8" w:space="0" w:color="auto"/>
            </w:tcBorders>
          </w:tcPr>
          <w:p w14:paraId="0B5BC2B3" w14:textId="77777777" w:rsidR="005E2CD7" w:rsidRPr="0025382B" w:rsidRDefault="005E2CD7" w:rsidP="00B03E46">
            <w:pPr>
              <w:jc w:val="both"/>
              <w:rPr>
                <w:sz w:val="20"/>
                <w:szCs w:val="20"/>
              </w:rPr>
            </w:pPr>
          </w:p>
        </w:tc>
        <w:tc>
          <w:tcPr>
            <w:tcW w:w="1625" w:type="dxa"/>
            <w:tcBorders>
              <w:top w:val="single" w:sz="8" w:space="0" w:color="auto"/>
            </w:tcBorders>
          </w:tcPr>
          <w:p w14:paraId="5A48F6FC" w14:textId="77777777" w:rsidR="005E2CD7" w:rsidRPr="0025382B" w:rsidRDefault="005E2CD7" w:rsidP="00B03E46">
            <w:pPr>
              <w:jc w:val="center"/>
              <w:rPr>
                <w:sz w:val="20"/>
                <w:szCs w:val="20"/>
              </w:rPr>
            </w:pPr>
          </w:p>
        </w:tc>
        <w:tc>
          <w:tcPr>
            <w:tcW w:w="2563" w:type="dxa"/>
            <w:tcBorders>
              <w:top w:val="single" w:sz="8" w:space="0" w:color="auto"/>
            </w:tcBorders>
          </w:tcPr>
          <w:p w14:paraId="3C3816F6" w14:textId="77777777" w:rsidR="005E2CD7" w:rsidRPr="0025382B" w:rsidRDefault="005E2CD7" w:rsidP="00B03E46">
            <w:pPr>
              <w:jc w:val="center"/>
              <w:rPr>
                <w:sz w:val="20"/>
                <w:szCs w:val="20"/>
              </w:rPr>
            </w:pPr>
          </w:p>
        </w:tc>
        <w:tc>
          <w:tcPr>
            <w:tcW w:w="4188" w:type="dxa"/>
            <w:gridSpan w:val="2"/>
            <w:tcBorders>
              <w:top w:val="single" w:sz="8" w:space="0" w:color="auto"/>
              <w:bottom w:val="single" w:sz="8" w:space="0" w:color="auto"/>
            </w:tcBorders>
          </w:tcPr>
          <w:p w14:paraId="4ED5A70B" w14:textId="77777777" w:rsidR="005E2CD7" w:rsidRPr="0025382B" w:rsidRDefault="005E2CD7" w:rsidP="00B03E46">
            <w:pPr>
              <w:jc w:val="center"/>
              <w:rPr>
                <w:sz w:val="20"/>
                <w:szCs w:val="20"/>
              </w:rPr>
            </w:pPr>
            <w:r w:rsidRPr="0025382B">
              <w:rPr>
                <w:sz w:val="20"/>
                <w:szCs w:val="20"/>
              </w:rPr>
              <w:t>Change at 2 years after the SDIL announcement</w:t>
            </w:r>
          </w:p>
        </w:tc>
      </w:tr>
      <w:tr w:rsidR="005E2CD7" w:rsidRPr="0025382B" w14:paraId="412DCAF8" w14:textId="77777777" w:rsidTr="00B03E46">
        <w:tc>
          <w:tcPr>
            <w:tcW w:w="3940" w:type="dxa"/>
            <w:gridSpan w:val="2"/>
            <w:tcBorders>
              <w:bottom w:val="single" w:sz="8" w:space="0" w:color="auto"/>
            </w:tcBorders>
          </w:tcPr>
          <w:p w14:paraId="53F6C727" w14:textId="77777777" w:rsidR="005E2CD7" w:rsidRPr="0025382B" w:rsidRDefault="005E2CD7" w:rsidP="00B03E46">
            <w:pPr>
              <w:jc w:val="both"/>
              <w:rPr>
                <w:sz w:val="20"/>
                <w:szCs w:val="20"/>
              </w:rPr>
            </w:pPr>
            <w:r>
              <w:rPr>
                <w:sz w:val="20"/>
                <w:szCs w:val="20"/>
              </w:rPr>
              <w:t>Category</w:t>
            </w:r>
          </w:p>
        </w:tc>
        <w:tc>
          <w:tcPr>
            <w:tcW w:w="236" w:type="dxa"/>
            <w:tcBorders>
              <w:bottom w:val="single" w:sz="8" w:space="0" w:color="auto"/>
            </w:tcBorders>
          </w:tcPr>
          <w:p w14:paraId="3D42F750" w14:textId="77777777" w:rsidR="005E2CD7" w:rsidRPr="0025382B" w:rsidRDefault="005E2CD7" w:rsidP="00B03E46">
            <w:pPr>
              <w:jc w:val="both"/>
              <w:rPr>
                <w:sz w:val="20"/>
                <w:szCs w:val="20"/>
              </w:rPr>
            </w:pPr>
          </w:p>
        </w:tc>
        <w:tc>
          <w:tcPr>
            <w:tcW w:w="1625" w:type="dxa"/>
            <w:tcBorders>
              <w:bottom w:val="single" w:sz="8" w:space="0" w:color="auto"/>
            </w:tcBorders>
          </w:tcPr>
          <w:p w14:paraId="4D16913A" w14:textId="77777777" w:rsidR="005E2CD7" w:rsidRPr="0025382B" w:rsidRDefault="005E2CD7" w:rsidP="00B03E46">
            <w:pPr>
              <w:jc w:val="center"/>
              <w:rPr>
                <w:sz w:val="20"/>
                <w:szCs w:val="20"/>
              </w:rPr>
            </w:pPr>
            <w:r w:rsidRPr="0025382B">
              <w:rPr>
                <w:sz w:val="20"/>
                <w:szCs w:val="20"/>
              </w:rPr>
              <w:t>Level change</w:t>
            </w:r>
            <w:r>
              <w:rPr>
                <w:sz w:val="20"/>
                <w:szCs w:val="20"/>
              </w:rPr>
              <w:t xml:space="preserve"> (g)</w:t>
            </w:r>
          </w:p>
        </w:tc>
        <w:tc>
          <w:tcPr>
            <w:tcW w:w="2563" w:type="dxa"/>
            <w:tcBorders>
              <w:bottom w:val="single" w:sz="8" w:space="0" w:color="auto"/>
            </w:tcBorders>
          </w:tcPr>
          <w:p w14:paraId="75CE3DC0" w14:textId="77777777" w:rsidR="005E2CD7" w:rsidRPr="0025382B" w:rsidRDefault="005E2CD7" w:rsidP="00B03E46">
            <w:pPr>
              <w:jc w:val="center"/>
              <w:rPr>
                <w:sz w:val="20"/>
                <w:szCs w:val="20"/>
              </w:rPr>
            </w:pPr>
            <w:r w:rsidRPr="0025382B">
              <w:rPr>
                <w:sz w:val="20"/>
                <w:szCs w:val="20"/>
              </w:rPr>
              <w:t>Trend change</w:t>
            </w:r>
            <w:r>
              <w:rPr>
                <w:sz w:val="20"/>
                <w:szCs w:val="20"/>
              </w:rPr>
              <w:t xml:space="preserve"> (g per week)</w:t>
            </w:r>
          </w:p>
        </w:tc>
        <w:tc>
          <w:tcPr>
            <w:tcW w:w="1928" w:type="dxa"/>
            <w:tcBorders>
              <w:top w:val="single" w:sz="8" w:space="0" w:color="auto"/>
              <w:bottom w:val="single" w:sz="8" w:space="0" w:color="auto"/>
            </w:tcBorders>
          </w:tcPr>
          <w:p w14:paraId="0423ED3C" w14:textId="77777777" w:rsidR="005E2CD7" w:rsidRPr="0025382B" w:rsidRDefault="005E2CD7" w:rsidP="00B03E46">
            <w:pPr>
              <w:jc w:val="center"/>
              <w:rPr>
                <w:sz w:val="20"/>
                <w:szCs w:val="20"/>
              </w:rPr>
            </w:pPr>
            <w:r w:rsidRPr="0025382B">
              <w:rPr>
                <w:sz w:val="20"/>
                <w:szCs w:val="20"/>
              </w:rPr>
              <w:t>Absolute change</w:t>
            </w:r>
            <w:r>
              <w:rPr>
                <w:sz w:val="20"/>
                <w:szCs w:val="20"/>
              </w:rPr>
              <w:t xml:space="preserve"> (g)</w:t>
            </w:r>
          </w:p>
        </w:tc>
        <w:tc>
          <w:tcPr>
            <w:tcW w:w="2260" w:type="dxa"/>
            <w:tcBorders>
              <w:top w:val="single" w:sz="8" w:space="0" w:color="auto"/>
              <w:bottom w:val="single" w:sz="8" w:space="0" w:color="auto"/>
            </w:tcBorders>
          </w:tcPr>
          <w:p w14:paraId="7150BB49" w14:textId="77777777" w:rsidR="005E2CD7" w:rsidRPr="0025382B" w:rsidRDefault="005E2CD7" w:rsidP="00B03E46">
            <w:pPr>
              <w:jc w:val="center"/>
              <w:rPr>
                <w:sz w:val="20"/>
                <w:szCs w:val="20"/>
              </w:rPr>
            </w:pPr>
            <w:r w:rsidRPr="0025382B">
              <w:rPr>
                <w:sz w:val="20"/>
                <w:szCs w:val="20"/>
              </w:rPr>
              <w:t>Relative change</w:t>
            </w:r>
            <w:r>
              <w:rPr>
                <w:sz w:val="20"/>
                <w:szCs w:val="20"/>
              </w:rPr>
              <w:t xml:space="preserve"> (%)</w:t>
            </w:r>
          </w:p>
        </w:tc>
      </w:tr>
      <w:tr w:rsidR="005E2CD7" w:rsidRPr="0025382B" w14:paraId="5989CC57" w14:textId="77777777" w:rsidTr="00B03E46">
        <w:tc>
          <w:tcPr>
            <w:tcW w:w="3940" w:type="dxa"/>
            <w:gridSpan w:val="2"/>
            <w:tcBorders>
              <w:top w:val="single" w:sz="8" w:space="0" w:color="auto"/>
              <w:bottom w:val="single" w:sz="8" w:space="0" w:color="DEEAF6" w:themeColor="accent1" w:themeTint="33"/>
            </w:tcBorders>
          </w:tcPr>
          <w:p w14:paraId="14D051DB" w14:textId="77777777" w:rsidR="005E2CD7" w:rsidRPr="007470AB" w:rsidRDefault="005E2CD7" w:rsidP="00B03E46">
            <w:pPr>
              <w:jc w:val="both"/>
              <w:rPr>
                <w:sz w:val="20"/>
                <w:szCs w:val="20"/>
              </w:rPr>
            </w:pPr>
            <w:r w:rsidRPr="007470AB">
              <w:rPr>
                <w:sz w:val="20"/>
                <w:szCs w:val="20"/>
              </w:rPr>
              <w:t>&lt;1 M Litres</w:t>
            </w:r>
          </w:p>
        </w:tc>
        <w:tc>
          <w:tcPr>
            <w:tcW w:w="1861" w:type="dxa"/>
            <w:gridSpan w:val="2"/>
            <w:tcBorders>
              <w:top w:val="single" w:sz="8" w:space="0" w:color="auto"/>
              <w:bottom w:val="single" w:sz="8" w:space="0" w:color="DEEAF6" w:themeColor="accent1" w:themeTint="33"/>
            </w:tcBorders>
          </w:tcPr>
          <w:p w14:paraId="16E0F629" w14:textId="77777777" w:rsidR="005E2CD7" w:rsidRPr="0025382B" w:rsidRDefault="005E2CD7" w:rsidP="00B03E46">
            <w:pPr>
              <w:jc w:val="center"/>
              <w:rPr>
                <w:sz w:val="20"/>
                <w:szCs w:val="20"/>
              </w:rPr>
            </w:pPr>
          </w:p>
        </w:tc>
        <w:tc>
          <w:tcPr>
            <w:tcW w:w="2563" w:type="dxa"/>
            <w:tcBorders>
              <w:top w:val="single" w:sz="8" w:space="0" w:color="auto"/>
              <w:bottom w:val="single" w:sz="8" w:space="0" w:color="DEEAF6" w:themeColor="accent1" w:themeTint="33"/>
            </w:tcBorders>
          </w:tcPr>
          <w:p w14:paraId="4F502DD4" w14:textId="77777777" w:rsidR="005E2CD7" w:rsidRPr="0025382B" w:rsidRDefault="005E2CD7" w:rsidP="00B03E46">
            <w:pPr>
              <w:jc w:val="center"/>
              <w:rPr>
                <w:sz w:val="20"/>
                <w:szCs w:val="20"/>
              </w:rPr>
            </w:pPr>
          </w:p>
        </w:tc>
        <w:tc>
          <w:tcPr>
            <w:tcW w:w="1928" w:type="dxa"/>
            <w:tcBorders>
              <w:top w:val="single" w:sz="8" w:space="0" w:color="auto"/>
              <w:bottom w:val="single" w:sz="8" w:space="0" w:color="DEEAF6" w:themeColor="accent1" w:themeTint="33"/>
            </w:tcBorders>
          </w:tcPr>
          <w:p w14:paraId="51FAFAED" w14:textId="77777777" w:rsidR="005E2CD7" w:rsidRPr="0025382B" w:rsidRDefault="005E2CD7" w:rsidP="00B03E46">
            <w:pPr>
              <w:jc w:val="center"/>
              <w:rPr>
                <w:sz w:val="20"/>
                <w:szCs w:val="20"/>
              </w:rPr>
            </w:pPr>
          </w:p>
        </w:tc>
        <w:tc>
          <w:tcPr>
            <w:tcW w:w="2260" w:type="dxa"/>
            <w:tcBorders>
              <w:top w:val="single" w:sz="8" w:space="0" w:color="auto"/>
              <w:bottom w:val="single" w:sz="8" w:space="0" w:color="DEEAF6" w:themeColor="accent1" w:themeTint="33"/>
            </w:tcBorders>
          </w:tcPr>
          <w:p w14:paraId="247938EE" w14:textId="77777777" w:rsidR="005E2CD7" w:rsidRPr="0025382B" w:rsidRDefault="005E2CD7" w:rsidP="00B03E46">
            <w:pPr>
              <w:jc w:val="center"/>
              <w:rPr>
                <w:sz w:val="20"/>
                <w:szCs w:val="20"/>
              </w:rPr>
            </w:pPr>
          </w:p>
        </w:tc>
      </w:tr>
      <w:tr w:rsidR="005E2CD7" w:rsidRPr="0025382B" w14:paraId="44B0221A" w14:textId="77777777" w:rsidTr="00B03E46">
        <w:tc>
          <w:tcPr>
            <w:tcW w:w="392" w:type="dxa"/>
            <w:tcBorders>
              <w:top w:val="single" w:sz="8" w:space="0" w:color="DEEAF6" w:themeColor="accent1" w:themeTint="33"/>
              <w:bottom w:val="single" w:sz="8" w:space="0" w:color="DEEAF6" w:themeColor="accent1" w:themeTint="33"/>
            </w:tcBorders>
          </w:tcPr>
          <w:p w14:paraId="16710332" w14:textId="77777777" w:rsidR="005E2CD7" w:rsidRPr="0025382B" w:rsidRDefault="005E2CD7" w:rsidP="00B03E46">
            <w:pPr>
              <w:jc w:val="both"/>
              <w:rPr>
                <w:sz w:val="20"/>
                <w:szCs w:val="20"/>
              </w:rPr>
            </w:pPr>
          </w:p>
        </w:tc>
        <w:tc>
          <w:tcPr>
            <w:tcW w:w="3548" w:type="dxa"/>
            <w:tcBorders>
              <w:top w:val="single" w:sz="8" w:space="0" w:color="DEEAF6" w:themeColor="accent1" w:themeTint="33"/>
              <w:bottom w:val="single" w:sz="8" w:space="0" w:color="DEEAF6" w:themeColor="accent1" w:themeTint="33"/>
            </w:tcBorders>
          </w:tcPr>
          <w:p w14:paraId="089443A0" w14:textId="77777777" w:rsidR="005E2CD7" w:rsidRPr="0025382B" w:rsidRDefault="005E2CD7" w:rsidP="00B03E46">
            <w:pPr>
              <w:jc w:val="both"/>
              <w:rPr>
                <w:sz w:val="20"/>
                <w:szCs w:val="20"/>
              </w:rPr>
            </w:pPr>
            <w:r w:rsidRPr="0025382B">
              <w:rPr>
                <w:sz w:val="20"/>
                <w:szCs w:val="20"/>
              </w:rPr>
              <w:t>High</w:t>
            </w:r>
            <w:r>
              <w:rPr>
                <w:sz w:val="20"/>
                <w:szCs w:val="20"/>
              </w:rPr>
              <w:t>er</w:t>
            </w:r>
            <w:r w:rsidRPr="0025382B">
              <w:rPr>
                <w:sz w:val="20"/>
                <w:szCs w:val="20"/>
              </w:rPr>
              <w:t xml:space="preserve"> tier ≥8g of sugar per 100ml</w:t>
            </w:r>
          </w:p>
        </w:tc>
        <w:tc>
          <w:tcPr>
            <w:tcW w:w="1861" w:type="dxa"/>
            <w:gridSpan w:val="2"/>
            <w:tcBorders>
              <w:top w:val="single" w:sz="8" w:space="0" w:color="DEEAF6" w:themeColor="accent1" w:themeTint="33"/>
              <w:bottom w:val="single" w:sz="8" w:space="0" w:color="DEEAF6" w:themeColor="accent1" w:themeTint="33"/>
            </w:tcBorders>
          </w:tcPr>
          <w:p w14:paraId="3AF2F5EA" w14:textId="1637FC84" w:rsidR="005E2CD7" w:rsidRPr="00CC2BB3" w:rsidRDefault="00186F06" w:rsidP="00B03E46">
            <w:pPr>
              <w:jc w:val="center"/>
              <w:rPr>
                <w:b/>
                <w:sz w:val="20"/>
                <w:szCs w:val="20"/>
              </w:rPr>
            </w:pPr>
            <w:r>
              <w:rPr>
                <w:b/>
                <w:sz w:val="20"/>
                <w:szCs w:val="20"/>
              </w:rPr>
              <w:t>5.</w:t>
            </w:r>
            <w:r w:rsidR="00793A8D">
              <w:rPr>
                <w:b/>
                <w:sz w:val="20"/>
                <w:szCs w:val="20"/>
              </w:rPr>
              <w:t>1</w:t>
            </w:r>
            <w:r w:rsidR="005E2CD7" w:rsidRPr="00CC2BB3">
              <w:rPr>
                <w:b/>
                <w:sz w:val="20"/>
                <w:szCs w:val="20"/>
              </w:rPr>
              <w:t xml:space="preserve"> </w:t>
            </w:r>
            <w:r w:rsidR="005E2CD7">
              <w:rPr>
                <w:b/>
                <w:sz w:val="20"/>
                <w:szCs w:val="20"/>
              </w:rPr>
              <w:t>(</w:t>
            </w:r>
            <w:r w:rsidR="006C1F11">
              <w:rPr>
                <w:b/>
                <w:sz w:val="20"/>
                <w:szCs w:val="20"/>
              </w:rPr>
              <w:t>0.</w:t>
            </w:r>
            <w:r w:rsidR="00793A8D">
              <w:rPr>
                <w:b/>
                <w:sz w:val="20"/>
                <w:szCs w:val="20"/>
              </w:rPr>
              <w:t>4</w:t>
            </w:r>
            <w:r w:rsidR="006C1F11">
              <w:rPr>
                <w:b/>
                <w:sz w:val="20"/>
                <w:szCs w:val="20"/>
              </w:rPr>
              <w:t>,</w:t>
            </w:r>
            <w:r w:rsidR="005E2CD7" w:rsidRPr="00CC2BB3">
              <w:rPr>
                <w:b/>
                <w:sz w:val="20"/>
                <w:szCs w:val="20"/>
              </w:rPr>
              <w:t xml:space="preserve"> </w:t>
            </w:r>
            <w:r w:rsidR="006C1F11">
              <w:rPr>
                <w:b/>
                <w:sz w:val="20"/>
                <w:szCs w:val="20"/>
              </w:rPr>
              <w:t>9.8</w:t>
            </w:r>
            <w:r w:rsidR="005E2CD7" w:rsidRPr="00CC2BB3">
              <w:rPr>
                <w:b/>
                <w:sz w:val="20"/>
                <w:szCs w:val="20"/>
              </w:rPr>
              <w:t>)</w:t>
            </w:r>
          </w:p>
        </w:tc>
        <w:tc>
          <w:tcPr>
            <w:tcW w:w="2563" w:type="dxa"/>
            <w:tcBorders>
              <w:top w:val="single" w:sz="8" w:space="0" w:color="DEEAF6" w:themeColor="accent1" w:themeTint="33"/>
              <w:bottom w:val="single" w:sz="8" w:space="0" w:color="DEEAF6" w:themeColor="accent1" w:themeTint="33"/>
            </w:tcBorders>
          </w:tcPr>
          <w:p w14:paraId="15D0F2F8" w14:textId="174BC92C" w:rsidR="005E2CD7" w:rsidRPr="0025382B" w:rsidRDefault="00186F06" w:rsidP="00B03E46">
            <w:pPr>
              <w:jc w:val="center"/>
              <w:rPr>
                <w:sz w:val="20"/>
                <w:szCs w:val="20"/>
              </w:rPr>
            </w:pPr>
            <w:r>
              <w:rPr>
                <w:sz w:val="20"/>
                <w:szCs w:val="20"/>
              </w:rPr>
              <w:t>-</w:t>
            </w:r>
            <w:r w:rsidR="005E2CD7" w:rsidRPr="0025382B">
              <w:rPr>
                <w:sz w:val="20"/>
                <w:szCs w:val="20"/>
              </w:rPr>
              <w:t>0.0</w:t>
            </w:r>
            <w:r>
              <w:rPr>
                <w:sz w:val="20"/>
                <w:szCs w:val="20"/>
              </w:rPr>
              <w:t>3</w:t>
            </w:r>
            <w:r w:rsidR="005E2CD7" w:rsidRPr="0025382B">
              <w:rPr>
                <w:sz w:val="20"/>
                <w:szCs w:val="20"/>
              </w:rPr>
              <w:t xml:space="preserve"> (-0.1</w:t>
            </w:r>
            <w:r w:rsidR="00B8666C">
              <w:rPr>
                <w:sz w:val="20"/>
                <w:szCs w:val="20"/>
              </w:rPr>
              <w:t xml:space="preserve"> </w:t>
            </w:r>
            <w:r w:rsidR="005E2CD7" w:rsidRPr="0025382B">
              <w:rPr>
                <w:sz w:val="20"/>
                <w:szCs w:val="20"/>
              </w:rPr>
              <w:t>,0.</w:t>
            </w:r>
            <w:r w:rsidR="002300B0">
              <w:rPr>
                <w:sz w:val="20"/>
                <w:szCs w:val="20"/>
              </w:rPr>
              <w:t>04</w:t>
            </w:r>
            <w:r w:rsidR="005E2CD7" w:rsidRPr="0025382B">
              <w:rPr>
                <w:sz w:val="20"/>
                <w:szCs w:val="20"/>
              </w:rPr>
              <w:t>)</w:t>
            </w:r>
          </w:p>
        </w:tc>
        <w:tc>
          <w:tcPr>
            <w:tcW w:w="1928" w:type="dxa"/>
            <w:tcBorders>
              <w:top w:val="single" w:sz="8" w:space="0" w:color="DEEAF6" w:themeColor="accent1" w:themeTint="33"/>
              <w:bottom w:val="single" w:sz="8" w:space="0" w:color="DEEAF6" w:themeColor="accent1" w:themeTint="33"/>
            </w:tcBorders>
          </w:tcPr>
          <w:p w14:paraId="0C05C939" w14:textId="3201CBD1" w:rsidR="005E2CD7" w:rsidRPr="00B75901" w:rsidRDefault="00EC3B8D" w:rsidP="00B03E46">
            <w:pPr>
              <w:jc w:val="center"/>
              <w:rPr>
                <w:b/>
                <w:sz w:val="20"/>
                <w:szCs w:val="20"/>
              </w:rPr>
            </w:pPr>
            <w:r w:rsidRPr="00B75901">
              <w:rPr>
                <w:b/>
                <w:sz w:val="20"/>
                <w:szCs w:val="20"/>
              </w:rPr>
              <w:t>5.5</w:t>
            </w:r>
            <w:r w:rsidR="005E2CD7" w:rsidRPr="00B75901">
              <w:rPr>
                <w:b/>
                <w:sz w:val="20"/>
                <w:szCs w:val="20"/>
              </w:rPr>
              <w:t xml:space="preserve"> (</w:t>
            </w:r>
            <w:r w:rsidR="009A0B98" w:rsidRPr="00B75901">
              <w:rPr>
                <w:b/>
                <w:sz w:val="20"/>
                <w:szCs w:val="20"/>
              </w:rPr>
              <w:t>2.9</w:t>
            </w:r>
            <w:r w:rsidR="005E2CD7" w:rsidRPr="00B75901">
              <w:rPr>
                <w:b/>
                <w:sz w:val="20"/>
                <w:szCs w:val="20"/>
              </w:rPr>
              <w:t xml:space="preserve">, </w:t>
            </w:r>
            <w:r w:rsidRPr="00B75901">
              <w:rPr>
                <w:b/>
                <w:sz w:val="20"/>
                <w:szCs w:val="20"/>
              </w:rPr>
              <w:t>8.</w:t>
            </w:r>
            <w:r w:rsidR="009A0B98" w:rsidRPr="00B75901">
              <w:rPr>
                <w:b/>
                <w:sz w:val="20"/>
                <w:szCs w:val="20"/>
              </w:rPr>
              <w:t>1</w:t>
            </w:r>
            <w:r w:rsidR="005E2CD7" w:rsidRPr="00B75901">
              <w:rPr>
                <w:b/>
                <w:sz w:val="20"/>
                <w:szCs w:val="20"/>
              </w:rPr>
              <w:t>)</w:t>
            </w:r>
          </w:p>
        </w:tc>
        <w:tc>
          <w:tcPr>
            <w:tcW w:w="2260" w:type="dxa"/>
            <w:tcBorders>
              <w:top w:val="single" w:sz="8" w:space="0" w:color="DEEAF6" w:themeColor="accent1" w:themeTint="33"/>
              <w:bottom w:val="single" w:sz="8" w:space="0" w:color="DEEAF6" w:themeColor="accent1" w:themeTint="33"/>
            </w:tcBorders>
          </w:tcPr>
          <w:p w14:paraId="55053ADD" w14:textId="2465E51E" w:rsidR="005E2CD7" w:rsidRPr="00B75901" w:rsidRDefault="00EC3B8D" w:rsidP="00B03E46">
            <w:pPr>
              <w:jc w:val="center"/>
              <w:rPr>
                <w:b/>
                <w:sz w:val="20"/>
                <w:szCs w:val="20"/>
              </w:rPr>
            </w:pPr>
            <w:r w:rsidRPr="00B75901">
              <w:rPr>
                <w:b/>
                <w:sz w:val="20"/>
                <w:szCs w:val="20"/>
              </w:rPr>
              <w:t>11.</w:t>
            </w:r>
            <w:r w:rsidR="009A0B98" w:rsidRPr="00B75901">
              <w:rPr>
                <w:b/>
                <w:sz w:val="20"/>
                <w:szCs w:val="20"/>
              </w:rPr>
              <w:t>4</w:t>
            </w:r>
            <w:r w:rsidR="005E2CD7" w:rsidRPr="00B75901">
              <w:rPr>
                <w:b/>
                <w:sz w:val="20"/>
                <w:szCs w:val="20"/>
              </w:rPr>
              <w:t xml:space="preserve"> (</w:t>
            </w:r>
            <w:r w:rsidRPr="00B75901">
              <w:rPr>
                <w:b/>
                <w:sz w:val="20"/>
                <w:szCs w:val="20"/>
              </w:rPr>
              <w:t>6.1</w:t>
            </w:r>
            <w:r w:rsidR="005E2CD7" w:rsidRPr="00B75901">
              <w:rPr>
                <w:b/>
                <w:sz w:val="20"/>
                <w:szCs w:val="20"/>
              </w:rPr>
              <w:t xml:space="preserve">, </w:t>
            </w:r>
            <w:r w:rsidRPr="00B75901">
              <w:rPr>
                <w:b/>
                <w:sz w:val="20"/>
                <w:szCs w:val="20"/>
              </w:rPr>
              <w:t>16.</w:t>
            </w:r>
            <w:r w:rsidR="009A0B98" w:rsidRPr="00B75901">
              <w:rPr>
                <w:b/>
                <w:sz w:val="20"/>
                <w:szCs w:val="20"/>
              </w:rPr>
              <w:t>7</w:t>
            </w:r>
            <w:r w:rsidR="005E2CD7" w:rsidRPr="00B75901">
              <w:rPr>
                <w:b/>
                <w:sz w:val="20"/>
                <w:szCs w:val="20"/>
              </w:rPr>
              <w:t>)</w:t>
            </w:r>
          </w:p>
        </w:tc>
      </w:tr>
      <w:tr w:rsidR="005E2CD7" w:rsidRPr="0025382B" w14:paraId="5319096C" w14:textId="77777777" w:rsidTr="00B03E46">
        <w:tc>
          <w:tcPr>
            <w:tcW w:w="392" w:type="dxa"/>
            <w:tcBorders>
              <w:top w:val="single" w:sz="8" w:space="0" w:color="DEEAF6" w:themeColor="accent1" w:themeTint="33"/>
              <w:bottom w:val="single" w:sz="8" w:space="0" w:color="DEEAF6" w:themeColor="accent1" w:themeTint="33"/>
            </w:tcBorders>
          </w:tcPr>
          <w:p w14:paraId="341915EA" w14:textId="77777777" w:rsidR="005E2CD7" w:rsidRPr="0025382B" w:rsidRDefault="005E2CD7" w:rsidP="00B03E46">
            <w:pPr>
              <w:jc w:val="both"/>
              <w:rPr>
                <w:sz w:val="20"/>
                <w:szCs w:val="20"/>
              </w:rPr>
            </w:pPr>
          </w:p>
        </w:tc>
        <w:tc>
          <w:tcPr>
            <w:tcW w:w="3548" w:type="dxa"/>
            <w:tcBorders>
              <w:top w:val="single" w:sz="8" w:space="0" w:color="DEEAF6" w:themeColor="accent1" w:themeTint="33"/>
              <w:bottom w:val="single" w:sz="8" w:space="0" w:color="DEEAF6" w:themeColor="accent1" w:themeTint="33"/>
            </w:tcBorders>
          </w:tcPr>
          <w:p w14:paraId="416A7D03" w14:textId="74D10371" w:rsidR="005E2CD7" w:rsidRPr="0025382B" w:rsidRDefault="005E2CD7" w:rsidP="00B03E46">
            <w:pPr>
              <w:jc w:val="both"/>
              <w:rPr>
                <w:sz w:val="20"/>
                <w:szCs w:val="20"/>
              </w:rPr>
            </w:pPr>
            <w:r w:rsidRPr="0025382B">
              <w:rPr>
                <w:sz w:val="20"/>
                <w:szCs w:val="20"/>
              </w:rPr>
              <w:t>Low</w:t>
            </w:r>
            <w:r>
              <w:rPr>
                <w:sz w:val="20"/>
                <w:szCs w:val="20"/>
              </w:rPr>
              <w:t>er</w:t>
            </w:r>
            <w:r w:rsidRPr="0025382B">
              <w:rPr>
                <w:sz w:val="20"/>
                <w:szCs w:val="20"/>
              </w:rPr>
              <w:t xml:space="preserve"> tier ≥5g - &lt;8g of sugar per 100ml</w:t>
            </w:r>
            <w:r w:rsidRPr="002F3A7B">
              <w:rPr>
                <w:sz w:val="20"/>
                <w:szCs w:val="20"/>
                <w:vertAlign w:val="superscript"/>
              </w:rPr>
              <w:t>†</w:t>
            </w:r>
          </w:p>
        </w:tc>
        <w:tc>
          <w:tcPr>
            <w:tcW w:w="1861" w:type="dxa"/>
            <w:gridSpan w:val="2"/>
            <w:tcBorders>
              <w:top w:val="single" w:sz="8" w:space="0" w:color="DEEAF6" w:themeColor="accent1" w:themeTint="33"/>
              <w:bottom w:val="single" w:sz="8" w:space="0" w:color="DEEAF6" w:themeColor="accent1" w:themeTint="33"/>
            </w:tcBorders>
          </w:tcPr>
          <w:p w14:paraId="2D4AAF1D" w14:textId="3844F4CC" w:rsidR="005E2CD7" w:rsidRPr="0025382B" w:rsidRDefault="00FB7130" w:rsidP="00B03E46">
            <w:pPr>
              <w:jc w:val="center"/>
              <w:rPr>
                <w:sz w:val="20"/>
                <w:szCs w:val="20"/>
              </w:rPr>
            </w:pPr>
            <w:r>
              <w:rPr>
                <w:sz w:val="20"/>
                <w:szCs w:val="20"/>
              </w:rPr>
              <w:t>-0.7</w:t>
            </w:r>
            <w:r w:rsidR="005E2CD7" w:rsidRPr="0025382B">
              <w:rPr>
                <w:sz w:val="20"/>
                <w:szCs w:val="20"/>
              </w:rPr>
              <w:t xml:space="preserve"> (-</w:t>
            </w:r>
            <w:r>
              <w:rPr>
                <w:sz w:val="20"/>
                <w:szCs w:val="20"/>
              </w:rPr>
              <w:t>2.5</w:t>
            </w:r>
            <w:r w:rsidR="005E2CD7" w:rsidRPr="0025382B">
              <w:rPr>
                <w:sz w:val="20"/>
                <w:szCs w:val="20"/>
              </w:rPr>
              <w:t xml:space="preserve">, </w:t>
            </w:r>
            <w:r>
              <w:rPr>
                <w:sz w:val="20"/>
                <w:szCs w:val="20"/>
              </w:rPr>
              <w:t>1.</w:t>
            </w:r>
            <w:r w:rsidR="009711F6">
              <w:rPr>
                <w:sz w:val="20"/>
                <w:szCs w:val="20"/>
              </w:rPr>
              <w:t>0</w:t>
            </w:r>
            <w:r w:rsidR="005E2CD7" w:rsidRPr="0025382B">
              <w:rPr>
                <w:sz w:val="20"/>
                <w:szCs w:val="20"/>
              </w:rPr>
              <w:t>)</w:t>
            </w:r>
          </w:p>
        </w:tc>
        <w:tc>
          <w:tcPr>
            <w:tcW w:w="2563" w:type="dxa"/>
            <w:tcBorders>
              <w:top w:val="single" w:sz="8" w:space="0" w:color="DEEAF6" w:themeColor="accent1" w:themeTint="33"/>
              <w:bottom w:val="single" w:sz="8" w:space="0" w:color="DEEAF6" w:themeColor="accent1" w:themeTint="33"/>
            </w:tcBorders>
          </w:tcPr>
          <w:p w14:paraId="252CA8E7" w14:textId="2FC910BB" w:rsidR="005E2CD7" w:rsidRPr="00C819E4" w:rsidRDefault="005E2CD7" w:rsidP="00B03E46">
            <w:pPr>
              <w:jc w:val="center"/>
              <w:rPr>
                <w:b/>
                <w:sz w:val="20"/>
                <w:szCs w:val="20"/>
              </w:rPr>
            </w:pPr>
            <w:r w:rsidRPr="00C819E4">
              <w:rPr>
                <w:b/>
                <w:sz w:val="20"/>
                <w:szCs w:val="20"/>
              </w:rPr>
              <w:t>-0.0</w:t>
            </w:r>
            <w:r w:rsidR="00793A8D">
              <w:rPr>
                <w:b/>
                <w:sz w:val="20"/>
                <w:szCs w:val="20"/>
              </w:rPr>
              <w:t>7</w:t>
            </w:r>
            <w:r w:rsidRPr="00C819E4">
              <w:rPr>
                <w:b/>
                <w:sz w:val="20"/>
                <w:szCs w:val="20"/>
              </w:rPr>
              <w:t xml:space="preserve"> (-0.1, -0.0</w:t>
            </w:r>
            <w:r w:rsidR="00793A8D">
              <w:rPr>
                <w:b/>
                <w:sz w:val="20"/>
                <w:szCs w:val="20"/>
              </w:rPr>
              <w:t>3</w:t>
            </w:r>
            <w:r w:rsidRPr="00C819E4">
              <w:rPr>
                <w:b/>
                <w:sz w:val="20"/>
                <w:szCs w:val="20"/>
              </w:rPr>
              <w:t>)</w:t>
            </w:r>
          </w:p>
        </w:tc>
        <w:tc>
          <w:tcPr>
            <w:tcW w:w="1928" w:type="dxa"/>
            <w:tcBorders>
              <w:top w:val="single" w:sz="8" w:space="0" w:color="DEEAF6" w:themeColor="accent1" w:themeTint="33"/>
              <w:bottom w:val="single" w:sz="8" w:space="0" w:color="DEEAF6" w:themeColor="accent1" w:themeTint="33"/>
            </w:tcBorders>
          </w:tcPr>
          <w:p w14:paraId="3D5876B1" w14:textId="1E980E57" w:rsidR="005E2CD7" w:rsidRPr="00C819E4" w:rsidRDefault="005E2CD7" w:rsidP="00B03E46">
            <w:pPr>
              <w:jc w:val="center"/>
              <w:rPr>
                <w:b/>
                <w:sz w:val="20"/>
                <w:szCs w:val="20"/>
              </w:rPr>
            </w:pPr>
            <w:r w:rsidRPr="00C819E4">
              <w:rPr>
                <w:b/>
                <w:sz w:val="20"/>
                <w:szCs w:val="20"/>
              </w:rPr>
              <w:t>-</w:t>
            </w:r>
            <w:r w:rsidR="00BF3691">
              <w:rPr>
                <w:b/>
                <w:sz w:val="20"/>
                <w:szCs w:val="20"/>
              </w:rPr>
              <w:t>4.</w:t>
            </w:r>
            <w:r w:rsidR="00CB1AF2">
              <w:rPr>
                <w:b/>
                <w:sz w:val="20"/>
                <w:szCs w:val="20"/>
              </w:rPr>
              <w:t>9</w:t>
            </w:r>
            <w:r w:rsidR="00B8666C">
              <w:rPr>
                <w:b/>
                <w:sz w:val="20"/>
                <w:szCs w:val="20"/>
              </w:rPr>
              <w:t xml:space="preserve"> </w:t>
            </w:r>
            <w:r w:rsidRPr="00C819E4">
              <w:rPr>
                <w:b/>
                <w:sz w:val="20"/>
                <w:szCs w:val="20"/>
              </w:rPr>
              <w:t>(-</w:t>
            </w:r>
            <w:r w:rsidR="00BF3691">
              <w:rPr>
                <w:b/>
                <w:sz w:val="20"/>
                <w:szCs w:val="20"/>
              </w:rPr>
              <w:t>3.</w:t>
            </w:r>
            <w:r w:rsidR="00CB1AF2">
              <w:rPr>
                <w:b/>
                <w:sz w:val="20"/>
                <w:szCs w:val="20"/>
              </w:rPr>
              <w:t>9</w:t>
            </w:r>
            <w:r w:rsidRPr="00C819E4">
              <w:rPr>
                <w:b/>
                <w:sz w:val="20"/>
                <w:szCs w:val="20"/>
              </w:rPr>
              <w:t>, -</w:t>
            </w:r>
            <w:r w:rsidR="00CB1AF2">
              <w:rPr>
                <w:b/>
                <w:sz w:val="20"/>
                <w:szCs w:val="20"/>
              </w:rPr>
              <w:t>6.0</w:t>
            </w:r>
            <w:r w:rsidRPr="00C819E4">
              <w:rPr>
                <w:b/>
                <w:sz w:val="20"/>
                <w:szCs w:val="20"/>
              </w:rPr>
              <w:t>)</w:t>
            </w:r>
          </w:p>
        </w:tc>
        <w:tc>
          <w:tcPr>
            <w:tcW w:w="2260" w:type="dxa"/>
            <w:tcBorders>
              <w:top w:val="single" w:sz="8" w:space="0" w:color="DEEAF6" w:themeColor="accent1" w:themeTint="33"/>
              <w:bottom w:val="single" w:sz="8" w:space="0" w:color="DEEAF6" w:themeColor="accent1" w:themeTint="33"/>
            </w:tcBorders>
          </w:tcPr>
          <w:p w14:paraId="05CE36CD" w14:textId="6BE99BC6" w:rsidR="005E2CD7" w:rsidRPr="00C819E4" w:rsidRDefault="005E2CD7" w:rsidP="00B03E46">
            <w:pPr>
              <w:jc w:val="center"/>
              <w:rPr>
                <w:b/>
                <w:sz w:val="20"/>
                <w:szCs w:val="20"/>
              </w:rPr>
            </w:pPr>
            <w:r w:rsidRPr="00C819E4">
              <w:rPr>
                <w:b/>
                <w:sz w:val="20"/>
                <w:szCs w:val="20"/>
              </w:rPr>
              <w:t>-</w:t>
            </w:r>
            <w:r w:rsidR="00BF3691">
              <w:rPr>
                <w:b/>
                <w:sz w:val="20"/>
                <w:szCs w:val="20"/>
              </w:rPr>
              <w:t>41.</w:t>
            </w:r>
            <w:r w:rsidR="00CB1AF2">
              <w:rPr>
                <w:b/>
                <w:sz w:val="20"/>
                <w:szCs w:val="20"/>
              </w:rPr>
              <w:t>6</w:t>
            </w:r>
            <w:r w:rsidRPr="00C819E4">
              <w:rPr>
                <w:b/>
                <w:sz w:val="20"/>
                <w:szCs w:val="20"/>
              </w:rPr>
              <w:t xml:space="preserve"> (-</w:t>
            </w:r>
            <w:r w:rsidR="00CB1AF2">
              <w:rPr>
                <w:b/>
                <w:sz w:val="20"/>
                <w:szCs w:val="20"/>
              </w:rPr>
              <w:t>50.6</w:t>
            </w:r>
            <w:r w:rsidRPr="00C819E4">
              <w:rPr>
                <w:b/>
                <w:sz w:val="20"/>
                <w:szCs w:val="20"/>
              </w:rPr>
              <w:t>, -</w:t>
            </w:r>
            <w:r w:rsidR="00BF3691">
              <w:rPr>
                <w:b/>
                <w:sz w:val="20"/>
                <w:szCs w:val="20"/>
              </w:rPr>
              <w:t>32.</w:t>
            </w:r>
            <w:r w:rsidR="00CB1AF2">
              <w:rPr>
                <w:b/>
                <w:sz w:val="20"/>
                <w:szCs w:val="20"/>
              </w:rPr>
              <w:t>6</w:t>
            </w:r>
            <w:r w:rsidRPr="00C819E4">
              <w:rPr>
                <w:b/>
                <w:sz w:val="20"/>
                <w:szCs w:val="20"/>
              </w:rPr>
              <w:t>)</w:t>
            </w:r>
          </w:p>
        </w:tc>
      </w:tr>
      <w:tr w:rsidR="005E2CD7" w:rsidRPr="0025382B" w14:paraId="51792C54" w14:textId="77777777" w:rsidTr="00B03E46">
        <w:tc>
          <w:tcPr>
            <w:tcW w:w="3940" w:type="dxa"/>
            <w:gridSpan w:val="2"/>
            <w:tcBorders>
              <w:top w:val="single" w:sz="8" w:space="0" w:color="DEEAF6" w:themeColor="accent1" w:themeTint="33"/>
              <w:bottom w:val="single" w:sz="8" w:space="0" w:color="DEEAF6" w:themeColor="accent1" w:themeTint="33"/>
            </w:tcBorders>
          </w:tcPr>
          <w:p w14:paraId="028B61DC" w14:textId="77777777" w:rsidR="005E2CD7" w:rsidRPr="007470AB" w:rsidRDefault="005E2CD7" w:rsidP="00B03E46">
            <w:pPr>
              <w:jc w:val="both"/>
              <w:rPr>
                <w:sz w:val="20"/>
                <w:szCs w:val="20"/>
              </w:rPr>
            </w:pPr>
            <w:r w:rsidRPr="007470AB">
              <w:rPr>
                <w:sz w:val="20"/>
                <w:szCs w:val="20"/>
              </w:rPr>
              <w:t>&lt;0.5M Litres</w:t>
            </w:r>
          </w:p>
        </w:tc>
        <w:tc>
          <w:tcPr>
            <w:tcW w:w="1861" w:type="dxa"/>
            <w:gridSpan w:val="2"/>
            <w:tcBorders>
              <w:top w:val="single" w:sz="8" w:space="0" w:color="DEEAF6" w:themeColor="accent1" w:themeTint="33"/>
              <w:bottom w:val="single" w:sz="8" w:space="0" w:color="DEEAF6" w:themeColor="accent1" w:themeTint="33"/>
            </w:tcBorders>
          </w:tcPr>
          <w:p w14:paraId="3835DE6F" w14:textId="77777777" w:rsidR="005E2CD7" w:rsidRPr="0025382B" w:rsidRDefault="005E2CD7" w:rsidP="00B03E46">
            <w:pPr>
              <w:jc w:val="center"/>
              <w:rPr>
                <w:sz w:val="20"/>
                <w:szCs w:val="20"/>
              </w:rPr>
            </w:pPr>
          </w:p>
        </w:tc>
        <w:tc>
          <w:tcPr>
            <w:tcW w:w="2563" w:type="dxa"/>
            <w:tcBorders>
              <w:top w:val="single" w:sz="8" w:space="0" w:color="DEEAF6" w:themeColor="accent1" w:themeTint="33"/>
              <w:bottom w:val="single" w:sz="8" w:space="0" w:color="DEEAF6" w:themeColor="accent1" w:themeTint="33"/>
            </w:tcBorders>
          </w:tcPr>
          <w:p w14:paraId="05A313EF" w14:textId="77777777" w:rsidR="005E2CD7" w:rsidRPr="0025382B" w:rsidRDefault="005E2CD7" w:rsidP="00B03E46">
            <w:pPr>
              <w:jc w:val="center"/>
              <w:rPr>
                <w:sz w:val="20"/>
                <w:szCs w:val="20"/>
              </w:rPr>
            </w:pPr>
          </w:p>
        </w:tc>
        <w:tc>
          <w:tcPr>
            <w:tcW w:w="1928" w:type="dxa"/>
            <w:tcBorders>
              <w:top w:val="single" w:sz="8" w:space="0" w:color="DEEAF6" w:themeColor="accent1" w:themeTint="33"/>
              <w:bottom w:val="single" w:sz="8" w:space="0" w:color="DEEAF6" w:themeColor="accent1" w:themeTint="33"/>
            </w:tcBorders>
          </w:tcPr>
          <w:p w14:paraId="5C406681" w14:textId="77777777" w:rsidR="005E2CD7" w:rsidRPr="0025382B" w:rsidRDefault="005E2CD7" w:rsidP="00B03E46">
            <w:pPr>
              <w:jc w:val="center"/>
              <w:rPr>
                <w:sz w:val="20"/>
                <w:szCs w:val="20"/>
              </w:rPr>
            </w:pPr>
          </w:p>
        </w:tc>
        <w:tc>
          <w:tcPr>
            <w:tcW w:w="2260" w:type="dxa"/>
            <w:tcBorders>
              <w:top w:val="single" w:sz="8" w:space="0" w:color="DEEAF6" w:themeColor="accent1" w:themeTint="33"/>
              <w:bottom w:val="single" w:sz="8" w:space="0" w:color="DEEAF6" w:themeColor="accent1" w:themeTint="33"/>
            </w:tcBorders>
          </w:tcPr>
          <w:p w14:paraId="2DA942EC" w14:textId="77777777" w:rsidR="005E2CD7" w:rsidRPr="0025382B" w:rsidRDefault="005E2CD7" w:rsidP="00B03E46">
            <w:pPr>
              <w:jc w:val="center"/>
              <w:rPr>
                <w:sz w:val="20"/>
                <w:szCs w:val="20"/>
              </w:rPr>
            </w:pPr>
          </w:p>
        </w:tc>
      </w:tr>
      <w:tr w:rsidR="005E2CD7" w:rsidRPr="0025382B" w14:paraId="32435D25" w14:textId="77777777" w:rsidTr="00B03E46">
        <w:tc>
          <w:tcPr>
            <w:tcW w:w="392" w:type="dxa"/>
            <w:tcBorders>
              <w:top w:val="single" w:sz="8" w:space="0" w:color="DEEAF6" w:themeColor="accent1" w:themeTint="33"/>
              <w:bottom w:val="single" w:sz="8" w:space="0" w:color="DEEAF6" w:themeColor="accent1" w:themeTint="33"/>
            </w:tcBorders>
          </w:tcPr>
          <w:p w14:paraId="30A66F21" w14:textId="77777777" w:rsidR="005E2CD7" w:rsidRPr="0025382B" w:rsidRDefault="005E2CD7" w:rsidP="00B03E46">
            <w:pPr>
              <w:jc w:val="both"/>
              <w:rPr>
                <w:sz w:val="20"/>
                <w:szCs w:val="20"/>
              </w:rPr>
            </w:pPr>
          </w:p>
        </w:tc>
        <w:tc>
          <w:tcPr>
            <w:tcW w:w="3548" w:type="dxa"/>
            <w:tcBorders>
              <w:top w:val="single" w:sz="8" w:space="0" w:color="DEEAF6" w:themeColor="accent1" w:themeTint="33"/>
              <w:bottom w:val="single" w:sz="8" w:space="0" w:color="DEEAF6" w:themeColor="accent1" w:themeTint="33"/>
            </w:tcBorders>
          </w:tcPr>
          <w:p w14:paraId="7C020BF1" w14:textId="117DF88B" w:rsidR="005E2CD7" w:rsidRPr="0025382B" w:rsidRDefault="005E2CD7" w:rsidP="00B03E46">
            <w:pPr>
              <w:jc w:val="both"/>
              <w:rPr>
                <w:sz w:val="20"/>
                <w:szCs w:val="20"/>
              </w:rPr>
            </w:pPr>
            <w:r w:rsidRPr="0025382B">
              <w:rPr>
                <w:sz w:val="20"/>
                <w:szCs w:val="20"/>
              </w:rPr>
              <w:t>High</w:t>
            </w:r>
            <w:r>
              <w:rPr>
                <w:sz w:val="20"/>
                <w:szCs w:val="20"/>
              </w:rPr>
              <w:t>er</w:t>
            </w:r>
            <w:r w:rsidRPr="0025382B">
              <w:rPr>
                <w:sz w:val="20"/>
                <w:szCs w:val="20"/>
              </w:rPr>
              <w:t xml:space="preserve"> tier ≥8g of sugar per 100ml</w:t>
            </w:r>
          </w:p>
        </w:tc>
        <w:tc>
          <w:tcPr>
            <w:tcW w:w="1861" w:type="dxa"/>
            <w:gridSpan w:val="2"/>
            <w:tcBorders>
              <w:top w:val="single" w:sz="8" w:space="0" w:color="DEEAF6" w:themeColor="accent1" w:themeTint="33"/>
              <w:bottom w:val="single" w:sz="8" w:space="0" w:color="DEEAF6" w:themeColor="accent1" w:themeTint="33"/>
            </w:tcBorders>
          </w:tcPr>
          <w:p w14:paraId="75911D46" w14:textId="5296D144" w:rsidR="005E2CD7" w:rsidRPr="0025382B" w:rsidRDefault="009F516B" w:rsidP="00B03E46">
            <w:pPr>
              <w:jc w:val="center"/>
              <w:rPr>
                <w:sz w:val="20"/>
                <w:szCs w:val="20"/>
              </w:rPr>
            </w:pPr>
            <w:r>
              <w:rPr>
                <w:b/>
                <w:sz w:val="20"/>
                <w:szCs w:val="20"/>
              </w:rPr>
              <w:t>4.9</w:t>
            </w:r>
            <w:r w:rsidR="005E2CD7" w:rsidRPr="00C819E4">
              <w:rPr>
                <w:b/>
                <w:sz w:val="20"/>
                <w:szCs w:val="20"/>
              </w:rPr>
              <w:t xml:space="preserve"> (</w:t>
            </w:r>
            <w:r>
              <w:rPr>
                <w:b/>
                <w:sz w:val="20"/>
                <w:szCs w:val="20"/>
              </w:rPr>
              <w:t>0.2</w:t>
            </w:r>
            <w:r w:rsidR="005E2CD7" w:rsidRPr="00C819E4">
              <w:rPr>
                <w:b/>
                <w:sz w:val="20"/>
                <w:szCs w:val="20"/>
              </w:rPr>
              <w:t xml:space="preserve">, </w:t>
            </w:r>
            <w:r>
              <w:rPr>
                <w:b/>
                <w:sz w:val="20"/>
                <w:szCs w:val="20"/>
              </w:rPr>
              <w:t>9.7</w:t>
            </w:r>
            <w:r w:rsidR="005E2CD7" w:rsidRPr="00C819E4">
              <w:rPr>
                <w:b/>
                <w:sz w:val="20"/>
                <w:szCs w:val="20"/>
              </w:rPr>
              <w:t>)</w:t>
            </w:r>
          </w:p>
        </w:tc>
        <w:tc>
          <w:tcPr>
            <w:tcW w:w="2563" w:type="dxa"/>
            <w:tcBorders>
              <w:top w:val="single" w:sz="8" w:space="0" w:color="DEEAF6" w:themeColor="accent1" w:themeTint="33"/>
              <w:bottom w:val="single" w:sz="8" w:space="0" w:color="DEEAF6" w:themeColor="accent1" w:themeTint="33"/>
            </w:tcBorders>
          </w:tcPr>
          <w:p w14:paraId="5B1D0907" w14:textId="7CE46A7A" w:rsidR="005E2CD7" w:rsidRPr="0025382B" w:rsidRDefault="009F516B" w:rsidP="00B03E46">
            <w:pPr>
              <w:jc w:val="center"/>
              <w:rPr>
                <w:sz w:val="20"/>
                <w:szCs w:val="20"/>
              </w:rPr>
            </w:pPr>
            <w:r>
              <w:rPr>
                <w:sz w:val="20"/>
                <w:szCs w:val="20"/>
              </w:rPr>
              <w:t>-</w:t>
            </w:r>
            <w:r w:rsidR="005E2CD7" w:rsidRPr="0025382B">
              <w:rPr>
                <w:sz w:val="20"/>
                <w:szCs w:val="20"/>
              </w:rPr>
              <w:t>0.0</w:t>
            </w:r>
            <w:r>
              <w:rPr>
                <w:sz w:val="20"/>
                <w:szCs w:val="20"/>
              </w:rPr>
              <w:t>3</w:t>
            </w:r>
            <w:r w:rsidR="005E2CD7" w:rsidRPr="0025382B">
              <w:rPr>
                <w:sz w:val="20"/>
                <w:szCs w:val="20"/>
              </w:rPr>
              <w:t xml:space="preserve"> (-0.1, 0.</w:t>
            </w:r>
            <w:r>
              <w:rPr>
                <w:sz w:val="20"/>
                <w:szCs w:val="20"/>
              </w:rPr>
              <w:t>04</w:t>
            </w:r>
            <w:r w:rsidR="005E2CD7" w:rsidRPr="0025382B">
              <w:rPr>
                <w:sz w:val="20"/>
                <w:szCs w:val="20"/>
              </w:rPr>
              <w:t>)</w:t>
            </w:r>
          </w:p>
        </w:tc>
        <w:tc>
          <w:tcPr>
            <w:tcW w:w="1928" w:type="dxa"/>
            <w:tcBorders>
              <w:top w:val="single" w:sz="8" w:space="0" w:color="DEEAF6" w:themeColor="accent1" w:themeTint="33"/>
              <w:bottom w:val="single" w:sz="8" w:space="0" w:color="DEEAF6" w:themeColor="accent1" w:themeTint="33"/>
            </w:tcBorders>
          </w:tcPr>
          <w:p w14:paraId="03F04277" w14:textId="1A8F6DB9" w:rsidR="005E2CD7" w:rsidRPr="00B75901" w:rsidRDefault="009F516B" w:rsidP="00B03E46">
            <w:pPr>
              <w:jc w:val="center"/>
              <w:rPr>
                <w:b/>
                <w:sz w:val="20"/>
                <w:szCs w:val="20"/>
              </w:rPr>
            </w:pPr>
            <w:r w:rsidRPr="00B75901">
              <w:rPr>
                <w:b/>
                <w:sz w:val="20"/>
                <w:szCs w:val="20"/>
              </w:rPr>
              <w:t>4.9</w:t>
            </w:r>
            <w:r w:rsidR="005E2CD7" w:rsidRPr="00B75901">
              <w:rPr>
                <w:b/>
                <w:sz w:val="20"/>
                <w:szCs w:val="20"/>
              </w:rPr>
              <w:t xml:space="preserve"> (2.</w:t>
            </w:r>
            <w:r w:rsidR="00846D46" w:rsidRPr="00B75901">
              <w:rPr>
                <w:b/>
                <w:sz w:val="20"/>
                <w:szCs w:val="20"/>
              </w:rPr>
              <w:t>3</w:t>
            </w:r>
            <w:r w:rsidR="005E2CD7" w:rsidRPr="00B75901">
              <w:rPr>
                <w:b/>
                <w:sz w:val="20"/>
                <w:szCs w:val="20"/>
              </w:rPr>
              <w:t>,</w:t>
            </w:r>
            <w:r w:rsidRPr="00B75901">
              <w:rPr>
                <w:b/>
                <w:sz w:val="20"/>
                <w:szCs w:val="20"/>
              </w:rPr>
              <w:t>7.4</w:t>
            </w:r>
            <w:r w:rsidR="005E2CD7" w:rsidRPr="00B75901">
              <w:rPr>
                <w:b/>
                <w:sz w:val="20"/>
                <w:szCs w:val="20"/>
              </w:rPr>
              <w:t>)</w:t>
            </w:r>
          </w:p>
        </w:tc>
        <w:tc>
          <w:tcPr>
            <w:tcW w:w="2260" w:type="dxa"/>
            <w:tcBorders>
              <w:top w:val="single" w:sz="8" w:space="0" w:color="DEEAF6" w:themeColor="accent1" w:themeTint="33"/>
              <w:bottom w:val="single" w:sz="8" w:space="0" w:color="DEEAF6" w:themeColor="accent1" w:themeTint="33"/>
            </w:tcBorders>
          </w:tcPr>
          <w:p w14:paraId="33327871" w14:textId="017B5352" w:rsidR="005E2CD7" w:rsidRPr="00B75901" w:rsidRDefault="009F516B" w:rsidP="00B03E46">
            <w:pPr>
              <w:jc w:val="center"/>
              <w:rPr>
                <w:b/>
                <w:sz w:val="20"/>
                <w:szCs w:val="20"/>
              </w:rPr>
            </w:pPr>
            <w:r w:rsidRPr="00B75901">
              <w:rPr>
                <w:b/>
                <w:sz w:val="20"/>
                <w:szCs w:val="20"/>
              </w:rPr>
              <w:t>9.</w:t>
            </w:r>
            <w:r w:rsidR="00846D46" w:rsidRPr="00B75901">
              <w:rPr>
                <w:b/>
                <w:sz w:val="20"/>
                <w:szCs w:val="20"/>
              </w:rPr>
              <w:t>8</w:t>
            </w:r>
            <w:r w:rsidR="005E2CD7" w:rsidRPr="00B75901">
              <w:rPr>
                <w:b/>
                <w:sz w:val="20"/>
                <w:szCs w:val="20"/>
              </w:rPr>
              <w:t xml:space="preserve"> (4.</w:t>
            </w:r>
            <w:r w:rsidR="00846D46" w:rsidRPr="00B75901">
              <w:rPr>
                <w:b/>
                <w:sz w:val="20"/>
                <w:szCs w:val="20"/>
              </w:rPr>
              <w:t>6</w:t>
            </w:r>
            <w:r w:rsidR="005E2CD7" w:rsidRPr="00B75901">
              <w:rPr>
                <w:b/>
                <w:sz w:val="20"/>
                <w:szCs w:val="20"/>
              </w:rPr>
              <w:t xml:space="preserve">, </w:t>
            </w:r>
            <w:r w:rsidRPr="00B75901">
              <w:rPr>
                <w:b/>
                <w:sz w:val="20"/>
                <w:szCs w:val="20"/>
              </w:rPr>
              <w:t>1</w:t>
            </w:r>
            <w:r w:rsidR="00846D46" w:rsidRPr="00B75901">
              <w:rPr>
                <w:b/>
                <w:sz w:val="20"/>
                <w:szCs w:val="20"/>
              </w:rPr>
              <w:t>5</w:t>
            </w:r>
            <w:r w:rsidRPr="00B75901">
              <w:rPr>
                <w:b/>
                <w:sz w:val="20"/>
                <w:szCs w:val="20"/>
              </w:rPr>
              <w:t>.</w:t>
            </w:r>
            <w:r w:rsidR="00846D46" w:rsidRPr="00B75901">
              <w:rPr>
                <w:b/>
                <w:sz w:val="20"/>
                <w:szCs w:val="20"/>
              </w:rPr>
              <w:t>0</w:t>
            </w:r>
            <w:r w:rsidR="005E2CD7" w:rsidRPr="00B75901">
              <w:rPr>
                <w:b/>
                <w:sz w:val="20"/>
                <w:szCs w:val="20"/>
              </w:rPr>
              <w:t>)</w:t>
            </w:r>
          </w:p>
        </w:tc>
      </w:tr>
      <w:tr w:rsidR="009711F6" w:rsidRPr="0025382B" w14:paraId="114DB608" w14:textId="77777777" w:rsidTr="00B03E46">
        <w:tc>
          <w:tcPr>
            <w:tcW w:w="392" w:type="dxa"/>
            <w:tcBorders>
              <w:top w:val="single" w:sz="8" w:space="0" w:color="DEEAF6" w:themeColor="accent1" w:themeTint="33"/>
              <w:bottom w:val="single" w:sz="8" w:space="0" w:color="auto"/>
            </w:tcBorders>
          </w:tcPr>
          <w:p w14:paraId="5D5922F7" w14:textId="77777777" w:rsidR="009711F6" w:rsidRPr="0025382B" w:rsidRDefault="009711F6" w:rsidP="009711F6">
            <w:pPr>
              <w:jc w:val="both"/>
              <w:rPr>
                <w:sz w:val="20"/>
                <w:szCs w:val="20"/>
              </w:rPr>
            </w:pPr>
          </w:p>
        </w:tc>
        <w:tc>
          <w:tcPr>
            <w:tcW w:w="3548" w:type="dxa"/>
            <w:tcBorders>
              <w:top w:val="single" w:sz="8" w:space="0" w:color="DEEAF6" w:themeColor="accent1" w:themeTint="33"/>
              <w:bottom w:val="single" w:sz="8" w:space="0" w:color="auto"/>
            </w:tcBorders>
          </w:tcPr>
          <w:p w14:paraId="3F9F455B" w14:textId="28B4B4F4" w:rsidR="009711F6" w:rsidRPr="0025382B" w:rsidRDefault="009711F6" w:rsidP="009711F6">
            <w:pPr>
              <w:jc w:val="both"/>
              <w:rPr>
                <w:sz w:val="20"/>
                <w:szCs w:val="20"/>
              </w:rPr>
            </w:pPr>
            <w:r w:rsidRPr="0025382B">
              <w:rPr>
                <w:sz w:val="20"/>
                <w:szCs w:val="20"/>
              </w:rPr>
              <w:t>Low</w:t>
            </w:r>
            <w:r>
              <w:rPr>
                <w:sz w:val="20"/>
                <w:szCs w:val="20"/>
              </w:rPr>
              <w:t>er</w:t>
            </w:r>
            <w:r w:rsidRPr="0025382B">
              <w:rPr>
                <w:sz w:val="20"/>
                <w:szCs w:val="20"/>
              </w:rPr>
              <w:t xml:space="preserve"> tier ≥5g - &lt;8g of sugar per 100ml</w:t>
            </w:r>
            <w:r w:rsidRPr="002F3A7B">
              <w:rPr>
                <w:sz w:val="20"/>
                <w:szCs w:val="20"/>
                <w:vertAlign w:val="superscript"/>
              </w:rPr>
              <w:t>†</w:t>
            </w:r>
          </w:p>
        </w:tc>
        <w:tc>
          <w:tcPr>
            <w:tcW w:w="1861" w:type="dxa"/>
            <w:gridSpan w:val="2"/>
            <w:tcBorders>
              <w:top w:val="single" w:sz="8" w:space="0" w:color="DEEAF6" w:themeColor="accent1" w:themeTint="33"/>
              <w:bottom w:val="single" w:sz="8" w:space="0" w:color="auto"/>
            </w:tcBorders>
          </w:tcPr>
          <w:p w14:paraId="5C3495EA" w14:textId="47E0A6D5" w:rsidR="009711F6" w:rsidRPr="0025382B" w:rsidRDefault="009711F6" w:rsidP="009711F6">
            <w:pPr>
              <w:jc w:val="center"/>
              <w:rPr>
                <w:sz w:val="20"/>
                <w:szCs w:val="20"/>
              </w:rPr>
            </w:pPr>
            <w:r>
              <w:rPr>
                <w:sz w:val="20"/>
                <w:szCs w:val="20"/>
              </w:rPr>
              <w:t>-0.7</w:t>
            </w:r>
            <w:r w:rsidRPr="0025382B">
              <w:rPr>
                <w:sz w:val="20"/>
                <w:szCs w:val="20"/>
              </w:rPr>
              <w:t xml:space="preserve"> (-</w:t>
            </w:r>
            <w:r>
              <w:rPr>
                <w:sz w:val="20"/>
                <w:szCs w:val="20"/>
              </w:rPr>
              <w:t>2.5</w:t>
            </w:r>
            <w:r w:rsidRPr="0025382B">
              <w:rPr>
                <w:sz w:val="20"/>
                <w:szCs w:val="20"/>
              </w:rPr>
              <w:t xml:space="preserve">, </w:t>
            </w:r>
            <w:r>
              <w:rPr>
                <w:sz w:val="20"/>
                <w:szCs w:val="20"/>
              </w:rPr>
              <w:t>1.0</w:t>
            </w:r>
            <w:r w:rsidRPr="0025382B">
              <w:rPr>
                <w:sz w:val="20"/>
                <w:szCs w:val="20"/>
              </w:rPr>
              <w:t>)</w:t>
            </w:r>
          </w:p>
        </w:tc>
        <w:tc>
          <w:tcPr>
            <w:tcW w:w="2563" w:type="dxa"/>
            <w:tcBorders>
              <w:top w:val="single" w:sz="8" w:space="0" w:color="DEEAF6" w:themeColor="accent1" w:themeTint="33"/>
              <w:bottom w:val="single" w:sz="8" w:space="0" w:color="auto"/>
            </w:tcBorders>
          </w:tcPr>
          <w:p w14:paraId="68681463" w14:textId="0626CE0D" w:rsidR="009711F6" w:rsidRPr="00C819E4" w:rsidRDefault="009711F6" w:rsidP="009711F6">
            <w:pPr>
              <w:jc w:val="center"/>
              <w:rPr>
                <w:b/>
                <w:sz w:val="20"/>
                <w:szCs w:val="20"/>
              </w:rPr>
            </w:pPr>
            <w:r w:rsidRPr="00C819E4">
              <w:rPr>
                <w:b/>
                <w:sz w:val="20"/>
                <w:szCs w:val="20"/>
              </w:rPr>
              <w:t>-0.0</w:t>
            </w:r>
            <w:r>
              <w:rPr>
                <w:b/>
                <w:sz w:val="20"/>
                <w:szCs w:val="20"/>
              </w:rPr>
              <w:t>7</w:t>
            </w:r>
            <w:r w:rsidRPr="00C819E4">
              <w:rPr>
                <w:b/>
                <w:sz w:val="20"/>
                <w:szCs w:val="20"/>
              </w:rPr>
              <w:t xml:space="preserve"> (-0.1, -0.0</w:t>
            </w:r>
            <w:r>
              <w:rPr>
                <w:b/>
                <w:sz w:val="20"/>
                <w:szCs w:val="20"/>
              </w:rPr>
              <w:t>3</w:t>
            </w:r>
            <w:r w:rsidRPr="00C819E4">
              <w:rPr>
                <w:b/>
                <w:sz w:val="20"/>
                <w:szCs w:val="20"/>
              </w:rPr>
              <w:t>)</w:t>
            </w:r>
          </w:p>
        </w:tc>
        <w:tc>
          <w:tcPr>
            <w:tcW w:w="1928" w:type="dxa"/>
            <w:tcBorders>
              <w:top w:val="single" w:sz="8" w:space="0" w:color="DEEAF6" w:themeColor="accent1" w:themeTint="33"/>
              <w:bottom w:val="single" w:sz="8" w:space="0" w:color="auto"/>
            </w:tcBorders>
          </w:tcPr>
          <w:p w14:paraId="7BE306C2" w14:textId="6E45CF2F" w:rsidR="009711F6" w:rsidRPr="00CC2BB3" w:rsidRDefault="009711F6" w:rsidP="009711F6">
            <w:pPr>
              <w:jc w:val="center"/>
              <w:rPr>
                <w:b/>
                <w:sz w:val="20"/>
                <w:szCs w:val="20"/>
              </w:rPr>
            </w:pPr>
            <w:r w:rsidRPr="00C819E4">
              <w:rPr>
                <w:b/>
                <w:sz w:val="20"/>
                <w:szCs w:val="20"/>
              </w:rPr>
              <w:t>-</w:t>
            </w:r>
            <w:r>
              <w:rPr>
                <w:b/>
                <w:sz w:val="20"/>
                <w:szCs w:val="20"/>
              </w:rPr>
              <w:t>4.</w:t>
            </w:r>
            <w:r w:rsidR="00CB1AF2">
              <w:rPr>
                <w:b/>
                <w:sz w:val="20"/>
                <w:szCs w:val="20"/>
              </w:rPr>
              <w:t>9</w:t>
            </w:r>
            <w:r w:rsidR="00B8666C">
              <w:rPr>
                <w:b/>
                <w:sz w:val="20"/>
                <w:szCs w:val="20"/>
              </w:rPr>
              <w:t xml:space="preserve"> </w:t>
            </w:r>
            <w:r w:rsidR="00CB1AF2">
              <w:rPr>
                <w:b/>
                <w:sz w:val="20"/>
                <w:szCs w:val="20"/>
              </w:rPr>
              <w:t>(</w:t>
            </w:r>
            <w:r w:rsidRPr="00C819E4">
              <w:rPr>
                <w:b/>
                <w:sz w:val="20"/>
                <w:szCs w:val="20"/>
              </w:rPr>
              <w:t>-</w:t>
            </w:r>
            <w:r>
              <w:rPr>
                <w:b/>
                <w:sz w:val="20"/>
                <w:szCs w:val="20"/>
              </w:rPr>
              <w:t>3.</w:t>
            </w:r>
            <w:r w:rsidR="00CB1AF2">
              <w:rPr>
                <w:b/>
                <w:sz w:val="20"/>
                <w:szCs w:val="20"/>
              </w:rPr>
              <w:t>9</w:t>
            </w:r>
            <w:r w:rsidRPr="00C819E4">
              <w:rPr>
                <w:b/>
                <w:sz w:val="20"/>
                <w:szCs w:val="20"/>
              </w:rPr>
              <w:t>, -</w:t>
            </w:r>
            <w:r w:rsidR="00CB1AF2">
              <w:rPr>
                <w:b/>
                <w:sz w:val="20"/>
                <w:szCs w:val="20"/>
              </w:rPr>
              <w:t>6</w:t>
            </w:r>
            <w:r>
              <w:rPr>
                <w:b/>
                <w:sz w:val="20"/>
                <w:szCs w:val="20"/>
              </w:rPr>
              <w:t>.</w:t>
            </w:r>
            <w:r w:rsidR="00CB1AF2">
              <w:rPr>
                <w:b/>
                <w:sz w:val="20"/>
                <w:szCs w:val="20"/>
              </w:rPr>
              <w:t>0</w:t>
            </w:r>
            <w:r w:rsidRPr="00C819E4">
              <w:rPr>
                <w:b/>
                <w:sz w:val="20"/>
                <w:szCs w:val="20"/>
              </w:rPr>
              <w:t>)</w:t>
            </w:r>
          </w:p>
        </w:tc>
        <w:tc>
          <w:tcPr>
            <w:tcW w:w="2260" w:type="dxa"/>
            <w:tcBorders>
              <w:top w:val="single" w:sz="8" w:space="0" w:color="DEEAF6" w:themeColor="accent1" w:themeTint="33"/>
              <w:bottom w:val="single" w:sz="8" w:space="0" w:color="auto"/>
            </w:tcBorders>
          </w:tcPr>
          <w:p w14:paraId="4F8736CA" w14:textId="6EC99865" w:rsidR="009711F6" w:rsidRPr="00C819E4" w:rsidRDefault="009711F6" w:rsidP="009711F6">
            <w:pPr>
              <w:jc w:val="center"/>
              <w:rPr>
                <w:b/>
                <w:sz w:val="20"/>
                <w:szCs w:val="20"/>
              </w:rPr>
            </w:pPr>
            <w:r w:rsidRPr="00C819E4">
              <w:rPr>
                <w:b/>
                <w:sz w:val="20"/>
                <w:szCs w:val="20"/>
              </w:rPr>
              <w:t>-</w:t>
            </w:r>
            <w:r>
              <w:rPr>
                <w:b/>
                <w:sz w:val="20"/>
                <w:szCs w:val="20"/>
              </w:rPr>
              <w:t>41.</w:t>
            </w:r>
            <w:r w:rsidR="00CB1AF2">
              <w:rPr>
                <w:b/>
                <w:sz w:val="20"/>
                <w:szCs w:val="20"/>
              </w:rPr>
              <w:t>6</w:t>
            </w:r>
            <w:r w:rsidRPr="00C819E4">
              <w:rPr>
                <w:b/>
                <w:sz w:val="20"/>
                <w:szCs w:val="20"/>
              </w:rPr>
              <w:t xml:space="preserve"> (-</w:t>
            </w:r>
            <w:r w:rsidR="00CB1AF2">
              <w:rPr>
                <w:b/>
                <w:sz w:val="20"/>
                <w:szCs w:val="20"/>
              </w:rPr>
              <w:t>50.6</w:t>
            </w:r>
            <w:r w:rsidRPr="00C819E4">
              <w:rPr>
                <w:b/>
                <w:sz w:val="20"/>
                <w:szCs w:val="20"/>
              </w:rPr>
              <w:t>, -</w:t>
            </w:r>
            <w:r>
              <w:rPr>
                <w:b/>
                <w:sz w:val="20"/>
                <w:szCs w:val="20"/>
              </w:rPr>
              <w:t>32.</w:t>
            </w:r>
            <w:r w:rsidR="00CB1AF2">
              <w:rPr>
                <w:b/>
                <w:sz w:val="20"/>
                <w:szCs w:val="20"/>
              </w:rPr>
              <w:t>7</w:t>
            </w:r>
            <w:r w:rsidRPr="00C819E4">
              <w:rPr>
                <w:b/>
                <w:sz w:val="20"/>
                <w:szCs w:val="20"/>
              </w:rPr>
              <w:t>)</w:t>
            </w:r>
          </w:p>
        </w:tc>
      </w:tr>
    </w:tbl>
    <w:p w14:paraId="6D4D11CB" w14:textId="77777777" w:rsidR="005E2CD7" w:rsidRDefault="005E2CD7" w:rsidP="005E2CD7">
      <w:pPr>
        <w:sectPr w:rsidR="005E2CD7" w:rsidSect="00110E49">
          <w:type w:val="continuous"/>
          <w:pgSz w:w="16838" w:h="11906" w:orient="landscape"/>
          <w:pgMar w:top="1440" w:right="1440" w:bottom="1440" w:left="1440" w:header="709" w:footer="709" w:gutter="0"/>
          <w:lnNumType w:countBy="1" w:restart="continuous"/>
          <w:cols w:space="708"/>
          <w:docGrid w:linePitch="360"/>
        </w:sectPr>
      </w:pPr>
      <w:r>
        <w:t>Level change is the difference between the model estimates and the counterfactual at the first week after the SDIL announcement. The trend change is the mean change in the slope of purchases following the announcement. The absolute and relative differences represent the difference between the counterfactual and the model estimates in the final week of the study. †Trend</w:t>
      </w:r>
      <w:r w:rsidRPr="005F5279">
        <w:rPr>
          <w:vertAlign w:val="superscript"/>
        </w:rPr>
        <w:t>2</w:t>
      </w:r>
      <w:r>
        <w:t xml:space="preserve"> indicates the sugar change multiplied by weeks since the announcement squared; estimates statistically significant at the p&lt;0.05 level are highlighted in bold</w:t>
      </w:r>
    </w:p>
    <w:p w14:paraId="40B07E20" w14:textId="77777777" w:rsidR="000F0022" w:rsidRDefault="000F0022"/>
    <w:sectPr w:rsidR="000F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D7"/>
    <w:rsid w:val="000C7429"/>
    <w:rsid w:val="000E2CCD"/>
    <w:rsid w:val="000F0022"/>
    <w:rsid w:val="001057D5"/>
    <w:rsid w:val="0012644A"/>
    <w:rsid w:val="00186F06"/>
    <w:rsid w:val="00224FBC"/>
    <w:rsid w:val="002300B0"/>
    <w:rsid w:val="00350EFB"/>
    <w:rsid w:val="00490891"/>
    <w:rsid w:val="004C178C"/>
    <w:rsid w:val="005C664D"/>
    <w:rsid w:val="005E2CD7"/>
    <w:rsid w:val="00646581"/>
    <w:rsid w:val="006C1F11"/>
    <w:rsid w:val="006D1AF4"/>
    <w:rsid w:val="006E7F16"/>
    <w:rsid w:val="00755B6B"/>
    <w:rsid w:val="00793A8D"/>
    <w:rsid w:val="0079527A"/>
    <w:rsid w:val="00797811"/>
    <w:rsid w:val="00846D46"/>
    <w:rsid w:val="009711F6"/>
    <w:rsid w:val="009A0B98"/>
    <w:rsid w:val="009C11F4"/>
    <w:rsid w:val="009F516B"/>
    <w:rsid w:val="00B75901"/>
    <w:rsid w:val="00B8666C"/>
    <w:rsid w:val="00BC2295"/>
    <w:rsid w:val="00BF3691"/>
    <w:rsid w:val="00CA097C"/>
    <w:rsid w:val="00CB1AF2"/>
    <w:rsid w:val="00CD445A"/>
    <w:rsid w:val="00D05311"/>
    <w:rsid w:val="00D16F23"/>
    <w:rsid w:val="00D37697"/>
    <w:rsid w:val="00DE48DA"/>
    <w:rsid w:val="00E16C80"/>
    <w:rsid w:val="00E171FE"/>
    <w:rsid w:val="00E92A0B"/>
    <w:rsid w:val="00EA1C0F"/>
    <w:rsid w:val="00EC3B8D"/>
    <w:rsid w:val="00FB7130"/>
    <w:rsid w:val="00FC1EC8"/>
    <w:rsid w:val="00FF31D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5AF"/>
  <w15:chartTrackingRefBased/>
  <w15:docId w15:val="{8C0F5B2E-5836-47E7-9B6B-289EB86F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2CD7"/>
  </w:style>
  <w:style w:type="paragraph" w:styleId="Revision">
    <w:name w:val="Revision"/>
    <w:hidden/>
    <w:uiPriority w:val="99"/>
    <w:semiHidden/>
    <w:rsid w:val="0079527A"/>
    <w:pPr>
      <w:spacing w:after="0" w:line="240" w:lineRule="auto"/>
    </w:pPr>
  </w:style>
  <w:style w:type="paragraph" w:styleId="BalloonText">
    <w:name w:val="Balloon Text"/>
    <w:basedOn w:val="Normal"/>
    <w:link w:val="BalloonTextChar"/>
    <w:uiPriority w:val="99"/>
    <w:semiHidden/>
    <w:unhideWhenUsed/>
    <w:rsid w:val="00B8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Pell</dc:creator>
  <cp:keywords/>
  <dc:description/>
  <cp:lastModifiedBy>Joseph Senate</cp:lastModifiedBy>
  <cp:revision>3</cp:revision>
  <dcterms:created xsi:type="dcterms:W3CDTF">2022-05-07T11:35:00Z</dcterms:created>
  <dcterms:modified xsi:type="dcterms:W3CDTF">2022-12-13T19:30:00Z</dcterms:modified>
</cp:coreProperties>
</file>