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C003" w14:textId="5A65CC3A" w:rsidR="008F2664" w:rsidRPr="004F7C1A" w:rsidRDefault="002214D9" w:rsidP="004F7C1A">
      <w:pPr>
        <w:pStyle w:val="BodyText"/>
        <w:rPr>
          <w:rFonts w:asciiTheme="majorHAnsi" w:hAnsiTheme="majorHAnsi" w:cstheme="majorHAnsi"/>
          <w:b/>
          <w:sz w:val="28"/>
          <w:szCs w:val="28"/>
        </w:rPr>
      </w:pPr>
      <w:bookmarkStart w:id="0" w:name="OLE_LINK1"/>
      <w:bookmarkStart w:id="1" w:name="OLE_LINK2"/>
      <w:r w:rsidRPr="004F7C1A">
        <w:rPr>
          <w:rFonts w:asciiTheme="majorHAnsi" w:hAnsiTheme="majorHAnsi" w:cstheme="majorHAnsi"/>
          <w:b/>
          <w:sz w:val="28"/>
          <w:szCs w:val="28"/>
        </w:rPr>
        <w:t>S</w:t>
      </w:r>
      <w:r w:rsidR="00502627">
        <w:rPr>
          <w:rFonts w:asciiTheme="majorHAnsi" w:hAnsiTheme="majorHAnsi" w:cstheme="majorHAnsi"/>
          <w:b/>
          <w:sz w:val="28"/>
          <w:szCs w:val="28"/>
        </w:rPr>
        <w:t>8</w:t>
      </w:r>
      <w:bookmarkStart w:id="2" w:name="_GoBack"/>
      <w:bookmarkEnd w:id="2"/>
      <w:r w:rsidRPr="004F7C1A">
        <w:rPr>
          <w:rFonts w:asciiTheme="majorHAnsi" w:hAnsiTheme="majorHAnsi" w:cstheme="majorHAnsi"/>
          <w:b/>
          <w:sz w:val="28"/>
          <w:szCs w:val="28"/>
        </w:rPr>
        <w:t xml:space="preserve"> </w:t>
      </w:r>
      <w:r w:rsidR="004F7C1A" w:rsidRPr="004F7C1A">
        <w:rPr>
          <w:rFonts w:asciiTheme="majorHAnsi" w:hAnsiTheme="majorHAnsi" w:cstheme="majorHAnsi"/>
          <w:b/>
          <w:sz w:val="28"/>
          <w:szCs w:val="28"/>
        </w:rPr>
        <w:t xml:space="preserve">Table. </w:t>
      </w:r>
      <w:r w:rsidR="00A65D5F" w:rsidRPr="004F7C1A">
        <w:rPr>
          <w:rFonts w:asciiTheme="majorHAnsi" w:hAnsiTheme="majorHAnsi" w:cstheme="majorHAnsi"/>
          <w:b/>
          <w:sz w:val="28"/>
          <w:szCs w:val="28"/>
        </w:rPr>
        <w:t xml:space="preserve">Model </w:t>
      </w:r>
      <w:r w:rsidR="00A378D3" w:rsidRPr="004F7C1A">
        <w:rPr>
          <w:rFonts w:asciiTheme="majorHAnsi" w:hAnsiTheme="majorHAnsi" w:cstheme="majorHAnsi"/>
          <w:b/>
          <w:sz w:val="28"/>
          <w:szCs w:val="28"/>
        </w:rPr>
        <w:t>t</w:t>
      </w:r>
      <w:r w:rsidR="00A65D5F" w:rsidRPr="004F7C1A">
        <w:rPr>
          <w:rFonts w:asciiTheme="majorHAnsi" w:hAnsiTheme="majorHAnsi" w:cstheme="majorHAnsi"/>
          <w:b/>
          <w:sz w:val="28"/>
          <w:szCs w:val="28"/>
        </w:rPr>
        <w:t>esting</w:t>
      </w:r>
    </w:p>
    <w:p w14:paraId="65DE2957" w14:textId="33EA9331" w:rsidR="00A65D5F" w:rsidRDefault="00A65D5F">
      <w:pPr>
        <w:rPr>
          <w:rFonts w:asciiTheme="majorHAnsi" w:hAnsiTheme="majorHAnsi" w:cstheme="majorHAnsi"/>
        </w:rPr>
      </w:pPr>
    </w:p>
    <w:p w14:paraId="491D91E5" w14:textId="77777777" w:rsidR="004F7C1A" w:rsidRPr="00055936" w:rsidRDefault="004F7C1A">
      <w:pPr>
        <w:rPr>
          <w:rFonts w:asciiTheme="majorHAnsi" w:hAnsiTheme="majorHAnsi" w:cstheme="majorHAnsi"/>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520"/>
        <w:gridCol w:w="2520"/>
        <w:gridCol w:w="2070"/>
      </w:tblGrid>
      <w:tr w:rsidR="00A65D5F" w:rsidRPr="00055936" w14:paraId="266B22D8" w14:textId="77777777" w:rsidTr="00D179B6">
        <w:tc>
          <w:tcPr>
            <w:tcW w:w="2790" w:type="dxa"/>
            <w:tcBorders>
              <w:bottom w:val="single" w:sz="18" w:space="0" w:color="000000"/>
            </w:tcBorders>
          </w:tcPr>
          <w:p w14:paraId="7FE024F4" w14:textId="1A80A871" w:rsidR="00A65D5F" w:rsidRPr="00055936" w:rsidRDefault="00A65D5F" w:rsidP="00A65D5F">
            <w:pPr>
              <w:rPr>
                <w:rFonts w:asciiTheme="majorHAnsi" w:hAnsiTheme="majorHAnsi" w:cstheme="majorHAnsi"/>
              </w:rPr>
            </w:pPr>
          </w:p>
        </w:tc>
        <w:tc>
          <w:tcPr>
            <w:tcW w:w="2520" w:type="dxa"/>
            <w:tcBorders>
              <w:bottom w:val="single" w:sz="18" w:space="0" w:color="000000"/>
            </w:tcBorders>
            <w:tcMar>
              <w:left w:w="0" w:type="dxa"/>
              <w:right w:w="0" w:type="dxa"/>
            </w:tcMar>
            <w:vAlign w:val="bottom"/>
          </w:tcPr>
          <w:p w14:paraId="54F6B04E" w14:textId="067858EA" w:rsidR="00A65D5F" w:rsidRPr="00055936" w:rsidRDefault="00A65D5F" w:rsidP="00A65D5F">
            <w:pPr>
              <w:spacing w:after="40"/>
              <w:jc w:val="center"/>
              <w:rPr>
                <w:rFonts w:asciiTheme="majorHAnsi" w:hAnsiTheme="majorHAnsi" w:cstheme="majorHAnsi"/>
                <w:b/>
                <w:sz w:val="18"/>
              </w:rPr>
            </w:pPr>
            <w:r w:rsidRPr="00055936">
              <w:rPr>
                <w:rFonts w:asciiTheme="majorHAnsi" w:hAnsiTheme="majorHAnsi" w:cstheme="majorHAnsi"/>
                <w:b/>
                <w:sz w:val="18"/>
                <w:szCs w:val="18"/>
              </w:rPr>
              <w:t>Fixed effects, 2-part model, logged outcome, Duan smearing factors applied</w:t>
            </w:r>
          </w:p>
        </w:tc>
        <w:tc>
          <w:tcPr>
            <w:tcW w:w="2520" w:type="dxa"/>
            <w:tcBorders>
              <w:bottom w:val="single" w:sz="18" w:space="0" w:color="000000"/>
            </w:tcBorders>
            <w:tcMar>
              <w:left w:w="58" w:type="dxa"/>
              <w:right w:w="58" w:type="dxa"/>
            </w:tcMar>
            <w:vAlign w:val="bottom"/>
          </w:tcPr>
          <w:p w14:paraId="16D6905B" w14:textId="5519B500" w:rsidR="00A65D5F" w:rsidRPr="00055936" w:rsidRDefault="00A65D5F" w:rsidP="00A65D5F">
            <w:pPr>
              <w:pStyle w:val="TableParagraph"/>
              <w:spacing w:after="40" w:line="225" w:lineRule="exact"/>
              <w:rPr>
                <w:rFonts w:asciiTheme="majorHAnsi" w:hAnsiTheme="majorHAnsi" w:cstheme="majorHAnsi"/>
                <w:b/>
                <w:sz w:val="18"/>
                <w:szCs w:val="18"/>
              </w:rPr>
            </w:pPr>
            <w:r w:rsidRPr="00055936">
              <w:rPr>
                <w:rFonts w:asciiTheme="majorHAnsi" w:hAnsiTheme="majorHAnsi" w:cstheme="majorHAnsi"/>
                <w:b/>
                <w:sz w:val="18"/>
                <w:szCs w:val="18"/>
              </w:rPr>
              <w:t>Fixed effects, 2-part model, logged outcome, no Duan smearing factors applied</w:t>
            </w:r>
          </w:p>
        </w:tc>
        <w:tc>
          <w:tcPr>
            <w:tcW w:w="2070" w:type="dxa"/>
            <w:tcBorders>
              <w:bottom w:val="single" w:sz="18" w:space="0" w:color="000000"/>
            </w:tcBorders>
            <w:tcMar>
              <w:left w:w="58" w:type="dxa"/>
              <w:right w:w="58" w:type="dxa"/>
            </w:tcMar>
            <w:vAlign w:val="bottom"/>
          </w:tcPr>
          <w:p w14:paraId="406CBBBD" w14:textId="49025CCB" w:rsidR="00A65D5F" w:rsidRPr="00055936" w:rsidRDefault="00A65D5F" w:rsidP="00A65D5F">
            <w:pPr>
              <w:spacing w:after="40"/>
              <w:jc w:val="center"/>
              <w:rPr>
                <w:rFonts w:asciiTheme="majorHAnsi" w:hAnsiTheme="majorHAnsi" w:cstheme="majorHAnsi"/>
                <w:b/>
                <w:sz w:val="18"/>
              </w:rPr>
            </w:pPr>
            <w:r w:rsidRPr="00055936">
              <w:rPr>
                <w:rFonts w:asciiTheme="majorHAnsi" w:hAnsiTheme="majorHAnsi" w:cstheme="majorHAnsi"/>
                <w:b/>
                <w:sz w:val="18"/>
                <w:szCs w:val="18"/>
              </w:rPr>
              <w:t>Generalized Estimating Equation, 2-part-model, log link</w:t>
            </w:r>
          </w:p>
        </w:tc>
      </w:tr>
      <w:tr w:rsidR="00A65D5F" w:rsidRPr="00055936" w14:paraId="6D227139" w14:textId="77777777" w:rsidTr="00D179B6">
        <w:tc>
          <w:tcPr>
            <w:tcW w:w="2790" w:type="dxa"/>
            <w:tcBorders>
              <w:top w:val="single" w:sz="18" w:space="0" w:color="000000"/>
            </w:tcBorders>
            <w:tcMar>
              <w:left w:w="115" w:type="dxa"/>
              <w:right w:w="0" w:type="dxa"/>
            </w:tcMar>
            <w:vAlign w:val="center"/>
          </w:tcPr>
          <w:p w14:paraId="7724827F" w14:textId="1DDA28E5" w:rsidR="00A65D5F" w:rsidRPr="00055936" w:rsidRDefault="006D5316" w:rsidP="00A65D5F">
            <w:pPr>
              <w:spacing w:after="80"/>
              <w:rPr>
                <w:rFonts w:asciiTheme="majorHAnsi" w:hAnsiTheme="majorHAnsi" w:cstheme="majorHAnsi"/>
                <w:b/>
                <w:sz w:val="20"/>
                <w:szCs w:val="20"/>
              </w:rPr>
            </w:pPr>
            <w:r w:rsidRPr="00055936">
              <w:rPr>
                <w:rFonts w:asciiTheme="majorHAnsi" w:hAnsiTheme="majorHAnsi" w:cstheme="majorHAnsi"/>
                <w:b/>
                <w:sz w:val="20"/>
                <w:szCs w:val="20"/>
              </w:rPr>
              <w:t>High-in</w:t>
            </w:r>
            <w:r w:rsidR="004F7C1A" w:rsidRPr="004F7C1A">
              <w:rPr>
                <w:rFonts w:asciiTheme="majorHAnsi" w:hAnsiTheme="majorHAnsi" w:cstheme="majorHAnsi"/>
                <w:b/>
                <w:sz w:val="20"/>
                <w:szCs w:val="20"/>
                <w:vertAlign w:val="superscript"/>
              </w:rPr>
              <w:t>1</w:t>
            </w:r>
            <w:r w:rsidR="00A65D5F" w:rsidRPr="00055936">
              <w:rPr>
                <w:rFonts w:asciiTheme="majorHAnsi" w:hAnsiTheme="majorHAnsi" w:cstheme="majorHAnsi"/>
                <w:b/>
                <w:sz w:val="20"/>
                <w:szCs w:val="20"/>
              </w:rPr>
              <w:t xml:space="preserve"> beverages</w:t>
            </w:r>
          </w:p>
        </w:tc>
        <w:tc>
          <w:tcPr>
            <w:tcW w:w="2520" w:type="dxa"/>
            <w:tcBorders>
              <w:top w:val="single" w:sz="18" w:space="0" w:color="000000"/>
            </w:tcBorders>
          </w:tcPr>
          <w:p w14:paraId="4EAF2DA9" w14:textId="77777777" w:rsidR="00A65D5F" w:rsidRPr="00055936" w:rsidRDefault="00A65D5F" w:rsidP="00A65D5F">
            <w:pPr>
              <w:spacing w:after="80"/>
              <w:rPr>
                <w:rFonts w:asciiTheme="majorHAnsi" w:hAnsiTheme="majorHAnsi" w:cstheme="majorHAnsi"/>
              </w:rPr>
            </w:pPr>
          </w:p>
        </w:tc>
        <w:tc>
          <w:tcPr>
            <w:tcW w:w="2520" w:type="dxa"/>
            <w:tcBorders>
              <w:top w:val="single" w:sz="18" w:space="0" w:color="000000"/>
            </w:tcBorders>
          </w:tcPr>
          <w:p w14:paraId="3177790C" w14:textId="77777777" w:rsidR="00A65D5F" w:rsidRPr="00055936" w:rsidRDefault="00A65D5F" w:rsidP="00A65D5F">
            <w:pPr>
              <w:spacing w:after="80"/>
              <w:rPr>
                <w:rFonts w:asciiTheme="majorHAnsi" w:hAnsiTheme="majorHAnsi" w:cstheme="majorHAnsi"/>
              </w:rPr>
            </w:pPr>
          </w:p>
        </w:tc>
        <w:tc>
          <w:tcPr>
            <w:tcW w:w="2070" w:type="dxa"/>
            <w:tcBorders>
              <w:top w:val="single" w:sz="18" w:space="0" w:color="000000"/>
            </w:tcBorders>
          </w:tcPr>
          <w:p w14:paraId="4F6B943B" w14:textId="77777777" w:rsidR="00A65D5F" w:rsidRPr="00055936" w:rsidRDefault="00A65D5F" w:rsidP="00A65D5F">
            <w:pPr>
              <w:spacing w:after="80"/>
              <w:rPr>
                <w:rFonts w:asciiTheme="majorHAnsi" w:hAnsiTheme="majorHAnsi" w:cstheme="majorHAnsi"/>
              </w:rPr>
            </w:pPr>
          </w:p>
        </w:tc>
      </w:tr>
      <w:tr w:rsidR="0018704B" w:rsidRPr="00055936" w14:paraId="6A63D1DC" w14:textId="77777777" w:rsidTr="00D179B6">
        <w:tc>
          <w:tcPr>
            <w:tcW w:w="2790" w:type="dxa"/>
            <w:vAlign w:val="center"/>
          </w:tcPr>
          <w:p w14:paraId="5D5E9715" w14:textId="255B413E" w:rsidR="0018704B" w:rsidRPr="00055936" w:rsidRDefault="0018704B" w:rsidP="0018704B">
            <w:pPr>
              <w:spacing w:after="80"/>
              <w:ind w:left="180"/>
              <w:rPr>
                <w:rFonts w:asciiTheme="majorHAnsi" w:hAnsiTheme="majorHAnsi" w:cstheme="majorHAnsi"/>
                <w:b/>
                <w:sz w:val="18"/>
                <w:szCs w:val="20"/>
              </w:rPr>
            </w:pPr>
            <w:r w:rsidRPr="00055936">
              <w:rPr>
                <w:rFonts w:asciiTheme="majorHAnsi" w:hAnsiTheme="majorHAnsi" w:cstheme="majorHAnsi"/>
                <w:b/>
                <w:sz w:val="18"/>
                <w:szCs w:val="20"/>
              </w:rPr>
              <w:t>Absolute difference</w:t>
            </w:r>
            <w:r w:rsidR="00AC3A94" w:rsidRPr="00055936">
              <w:rPr>
                <w:rFonts w:asciiTheme="majorHAnsi" w:hAnsiTheme="majorHAnsi" w:cstheme="majorHAnsi"/>
                <w:b/>
                <w:sz w:val="18"/>
                <w:szCs w:val="20"/>
              </w:rPr>
              <w:t xml:space="preserve"> </w:t>
            </w:r>
            <w:r w:rsidR="00AC3A94" w:rsidRPr="00055936">
              <w:rPr>
                <w:rFonts w:asciiTheme="majorHAnsi" w:hAnsiTheme="majorHAnsi" w:cstheme="majorHAnsi"/>
                <w:bCs/>
                <w:sz w:val="18"/>
                <w:szCs w:val="20"/>
              </w:rPr>
              <w:t>(m</w:t>
            </w:r>
            <w:r w:rsidR="0086765A">
              <w:rPr>
                <w:rFonts w:asciiTheme="majorHAnsi" w:hAnsiTheme="majorHAnsi" w:cstheme="majorHAnsi"/>
                <w:bCs/>
                <w:sz w:val="18"/>
                <w:szCs w:val="20"/>
              </w:rPr>
              <w:t>L</w:t>
            </w:r>
            <w:r w:rsidR="00AC3A94" w:rsidRPr="00055936">
              <w:rPr>
                <w:rFonts w:asciiTheme="majorHAnsi" w:hAnsiTheme="majorHAnsi" w:cstheme="majorHAnsi"/>
                <w:bCs/>
                <w:sz w:val="18"/>
                <w:szCs w:val="20"/>
              </w:rPr>
              <w:t>/capita/day)</w:t>
            </w:r>
          </w:p>
        </w:tc>
        <w:tc>
          <w:tcPr>
            <w:tcW w:w="2520" w:type="dxa"/>
            <w:vAlign w:val="bottom"/>
          </w:tcPr>
          <w:p w14:paraId="10D6F8BE" w14:textId="15B0634D" w:rsidR="0018704B" w:rsidRPr="00055936" w:rsidRDefault="0018704B" w:rsidP="0018704B">
            <w:pPr>
              <w:tabs>
                <w:tab w:val="decimal" w:pos="1059"/>
              </w:tabs>
              <w:spacing w:after="80"/>
              <w:rPr>
                <w:rFonts w:asciiTheme="majorHAnsi" w:hAnsiTheme="majorHAnsi" w:cstheme="majorHAnsi"/>
                <w:sz w:val="18"/>
              </w:rPr>
            </w:pPr>
            <w:r w:rsidRPr="00055936">
              <w:rPr>
                <w:rFonts w:ascii="Arial" w:hAnsi="Arial" w:cs="Arial"/>
                <w:color w:val="000000"/>
                <w:sz w:val="18"/>
              </w:rPr>
              <w:t>-</w:t>
            </w:r>
            <w:r w:rsidR="00AC3A94" w:rsidRPr="00055936">
              <w:rPr>
                <w:rFonts w:ascii="Arial" w:hAnsi="Arial" w:cs="Arial"/>
                <w:color w:val="000000"/>
                <w:sz w:val="18"/>
              </w:rPr>
              <w:t>22.8</w:t>
            </w:r>
            <w:r w:rsidR="00AC3A94" w:rsidRPr="00055936">
              <w:rPr>
                <w:rFonts w:ascii="Arial" w:hAnsi="Arial" w:cs="Arial"/>
                <w:color w:val="000000"/>
                <w:sz w:val="18"/>
              </w:rPr>
              <w:br/>
            </w:r>
          </w:p>
        </w:tc>
        <w:tc>
          <w:tcPr>
            <w:tcW w:w="2520" w:type="dxa"/>
            <w:vAlign w:val="center"/>
          </w:tcPr>
          <w:p w14:paraId="22114B05" w14:textId="534351CA" w:rsidR="0018704B" w:rsidRPr="00055936" w:rsidRDefault="0018704B" w:rsidP="0018704B">
            <w:pPr>
              <w:tabs>
                <w:tab w:val="decimal" w:pos="976"/>
              </w:tabs>
              <w:spacing w:after="80"/>
              <w:rPr>
                <w:rFonts w:asciiTheme="majorHAnsi" w:hAnsiTheme="majorHAnsi" w:cstheme="majorHAnsi"/>
                <w:sz w:val="18"/>
              </w:rPr>
            </w:pPr>
            <w:r w:rsidRPr="00055936">
              <w:rPr>
                <w:rFonts w:ascii="Arial" w:hAnsi="Arial" w:cs="Arial"/>
                <w:color w:val="000000"/>
                <w:sz w:val="18"/>
              </w:rPr>
              <w:t>-25.</w:t>
            </w:r>
            <w:r w:rsidR="00AC3A94" w:rsidRPr="00055936">
              <w:rPr>
                <w:rFonts w:ascii="Arial" w:hAnsi="Arial" w:cs="Arial"/>
                <w:color w:val="000000"/>
                <w:sz w:val="18"/>
              </w:rPr>
              <w:t>1</w:t>
            </w:r>
            <w:r w:rsidR="00AC3A94" w:rsidRPr="00055936">
              <w:rPr>
                <w:rFonts w:ascii="Arial" w:hAnsi="Arial" w:cs="Arial"/>
                <w:color w:val="000000"/>
                <w:sz w:val="18"/>
              </w:rPr>
              <w:br/>
            </w:r>
          </w:p>
        </w:tc>
        <w:tc>
          <w:tcPr>
            <w:tcW w:w="2070" w:type="dxa"/>
            <w:vAlign w:val="bottom"/>
          </w:tcPr>
          <w:p w14:paraId="0C77C8ED" w14:textId="36AB61D5" w:rsidR="0018704B" w:rsidRPr="00055936" w:rsidRDefault="0018704B" w:rsidP="0018704B">
            <w:pPr>
              <w:tabs>
                <w:tab w:val="decimal" w:pos="886"/>
              </w:tabs>
              <w:spacing w:after="80"/>
              <w:rPr>
                <w:rFonts w:asciiTheme="majorHAnsi" w:hAnsiTheme="majorHAnsi" w:cstheme="majorHAnsi"/>
                <w:sz w:val="18"/>
              </w:rPr>
            </w:pPr>
            <w:r w:rsidRPr="00055936">
              <w:rPr>
                <w:rFonts w:ascii="Arial" w:hAnsi="Arial" w:cs="Arial"/>
                <w:color w:val="000000"/>
                <w:sz w:val="18"/>
              </w:rPr>
              <w:t>-3</w:t>
            </w:r>
            <w:r w:rsidR="00AC3A94" w:rsidRPr="00055936">
              <w:rPr>
                <w:rFonts w:ascii="Arial" w:hAnsi="Arial" w:cs="Arial"/>
                <w:color w:val="000000"/>
                <w:sz w:val="18"/>
              </w:rPr>
              <w:t>3</w:t>
            </w:r>
            <w:r w:rsidRPr="00055936">
              <w:rPr>
                <w:rFonts w:ascii="Arial" w:hAnsi="Arial" w:cs="Arial"/>
                <w:color w:val="000000"/>
                <w:sz w:val="18"/>
              </w:rPr>
              <w:t>.</w:t>
            </w:r>
            <w:r w:rsidR="00AC3A94" w:rsidRPr="00055936">
              <w:rPr>
                <w:rFonts w:ascii="Arial" w:hAnsi="Arial" w:cs="Arial"/>
                <w:color w:val="000000"/>
                <w:sz w:val="18"/>
              </w:rPr>
              <w:t>6</w:t>
            </w:r>
            <w:r w:rsidR="00AC3A94" w:rsidRPr="00055936">
              <w:rPr>
                <w:rFonts w:ascii="Arial" w:hAnsi="Arial" w:cs="Arial"/>
                <w:color w:val="000000"/>
                <w:sz w:val="18"/>
              </w:rPr>
              <w:br/>
            </w:r>
          </w:p>
        </w:tc>
      </w:tr>
      <w:tr w:rsidR="0018704B" w:rsidRPr="00055936" w14:paraId="3BD4F016" w14:textId="77777777" w:rsidTr="00D179B6">
        <w:tc>
          <w:tcPr>
            <w:tcW w:w="2790" w:type="dxa"/>
            <w:tcBorders>
              <w:bottom w:val="single" w:sz="4" w:space="0" w:color="auto"/>
            </w:tcBorders>
            <w:vAlign w:val="center"/>
          </w:tcPr>
          <w:p w14:paraId="1276D3BE" w14:textId="2D8D5DC3" w:rsidR="0018704B" w:rsidRPr="00055936" w:rsidRDefault="0018704B" w:rsidP="0018704B">
            <w:pPr>
              <w:spacing w:after="80"/>
              <w:ind w:left="180"/>
              <w:rPr>
                <w:rFonts w:asciiTheme="majorHAnsi" w:hAnsiTheme="majorHAnsi" w:cstheme="majorHAnsi"/>
                <w:b/>
                <w:sz w:val="18"/>
                <w:szCs w:val="20"/>
              </w:rPr>
            </w:pPr>
            <w:r w:rsidRPr="00055936">
              <w:rPr>
                <w:rFonts w:asciiTheme="majorHAnsi" w:hAnsiTheme="majorHAnsi" w:cstheme="majorHAnsi"/>
                <w:b/>
                <w:sz w:val="18"/>
                <w:szCs w:val="20"/>
              </w:rPr>
              <w:t>Relative difference</w:t>
            </w:r>
            <w:r w:rsidR="00AC3A94" w:rsidRPr="00055936">
              <w:rPr>
                <w:rFonts w:asciiTheme="majorHAnsi" w:hAnsiTheme="majorHAnsi" w:cstheme="majorHAnsi"/>
                <w:b/>
                <w:sz w:val="18"/>
                <w:szCs w:val="20"/>
              </w:rPr>
              <w:t xml:space="preserve"> </w:t>
            </w:r>
            <w:r w:rsidR="00AC3A94" w:rsidRPr="00055936">
              <w:rPr>
                <w:rFonts w:asciiTheme="majorHAnsi" w:hAnsiTheme="majorHAnsi" w:cstheme="majorHAnsi"/>
                <w:bCs/>
                <w:sz w:val="18"/>
                <w:szCs w:val="20"/>
              </w:rPr>
              <w:t>(%)</w:t>
            </w:r>
          </w:p>
        </w:tc>
        <w:tc>
          <w:tcPr>
            <w:tcW w:w="2520" w:type="dxa"/>
            <w:tcBorders>
              <w:bottom w:val="single" w:sz="4" w:space="0" w:color="auto"/>
            </w:tcBorders>
            <w:vAlign w:val="bottom"/>
          </w:tcPr>
          <w:p w14:paraId="73A5EC4C" w14:textId="2C019542" w:rsidR="0018704B" w:rsidRPr="00055936" w:rsidRDefault="0018704B" w:rsidP="0018704B">
            <w:pPr>
              <w:tabs>
                <w:tab w:val="decimal" w:pos="1059"/>
              </w:tabs>
              <w:spacing w:after="80"/>
              <w:rPr>
                <w:rFonts w:asciiTheme="majorHAnsi" w:hAnsiTheme="majorHAnsi" w:cstheme="majorHAnsi"/>
                <w:sz w:val="18"/>
              </w:rPr>
            </w:pPr>
            <w:r w:rsidRPr="00055936">
              <w:rPr>
                <w:rFonts w:ascii="Arial" w:hAnsi="Arial" w:cs="Arial"/>
                <w:color w:val="000000"/>
                <w:sz w:val="18"/>
              </w:rPr>
              <w:t>-2</w:t>
            </w:r>
            <w:r w:rsidR="00AC3A94" w:rsidRPr="00055936">
              <w:rPr>
                <w:rFonts w:ascii="Arial" w:hAnsi="Arial" w:cs="Arial"/>
                <w:color w:val="000000"/>
                <w:sz w:val="18"/>
              </w:rPr>
              <w:t>3</w:t>
            </w:r>
            <w:r w:rsidRPr="00055936">
              <w:rPr>
                <w:rFonts w:ascii="Arial" w:hAnsi="Arial" w:cs="Arial"/>
                <w:color w:val="000000"/>
                <w:sz w:val="18"/>
              </w:rPr>
              <w:t>.</w:t>
            </w:r>
            <w:r w:rsidR="00AC3A94" w:rsidRPr="00055936">
              <w:rPr>
                <w:rFonts w:ascii="Arial" w:hAnsi="Arial" w:cs="Arial"/>
                <w:color w:val="000000"/>
                <w:sz w:val="18"/>
              </w:rPr>
              <w:t>7</w:t>
            </w:r>
          </w:p>
        </w:tc>
        <w:tc>
          <w:tcPr>
            <w:tcW w:w="2520" w:type="dxa"/>
            <w:tcBorders>
              <w:bottom w:val="single" w:sz="4" w:space="0" w:color="auto"/>
            </w:tcBorders>
            <w:vAlign w:val="center"/>
          </w:tcPr>
          <w:p w14:paraId="3F671C5E" w14:textId="284627AF" w:rsidR="0018704B" w:rsidRPr="00055936" w:rsidRDefault="0018704B" w:rsidP="0018704B">
            <w:pPr>
              <w:tabs>
                <w:tab w:val="decimal" w:pos="976"/>
              </w:tabs>
              <w:spacing w:after="80"/>
              <w:rPr>
                <w:rFonts w:asciiTheme="majorHAnsi" w:hAnsiTheme="majorHAnsi" w:cstheme="majorHAnsi"/>
                <w:sz w:val="18"/>
              </w:rPr>
            </w:pPr>
            <w:r w:rsidRPr="00055936">
              <w:rPr>
                <w:rFonts w:ascii="Arial" w:hAnsi="Arial" w:cs="Arial"/>
                <w:color w:val="000000"/>
                <w:sz w:val="18"/>
              </w:rPr>
              <w:t>-3</w:t>
            </w:r>
            <w:r w:rsidR="00AC3A94" w:rsidRPr="00055936">
              <w:rPr>
                <w:rFonts w:ascii="Arial" w:hAnsi="Arial" w:cs="Arial"/>
                <w:color w:val="000000"/>
                <w:sz w:val="18"/>
              </w:rPr>
              <w:t>1.8</w:t>
            </w:r>
          </w:p>
        </w:tc>
        <w:tc>
          <w:tcPr>
            <w:tcW w:w="2070" w:type="dxa"/>
            <w:tcBorders>
              <w:bottom w:val="single" w:sz="4" w:space="0" w:color="auto"/>
            </w:tcBorders>
            <w:vAlign w:val="bottom"/>
          </w:tcPr>
          <w:p w14:paraId="71B80641" w14:textId="66BA5150" w:rsidR="0018704B" w:rsidRPr="00055936" w:rsidRDefault="0018704B" w:rsidP="0018704B">
            <w:pPr>
              <w:tabs>
                <w:tab w:val="decimal" w:pos="886"/>
              </w:tabs>
              <w:spacing w:after="80"/>
              <w:rPr>
                <w:rFonts w:asciiTheme="majorHAnsi" w:hAnsiTheme="majorHAnsi" w:cstheme="majorHAnsi"/>
                <w:sz w:val="18"/>
              </w:rPr>
            </w:pPr>
            <w:r w:rsidRPr="00055936">
              <w:rPr>
                <w:rFonts w:ascii="Arial" w:hAnsi="Arial" w:cs="Arial"/>
                <w:color w:val="000000"/>
                <w:sz w:val="18"/>
              </w:rPr>
              <w:t>-3</w:t>
            </w:r>
            <w:r w:rsidR="00AC3A94" w:rsidRPr="00055936">
              <w:rPr>
                <w:rFonts w:ascii="Arial" w:hAnsi="Arial" w:cs="Arial"/>
                <w:color w:val="000000"/>
                <w:sz w:val="18"/>
              </w:rPr>
              <w:t>0.7</w:t>
            </w:r>
          </w:p>
        </w:tc>
      </w:tr>
      <w:tr w:rsidR="00A65D5F" w:rsidRPr="00055936" w14:paraId="73077AF0" w14:textId="77777777" w:rsidTr="00D179B6">
        <w:tc>
          <w:tcPr>
            <w:tcW w:w="2790" w:type="dxa"/>
            <w:tcBorders>
              <w:top w:val="single" w:sz="4" w:space="0" w:color="auto"/>
            </w:tcBorders>
            <w:vAlign w:val="center"/>
          </w:tcPr>
          <w:p w14:paraId="730B5B39" w14:textId="40151245" w:rsidR="00A65D5F" w:rsidRPr="00055936" w:rsidRDefault="006D5316" w:rsidP="00A65D5F">
            <w:pPr>
              <w:spacing w:before="40" w:after="80"/>
              <w:rPr>
                <w:rFonts w:asciiTheme="majorHAnsi" w:hAnsiTheme="majorHAnsi" w:cstheme="majorHAnsi"/>
                <w:b/>
                <w:sz w:val="20"/>
                <w:szCs w:val="20"/>
              </w:rPr>
            </w:pPr>
            <w:r w:rsidRPr="00055936">
              <w:rPr>
                <w:rFonts w:asciiTheme="majorHAnsi" w:hAnsiTheme="majorHAnsi" w:cstheme="majorHAnsi"/>
                <w:b/>
                <w:sz w:val="20"/>
                <w:szCs w:val="20"/>
              </w:rPr>
              <w:t>Not high-in</w:t>
            </w:r>
            <w:r w:rsidR="004F7C1A">
              <w:rPr>
                <w:rFonts w:asciiTheme="majorHAnsi" w:hAnsiTheme="majorHAnsi" w:cstheme="majorHAnsi"/>
                <w:b/>
                <w:sz w:val="20"/>
                <w:szCs w:val="20"/>
                <w:vertAlign w:val="superscript"/>
              </w:rPr>
              <w:t>2</w:t>
            </w:r>
            <w:r w:rsidR="00A65D5F" w:rsidRPr="00055936">
              <w:rPr>
                <w:rFonts w:asciiTheme="majorHAnsi" w:hAnsiTheme="majorHAnsi" w:cstheme="majorHAnsi"/>
                <w:b/>
                <w:sz w:val="20"/>
                <w:szCs w:val="20"/>
              </w:rPr>
              <w:t xml:space="preserve"> beverages</w:t>
            </w:r>
            <w:r w:rsidR="004F7C1A">
              <w:rPr>
                <w:rFonts w:asciiTheme="majorHAnsi" w:hAnsiTheme="majorHAnsi" w:cstheme="majorHAnsi"/>
                <w:b/>
                <w:sz w:val="20"/>
                <w:szCs w:val="20"/>
                <w:vertAlign w:val="superscript"/>
              </w:rPr>
              <w:t>3</w:t>
            </w:r>
          </w:p>
        </w:tc>
        <w:tc>
          <w:tcPr>
            <w:tcW w:w="2520" w:type="dxa"/>
            <w:tcBorders>
              <w:top w:val="single" w:sz="4" w:space="0" w:color="auto"/>
            </w:tcBorders>
            <w:vAlign w:val="center"/>
          </w:tcPr>
          <w:p w14:paraId="15B794BE" w14:textId="77777777" w:rsidR="00A65D5F" w:rsidRPr="00055936" w:rsidRDefault="00A65D5F" w:rsidP="0018704B">
            <w:pPr>
              <w:tabs>
                <w:tab w:val="decimal" w:pos="1059"/>
              </w:tabs>
              <w:spacing w:before="40" w:after="80"/>
              <w:rPr>
                <w:rFonts w:asciiTheme="majorHAnsi" w:hAnsiTheme="majorHAnsi" w:cstheme="majorHAnsi"/>
                <w:sz w:val="18"/>
              </w:rPr>
            </w:pPr>
          </w:p>
        </w:tc>
        <w:tc>
          <w:tcPr>
            <w:tcW w:w="2520" w:type="dxa"/>
            <w:tcBorders>
              <w:top w:val="single" w:sz="4" w:space="0" w:color="auto"/>
            </w:tcBorders>
            <w:vAlign w:val="center"/>
          </w:tcPr>
          <w:p w14:paraId="3ED1FA64" w14:textId="77777777" w:rsidR="00A65D5F" w:rsidRPr="00055936" w:rsidRDefault="00A65D5F" w:rsidP="0018704B">
            <w:pPr>
              <w:tabs>
                <w:tab w:val="decimal" w:pos="976"/>
              </w:tabs>
              <w:spacing w:before="40" w:after="80"/>
              <w:rPr>
                <w:rFonts w:asciiTheme="majorHAnsi" w:hAnsiTheme="majorHAnsi" w:cstheme="majorHAnsi"/>
                <w:sz w:val="18"/>
              </w:rPr>
            </w:pPr>
          </w:p>
        </w:tc>
        <w:tc>
          <w:tcPr>
            <w:tcW w:w="2070" w:type="dxa"/>
            <w:tcBorders>
              <w:top w:val="single" w:sz="4" w:space="0" w:color="auto"/>
            </w:tcBorders>
            <w:vAlign w:val="center"/>
          </w:tcPr>
          <w:p w14:paraId="187F9F1B" w14:textId="77777777" w:rsidR="00A65D5F" w:rsidRPr="00055936" w:rsidRDefault="00A65D5F" w:rsidP="0018704B">
            <w:pPr>
              <w:tabs>
                <w:tab w:val="decimal" w:pos="886"/>
              </w:tabs>
              <w:spacing w:before="40" w:after="80"/>
              <w:rPr>
                <w:rFonts w:asciiTheme="majorHAnsi" w:hAnsiTheme="majorHAnsi" w:cstheme="majorHAnsi"/>
                <w:sz w:val="18"/>
              </w:rPr>
            </w:pPr>
          </w:p>
        </w:tc>
      </w:tr>
      <w:tr w:rsidR="0018704B" w:rsidRPr="00055936" w14:paraId="402ECE04" w14:textId="77777777" w:rsidTr="00D179B6">
        <w:tc>
          <w:tcPr>
            <w:tcW w:w="2790" w:type="dxa"/>
            <w:vAlign w:val="center"/>
          </w:tcPr>
          <w:p w14:paraId="6276468F" w14:textId="77777777" w:rsidR="0018704B" w:rsidRPr="00055936" w:rsidRDefault="0018704B" w:rsidP="0018704B">
            <w:pPr>
              <w:spacing w:after="80"/>
              <w:ind w:left="180"/>
              <w:rPr>
                <w:rFonts w:asciiTheme="majorHAnsi" w:hAnsiTheme="majorHAnsi" w:cstheme="majorHAnsi"/>
                <w:b/>
                <w:sz w:val="18"/>
                <w:szCs w:val="20"/>
              </w:rPr>
            </w:pPr>
            <w:r w:rsidRPr="00055936">
              <w:rPr>
                <w:rFonts w:asciiTheme="majorHAnsi" w:hAnsiTheme="majorHAnsi" w:cstheme="majorHAnsi"/>
                <w:b/>
                <w:sz w:val="18"/>
                <w:szCs w:val="20"/>
              </w:rPr>
              <w:t>Absolute difference</w:t>
            </w:r>
          </w:p>
          <w:p w14:paraId="010448DF" w14:textId="68839F1E" w:rsidR="00AC3A94" w:rsidRPr="00055936" w:rsidRDefault="00AC3A94" w:rsidP="0018704B">
            <w:pPr>
              <w:spacing w:after="80"/>
              <w:ind w:left="180"/>
              <w:rPr>
                <w:rFonts w:asciiTheme="majorHAnsi" w:hAnsiTheme="majorHAnsi" w:cstheme="majorHAnsi"/>
                <w:b/>
                <w:sz w:val="18"/>
                <w:szCs w:val="20"/>
              </w:rPr>
            </w:pPr>
            <w:r w:rsidRPr="00055936">
              <w:rPr>
                <w:rFonts w:asciiTheme="majorHAnsi" w:hAnsiTheme="majorHAnsi" w:cstheme="majorHAnsi"/>
                <w:bCs/>
                <w:sz w:val="18"/>
                <w:szCs w:val="20"/>
              </w:rPr>
              <w:t>(m</w:t>
            </w:r>
            <w:r w:rsidR="0086765A">
              <w:rPr>
                <w:rFonts w:asciiTheme="majorHAnsi" w:hAnsiTheme="majorHAnsi" w:cstheme="majorHAnsi"/>
                <w:bCs/>
                <w:sz w:val="18"/>
                <w:szCs w:val="20"/>
              </w:rPr>
              <w:t>L</w:t>
            </w:r>
            <w:r w:rsidRPr="00055936">
              <w:rPr>
                <w:rFonts w:asciiTheme="majorHAnsi" w:hAnsiTheme="majorHAnsi" w:cstheme="majorHAnsi"/>
                <w:bCs/>
                <w:sz w:val="18"/>
                <w:szCs w:val="20"/>
              </w:rPr>
              <w:t>/capita/day)</w:t>
            </w:r>
          </w:p>
        </w:tc>
        <w:tc>
          <w:tcPr>
            <w:tcW w:w="2520" w:type="dxa"/>
            <w:vAlign w:val="bottom"/>
          </w:tcPr>
          <w:p w14:paraId="1C6C33E8" w14:textId="52B8130D" w:rsidR="0018704B" w:rsidRPr="00055936" w:rsidRDefault="00AC3A94" w:rsidP="0018704B">
            <w:pPr>
              <w:tabs>
                <w:tab w:val="decimal" w:pos="1059"/>
              </w:tabs>
              <w:spacing w:after="80"/>
              <w:rPr>
                <w:rFonts w:asciiTheme="majorHAnsi" w:hAnsiTheme="majorHAnsi" w:cstheme="majorHAnsi"/>
                <w:sz w:val="18"/>
              </w:rPr>
            </w:pPr>
            <w:r w:rsidRPr="00055936">
              <w:rPr>
                <w:rFonts w:ascii="Arial" w:hAnsi="Arial" w:cs="Arial"/>
                <w:color w:val="000000"/>
                <w:sz w:val="18"/>
              </w:rPr>
              <w:t>14.6</w:t>
            </w:r>
            <w:r w:rsidRPr="00055936">
              <w:rPr>
                <w:rFonts w:ascii="Arial" w:hAnsi="Arial" w:cs="Arial"/>
                <w:color w:val="000000"/>
                <w:sz w:val="18"/>
              </w:rPr>
              <w:br/>
            </w:r>
          </w:p>
        </w:tc>
        <w:tc>
          <w:tcPr>
            <w:tcW w:w="2520" w:type="dxa"/>
            <w:vAlign w:val="center"/>
          </w:tcPr>
          <w:p w14:paraId="7E101B27" w14:textId="524B3983" w:rsidR="0018704B" w:rsidRPr="00055936" w:rsidRDefault="00AC3A94" w:rsidP="0018704B">
            <w:pPr>
              <w:tabs>
                <w:tab w:val="decimal" w:pos="976"/>
              </w:tabs>
              <w:spacing w:after="80"/>
              <w:rPr>
                <w:rFonts w:asciiTheme="majorHAnsi" w:hAnsiTheme="majorHAnsi" w:cstheme="majorHAnsi"/>
                <w:sz w:val="18"/>
              </w:rPr>
            </w:pPr>
            <w:r w:rsidRPr="00055936">
              <w:rPr>
                <w:rFonts w:ascii="Arial" w:hAnsi="Arial" w:cs="Arial"/>
                <w:color w:val="000000"/>
                <w:sz w:val="18"/>
              </w:rPr>
              <w:t>17.1</w:t>
            </w:r>
            <w:r w:rsidRPr="00055936">
              <w:rPr>
                <w:rFonts w:ascii="Arial" w:hAnsi="Arial" w:cs="Arial"/>
                <w:color w:val="000000"/>
                <w:sz w:val="18"/>
              </w:rPr>
              <w:br/>
            </w:r>
          </w:p>
        </w:tc>
        <w:tc>
          <w:tcPr>
            <w:tcW w:w="2070" w:type="dxa"/>
            <w:vAlign w:val="bottom"/>
          </w:tcPr>
          <w:p w14:paraId="4AEEA4A3" w14:textId="73E89B5E" w:rsidR="0018704B" w:rsidRPr="00055936" w:rsidRDefault="0018704B" w:rsidP="0018704B">
            <w:pPr>
              <w:tabs>
                <w:tab w:val="decimal" w:pos="886"/>
              </w:tabs>
              <w:spacing w:after="80"/>
              <w:rPr>
                <w:rFonts w:asciiTheme="majorHAnsi" w:hAnsiTheme="majorHAnsi" w:cstheme="majorHAnsi"/>
                <w:sz w:val="18"/>
              </w:rPr>
            </w:pPr>
            <w:r w:rsidRPr="00055936">
              <w:rPr>
                <w:rFonts w:ascii="Arial" w:hAnsi="Arial" w:cs="Arial"/>
                <w:color w:val="000000"/>
                <w:sz w:val="18"/>
              </w:rPr>
              <w:t>-</w:t>
            </w:r>
            <w:r w:rsidR="00AC3A94" w:rsidRPr="00055936">
              <w:rPr>
                <w:rFonts w:ascii="Arial" w:hAnsi="Arial" w:cs="Arial"/>
                <w:color w:val="000000"/>
                <w:sz w:val="18"/>
              </w:rPr>
              <w:t>5.2</w:t>
            </w:r>
            <w:r w:rsidR="00AC3A94" w:rsidRPr="00055936">
              <w:rPr>
                <w:rFonts w:ascii="Arial" w:hAnsi="Arial" w:cs="Arial"/>
                <w:color w:val="000000"/>
                <w:sz w:val="18"/>
              </w:rPr>
              <w:br/>
            </w:r>
          </w:p>
        </w:tc>
      </w:tr>
      <w:tr w:rsidR="0018704B" w:rsidRPr="00055936" w14:paraId="6D9D8F3E" w14:textId="77777777" w:rsidTr="00D179B6">
        <w:tc>
          <w:tcPr>
            <w:tcW w:w="2790" w:type="dxa"/>
            <w:vAlign w:val="center"/>
          </w:tcPr>
          <w:p w14:paraId="5EA25042" w14:textId="5A5F4950" w:rsidR="0018704B" w:rsidRPr="00055936" w:rsidRDefault="0018704B" w:rsidP="0018704B">
            <w:pPr>
              <w:spacing w:after="80"/>
              <w:ind w:left="180"/>
              <w:rPr>
                <w:rFonts w:asciiTheme="majorHAnsi" w:hAnsiTheme="majorHAnsi" w:cstheme="majorHAnsi"/>
                <w:b/>
                <w:sz w:val="18"/>
                <w:szCs w:val="20"/>
              </w:rPr>
            </w:pPr>
            <w:r w:rsidRPr="00055936">
              <w:rPr>
                <w:rFonts w:asciiTheme="majorHAnsi" w:hAnsiTheme="majorHAnsi" w:cstheme="majorHAnsi"/>
                <w:b/>
                <w:sz w:val="18"/>
                <w:szCs w:val="20"/>
              </w:rPr>
              <w:t>Relative difference</w:t>
            </w:r>
            <w:r w:rsidR="00AC3A94" w:rsidRPr="00055936">
              <w:rPr>
                <w:rFonts w:asciiTheme="majorHAnsi" w:hAnsiTheme="majorHAnsi" w:cstheme="majorHAnsi"/>
                <w:b/>
                <w:sz w:val="18"/>
                <w:szCs w:val="20"/>
              </w:rPr>
              <w:t xml:space="preserve"> (%)</w:t>
            </w:r>
          </w:p>
        </w:tc>
        <w:tc>
          <w:tcPr>
            <w:tcW w:w="2520" w:type="dxa"/>
            <w:vAlign w:val="bottom"/>
          </w:tcPr>
          <w:p w14:paraId="13EDE7E5" w14:textId="691B8E2A" w:rsidR="0018704B" w:rsidRPr="00055936" w:rsidRDefault="0018704B" w:rsidP="0018704B">
            <w:pPr>
              <w:tabs>
                <w:tab w:val="decimal" w:pos="1059"/>
              </w:tabs>
              <w:spacing w:after="80"/>
              <w:rPr>
                <w:rFonts w:asciiTheme="majorHAnsi" w:hAnsiTheme="majorHAnsi" w:cstheme="majorHAnsi"/>
                <w:sz w:val="18"/>
              </w:rPr>
            </w:pPr>
            <w:r w:rsidRPr="00055936">
              <w:rPr>
                <w:rFonts w:ascii="Arial" w:hAnsi="Arial" w:cs="Arial"/>
                <w:color w:val="000000"/>
                <w:sz w:val="18"/>
              </w:rPr>
              <w:t>4.</w:t>
            </w:r>
            <w:r w:rsidR="00AC3A94" w:rsidRPr="00055936">
              <w:rPr>
                <w:rFonts w:ascii="Arial" w:hAnsi="Arial" w:cs="Arial"/>
                <w:color w:val="000000"/>
                <w:sz w:val="18"/>
              </w:rPr>
              <w:t>8</w:t>
            </w:r>
          </w:p>
        </w:tc>
        <w:tc>
          <w:tcPr>
            <w:tcW w:w="2520" w:type="dxa"/>
            <w:vAlign w:val="center"/>
          </w:tcPr>
          <w:p w14:paraId="28E5EF98" w14:textId="22167498" w:rsidR="0018704B" w:rsidRPr="00055936" w:rsidRDefault="00AC3A94" w:rsidP="0018704B">
            <w:pPr>
              <w:tabs>
                <w:tab w:val="decimal" w:pos="976"/>
              </w:tabs>
              <w:spacing w:after="80"/>
              <w:rPr>
                <w:rFonts w:asciiTheme="majorHAnsi" w:hAnsiTheme="majorHAnsi" w:cstheme="majorHAnsi"/>
                <w:sz w:val="18"/>
              </w:rPr>
            </w:pPr>
            <w:r w:rsidRPr="00055936">
              <w:rPr>
                <w:rFonts w:ascii="Arial" w:hAnsi="Arial" w:cs="Arial"/>
                <w:color w:val="000000"/>
                <w:sz w:val="18"/>
              </w:rPr>
              <w:t>9</w:t>
            </w:r>
            <w:r w:rsidR="0018704B" w:rsidRPr="00055936">
              <w:rPr>
                <w:rFonts w:ascii="Arial" w:hAnsi="Arial" w:cs="Arial"/>
                <w:color w:val="000000"/>
                <w:sz w:val="18"/>
              </w:rPr>
              <w:t>.</w:t>
            </w:r>
            <w:r w:rsidRPr="00055936">
              <w:rPr>
                <w:rFonts w:ascii="Arial" w:hAnsi="Arial" w:cs="Arial"/>
                <w:color w:val="000000"/>
                <w:sz w:val="18"/>
              </w:rPr>
              <w:t>6</w:t>
            </w:r>
          </w:p>
        </w:tc>
        <w:tc>
          <w:tcPr>
            <w:tcW w:w="2070" w:type="dxa"/>
            <w:vAlign w:val="bottom"/>
          </w:tcPr>
          <w:p w14:paraId="182564ED" w14:textId="5893F2E5" w:rsidR="0018704B" w:rsidRPr="00055936" w:rsidRDefault="0018704B" w:rsidP="0018704B">
            <w:pPr>
              <w:tabs>
                <w:tab w:val="decimal" w:pos="886"/>
              </w:tabs>
              <w:spacing w:after="80"/>
              <w:rPr>
                <w:rFonts w:asciiTheme="majorHAnsi" w:hAnsiTheme="majorHAnsi" w:cstheme="majorHAnsi"/>
                <w:sz w:val="18"/>
              </w:rPr>
            </w:pPr>
            <w:r w:rsidRPr="00055936">
              <w:rPr>
                <w:rFonts w:ascii="Arial" w:hAnsi="Arial" w:cs="Arial"/>
                <w:color w:val="000000"/>
                <w:sz w:val="18"/>
              </w:rPr>
              <w:t>-1.</w:t>
            </w:r>
            <w:r w:rsidR="00AC3A94" w:rsidRPr="00055936">
              <w:rPr>
                <w:rFonts w:ascii="Arial" w:hAnsi="Arial" w:cs="Arial"/>
                <w:color w:val="000000"/>
                <w:sz w:val="18"/>
              </w:rPr>
              <w:t>8</w:t>
            </w:r>
          </w:p>
        </w:tc>
      </w:tr>
    </w:tbl>
    <w:p w14:paraId="1EB4DC53" w14:textId="77777777" w:rsidR="00385546" w:rsidRPr="00055936" w:rsidRDefault="00385546">
      <w:pPr>
        <w:rPr>
          <w:rFonts w:asciiTheme="majorHAnsi" w:hAnsiTheme="majorHAnsi" w:cstheme="majorHAnsi"/>
          <w:sz w:val="16"/>
        </w:rPr>
      </w:pPr>
    </w:p>
    <w:p w14:paraId="3E2E5696" w14:textId="77777777" w:rsidR="004F7C1A" w:rsidRDefault="004F7C1A">
      <w:pPr>
        <w:rPr>
          <w:rFonts w:asciiTheme="majorHAnsi" w:hAnsiTheme="majorHAnsi" w:cstheme="majorHAnsi"/>
          <w:sz w:val="16"/>
        </w:rPr>
      </w:pPr>
    </w:p>
    <w:p w14:paraId="77272B2A" w14:textId="5A9917AE" w:rsidR="00385546" w:rsidRPr="00055936" w:rsidRDefault="00AC3A94">
      <w:pPr>
        <w:rPr>
          <w:rFonts w:asciiTheme="majorHAnsi" w:hAnsiTheme="majorHAnsi" w:cstheme="majorHAnsi"/>
          <w:sz w:val="16"/>
        </w:rPr>
      </w:pPr>
      <w:r w:rsidRPr="00055936">
        <w:rPr>
          <w:rFonts w:asciiTheme="majorHAnsi" w:hAnsiTheme="majorHAnsi" w:cstheme="majorHAnsi"/>
          <w:sz w:val="16"/>
        </w:rPr>
        <w:t xml:space="preserve">Results represent the mean absolute and relative difference between the observed beverage purchases and counterfactual beverage purchases in the post-regulation period. </w:t>
      </w:r>
    </w:p>
    <w:p w14:paraId="21C437ED" w14:textId="12BC934F" w:rsidR="00AC3A94" w:rsidRDefault="00AC3A94">
      <w:pPr>
        <w:rPr>
          <w:rFonts w:asciiTheme="majorHAnsi" w:hAnsiTheme="majorHAnsi" w:cstheme="majorHAnsi"/>
          <w:sz w:val="16"/>
        </w:rPr>
      </w:pPr>
    </w:p>
    <w:p w14:paraId="676BF6DE" w14:textId="77777777" w:rsidR="004F7C1A" w:rsidRPr="00055936" w:rsidRDefault="004F7C1A">
      <w:pPr>
        <w:rPr>
          <w:rFonts w:asciiTheme="majorHAnsi" w:hAnsiTheme="majorHAnsi" w:cstheme="majorHAnsi"/>
          <w:sz w:val="16"/>
        </w:rPr>
      </w:pPr>
    </w:p>
    <w:p w14:paraId="4D3592AC" w14:textId="7D1847B4" w:rsidR="007C38C8" w:rsidRPr="00055936" w:rsidRDefault="004F7C1A" w:rsidP="0018704B">
      <w:pPr>
        <w:ind w:left="180" w:hanging="180"/>
        <w:rPr>
          <w:rFonts w:asciiTheme="majorHAnsi" w:hAnsiTheme="majorHAnsi" w:cstheme="majorHAnsi"/>
          <w:sz w:val="16"/>
        </w:rPr>
      </w:pPr>
      <w:r w:rsidRPr="004F7C1A">
        <w:rPr>
          <w:rFonts w:asciiTheme="majorHAnsi" w:hAnsiTheme="majorHAnsi" w:cstheme="majorHAnsi"/>
          <w:sz w:val="16"/>
          <w:vertAlign w:val="superscript"/>
        </w:rPr>
        <w:t>1</w:t>
      </w:r>
      <w:r w:rsidR="007C38C8" w:rsidRPr="00055936">
        <w:rPr>
          <w:rFonts w:asciiTheme="majorHAnsi" w:hAnsiTheme="majorHAnsi" w:cstheme="majorHAnsi"/>
          <w:sz w:val="16"/>
        </w:rPr>
        <w:t xml:space="preserve"> </w:t>
      </w:r>
      <w:r w:rsidR="006D5316" w:rsidRPr="00055936">
        <w:rPr>
          <w:rFonts w:asciiTheme="majorHAnsi" w:hAnsiTheme="majorHAnsi" w:cstheme="majorHAnsi"/>
          <w:sz w:val="16"/>
        </w:rPr>
        <w:t>High-in</w:t>
      </w:r>
      <w:r w:rsidR="007C38C8" w:rsidRPr="00055936">
        <w:rPr>
          <w:rFonts w:asciiTheme="majorHAnsi" w:hAnsiTheme="majorHAnsi" w:cstheme="majorHAnsi"/>
          <w:sz w:val="16"/>
        </w:rPr>
        <w:t xml:space="preserve"> beverages are those subject to the Chilean Law of Labeling and Advertising due </w:t>
      </w:r>
      <w:r w:rsidR="00BB79EB">
        <w:rPr>
          <w:rFonts w:asciiTheme="majorHAnsi" w:hAnsiTheme="majorHAnsi" w:cstheme="majorHAnsi"/>
          <w:sz w:val="16"/>
        </w:rPr>
        <w:t xml:space="preserve">to </w:t>
      </w:r>
      <w:r w:rsidR="007C38C8" w:rsidRPr="00055936">
        <w:rPr>
          <w:rFonts w:asciiTheme="majorHAnsi" w:hAnsiTheme="majorHAnsi" w:cstheme="majorHAnsi"/>
          <w:sz w:val="16"/>
        </w:rPr>
        <w:t>containing added sugars, saturated fats, or salt and exceeding nutrient or energy thresholds.</w:t>
      </w:r>
    </w:p>
    <w:p w14:paraId="7822F854" w14:textId="0C8F746E" w:rsidR="007C38C8" w:rsidRPr="00055936" w:rsidRDefault="004F7C1A" w:rsidP="0018704B">
      <w:pPr>
        <w:ind w:left="180" w:hanging="180"/>
        <w:rPr>
          <w:rFonts w:asciiTheme="majorHAnsi" w:hAnsiTheme="majorHAnsi" w:cstheme="majorHAnsi"/>
          <w:sz w:val="16"/>
        </w:rPr>
      </w:pPr>
      <w:r>
        <w:rPr>
          <w:rFonts w:asciiTheme="majorHAnsi" w:hAnsiTheme="majorHAnsi" w:cstheme="majorHAnsi"/>
          <w:sz w:val="16"/>
          <w:vertAlign w:val="superscript"/>
        </w:rPr>
        <w:t>2</w:t>
      </w:r>
      <w:r w:rsidR="007C38C8" w:rsidRPr="00055936">
        <w:rPr>
          <w:rFonts w:asciiTheme="majorHAnsi" w:hAnsiTheme="majorHAnsi" w:cstheme="majorHAnsi"/>
          <w:sz w:val="16"/>
        </w:rPr>
        <w:t xml:space="preserve"> </w:t>
      </w:r>
      <w:r w:rsidR="006D5316" w:rsidRPr="00055936">
        <w:rPr>
          <w:rFonts w:asciiTheme="majorHAnsi" w:hAnsiTheme="majorHAnsi" w:cstheme="majorHAnsi"/>
          <w:sz w:val="16"/>
        </w:rPr>
        <w:t xml:space="preserve">Not high-in </w:t>
      </w:r>
      <w:r w:rsidR="007C38C8" w:rsidRPr="00055936">
        <w:rPr>
          <w:rFonts w:asciiTheme="majorHAnsi" w:hAnsiTheme="majorHAnsi" w:cstheme="majorHAnsi"/>
          <w:sz w:val="16"/>
        </w:rPr>
        <w:t>beverages are not subject to the Chilean Law of Labeling and Advertising because they either do not contain added sugars, saturated fats, or salt or they do contain one or more of those added ingredients but do not exceed nutrient or energy thresholds.</w:t>
      </w:r>
    </w:p>
    <w:p w14:paraId="7E5C4065" w14:textId="6D0B03AE" w:rsidR="007C38C8" w:rsidRPr="00055936" w:rsidRDefault="004F7C1A" w:rsidP="0018704B">
      <w:pPr>
        <w:ind w:left="180" w:hanging="180"/>
        <w:rPr>
          <w:rFonts w:asciiTheme="majorHAnsi" w:hAnsiTheme="majorHAnsi" w:cstheme="majorHAnsi"/>
          <w:sz w:val="16"/>
        </w:rPr>
      </w:pPr>
      <w:r>
        <w:rPr>
          <w:rFonts w:asciiTheme="majorHAnsi" w:hAnsiTheme="majorHAnsi" w:cstheme="majorHAnsi"/>
          <w:sz w:val="16"/>
          <w:vertAlign w:val="superscript"/>
        </w:rPr>
        <w:t>3</w:t>
      </w:r>
      <w:r w:rsidR="007C38C8" w:rsidRPr="00055936">
        <w:rPr>
          <w:rFonts w:asciiTheme="majorHAnsi" w:hAnsiTheme="majorHAnsi" w:cstheme="majorHAnsi"/>
          <w:sz w:val="16"/>
        </w:rPr>
        <w:t xml:space="preserve"> </w:t>
      </w:r>
      <w:r w:rsidR="006D5316" w:rsidRPr="00055936">
        <w:rPr>
          <w:rFonts w:asciiTheme="majorHAnsi" w:hAnsiTheme="majorHAnsi" w:cstheme="majorHAnsi"/>
          <w:sz w:val="16"/>
        </w:rPr>
        <w:t xml:space="preserve">Not high-in </w:t>
      </w:r>
      <w:r w:rsidR="007C38C8" w:rsidRPr="00055936">
        <w:rPr>
          <w:rFonts w:asciiTheme="majorHAnsi" w:hAnsiTheme="majorHAnsi" w:cstheme="majorHAnsi"/>
          <w:sz w:val="16"/>
        </w:rPr>
        <w:t>beverages models do not include two-part models because the monthly percentage of consumers is &gt;90%.</w:t>
      </w:r>
    </w:p>
    <w:p w14:paraId="268F974C" w14:textId="77777777" w:rsidR="00F1284F" w:rsidRPr="00055936" w:rsidRDefault="00F1284F">
      <w:pPr>
        <w:rPr>
          <w:rFonts w:asciiTheme="majorHAnsi" w:hAnsiTheme="majorHAnsi" w:cstheme="majorHAnsi"/>
          <w:sz w:val="16"/>
        </w:rPr>
      </w:pPr>
    </w:p>
    <w:p w14:paraId="648F6B62" w14:textId="603A0521" w:rsidR="00F1284F" w:rsidRPr="00E55994" w:rsidRDefault="00F1284F" w:rsidP="00D179B6">
      <w:pPr>
        <w:rPr>
          <w:rFonts w:ascii="Arial" w:eastAsia="Arial" w:hAnsi="Arial" w:cs="Times New Roman"/>
          <w:sz w:val="16"/>
          <w:szCs w:val="16"/>
          <w:lang w:bidi="ar-SA"/>
        </w:rPr>
      </w:pPr>
      <w:r w:rsidRPr="00055936">
        <w:rPr>
          <w:rFonts w:asciiTheme="majorHAnsi" w:hAnsiTheme="majorHAnsi" w:cstheme="majorHAnsi"/>
          <w:sz w:val="16"/>
        </w:rPr>
        <w:t>Purchase data provided by Kantar WorldPanel Chile</w:t>
      </w:r>
      <w:r w:rsidR="00F12CB0" w:rsidRPr="00055936">
        <w:rPr>
          <w:rFonts w:asciiTheme="majorHAnsi" w:hAnsiTheme="majorHAnsi" w:cstheme="majorHAnsi"/>
          <w:sz w:val="16"/>
        </w:rPr>
        <w:t>.</w:t>
      </w:r>
      <w:bookmarkEnd w:id="0"/>
      <w:bookmarkEnd w:id="1"/>
    </w:p>
    <w:sectPr w:rsidR="00F1284F" w:rsidRPr="00E55994" w:rsidSect="00EF07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57F2"/>
    <w:multiLevelType w:val="hybridMultilevel"/>
    <w:tmpl w:val="3A3C90D4"/>
    <w:lvl w:ilvl="0" w:tplc="A79CBFD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13ADF"/>
    <w:multiLevelType w:val="multilevel"/>
    <w:tmpl w:val="6AF0EB78"/>
    <w:lvl w:ilvl="0">
      <w:start w:val="56"/>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8E4BE3"/>
    <w:multiLevelType w:val="hybridMultilevel"/>
    <w:tmpl w:val="EBDC1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4F4A9D"/>
    <w:multiLevelType w:val="hybridMultilevel"/>
    <w:tmpl w:val="91284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A6C62"/>
    <w:multiLevelType w:val="hybridMultilevel"/>
    <w:tmpl w:val="997490CE"/>
    <w:lvl w:ilvl="0" w:tplc="ECAC2436">
      <w:start w:val="18"/>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4021E"/>
    <w:multiLevelType w:val="hybridMultilevel"/>
    <w:tmpl w:val="A10E0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D8"/>
    <w:rsid w:val="00055936"/>
    <w:rsid w:val="000844D9"/>
    <w:rsid w:val="00094B4A"/>
    <w:rsid w:val="000C0AD8"/>
    <w:rsid w:val="000C430C"/>
    <w:rsid w:val="000D3001"/>
    <w:rsid w:val="000E133A"/>
    <w:rsid w:val="000E71FF"/>
    <w:rsid w:val="001111FE"/>
    <w:rsid w:val="001404D2"/>
    <w:rsid w:val="00161C46"/>
    <w:rsid w:val="0017116B"/>
    <w:rsid w:val="00181300"/>
    <w:rsid w:val="00181BA5"/>
    <w:rsid w:val="00181F0E"/>
    <w:rsid w:val="0018704B"/>
    <w:rsid w:val="0018773D"/>
    <w:rsid w:val="00194290"/>
    <w:rsid w:val="001E08D4"/>
    <w:rsid w:val="002163B3"/>
    <w:rsid w:val="002214D9"/>
    <w:rsid w:val="002412D4"/>
    <w:rsid w:val="00243204"/>
    <w:rsid w:val="002479DA"/>
    <w:rsid w:val="00262BFA"/>
    <w:rsid w:val="002778BE"/>
    <w:rsid w:val="00283668"/>
    <w:rsid w:val="002A019E"/>
    <w:rsid w:val="002C5AB7"/>
    <w:rsid w:val="002E7C63"/>
    <w:rsid w:val="002E7DCC"/>
    <w:rsid w:val="002F2492"/>
    <w:rsid w:val="00311C10"/>
    <w:rsid w:val="003256D3"/>
    <w:rsid w:val="00326465"/>
    <w:rsid w:val="00363870"/>
    <w:rsid w:val="003645EE"/>
    <w:rsid w:val="00385546"/>
    <w:rsid w:val="003A4449"/>
    <w:rsid w:val="003D0F09"/>
    <w:rsid w:val="00410192"/>
    <w:rsid w:val="0042698B"/>
    <w:rsid w:val="00433272"/>
    <w:rsid w:val="004339D1"/>
    <w:rsid w:val="0044041D"/>
    <w:rsid w:val="00463795"/>
    <w:rsid w:val="00475E9A"/>
    <w:rsid w:val="00476BA9"/>
    <w:rsid w:val="00476C2D"/>
    <w:rsid w:val="004805E3"/>
    <w:rsid w:val="00480ABF"/>
    <w:rsid w:val="00491550"/>
    <w:rsid w:val="00496B61"/>
    <w:rsid w:val="004B2914"/>
    <w:rsid w:val="004B62E9"/>
    <w:rsid w:val="004D1824"/>
    <w:rsid w:val="004E1C0A"/>
    <w:rsid w:val="004F1D6C"/>
    <w:rsid w:val="004F7C1A"/>
    <w:rsid w:val="00502627"/>
    <w:rsid w:val="00514948"/>
    <w:rsid w:val="0056669B"/>
    <w:rsid w:val="005A04E7"/>
    <w:rsid w:val="005B0CAF"/>
    <w:rsid w:val="005C10E6"/>
    <w:rsid w:val="005C2EE0"/>
    <w:rsid w:val="005D7F34"/>
    <w:rsid w:val="005F5B89"/>
    <w:rsid w:val="0068203E"/>
    <w:rsid w:val="006D5316"/>
    <w:rsid w:val="006F0BBB"/>
    <w:rsid w:val="006F101C"/>
    <w:rsid w:val="00722326"/>
    <w:rsid w:val="00756E61"/>
    <w:rsid w:val="0077045F"/>
    <w:rsid w:val="007710C9"/>
    <w:rsid w:val="007A758D"/>
    <w:rsid w:val="007C38C8"/>
    <w:rsid w:val="007D4805"/>
    <w:rsid w:val="007E15A0"/>
    <w:rsid w:val="007E1B78"/>
    <w:rsid w:val="0080252E"/>
    <w:rsid w:val="00806D7A"/>
    <w:rsid w:val="00816843"/>
    <w:rsid w:val="008216C0"/>
    <w:rsid w:val="00833EBC"/>
    <w:rsid w:val="00857926"/>
    <w:rsid w:val="008604D2"/>
    <w:rsid w:val="0086765A"/>
    <w:rsid w:val="008768A8"/>
    <w:rsid w:val="00883079"/>
    <w:rsid w:val="008A12E4"/>
    <w:rsid w:val="008B1A0C"/>
    <w:rsid w:val="008C1AC4"/>
    <w:rsid w:val="008D5209"/>
    <w:rsid w:val="008E418C"/>
    <w:rsid w:val="008E48CD"/>
    <w:rsid w:val="008E5FDD"/>
    <w:rsid w:val="008E61B9"/>
    <w:rsid w:val="008F2664"/>
    <w:rsid w:val="008F38F8"/>
    <w:rsid w:val="00910716"/>
    <w:rsid w:val="009125D0"/>
    <w:rsid w:val="00935358"/>
    <w:rsid w:val="00957CFA"/>
    <w:rsid w:val="00964218"/>
    <w:rsid w:val="009767CE"/>
    <w:rsid w:val="00982FD0"/>
    <w:rsid w:val="00984C61"/>
    <w:rsid w:val="009E5C8C"/>
    <w:rsid w:val="00A378D3"/>
    <w:rsid w:val="00A538BE"/>
    <w:rsid w:val="00A65D5F"/>
    <w:rsid w:val="00A710D8"/>
    <w:rsid w:val="00AA7C50"/>
    <w:rsid w:val="00AC3A94"/>
    <w:rsid w:val="00AD13D4"/>
    <w:rsid w:val="00AD3B27"/>
    <w:rsid w:val="00AF0722"/>
    <w:rsid w:val="00AF0C27"/>
    <w:rsid w:val="00B00189"/>
    <w:rsid w:val="00B6505B"/>
    <w:rsid w:val="00B956C5"/>
    <w:rsid w:val="00BA28BD"/>
    <w:rsid w:val="00BA34F8"/>
    <w:rsid w:val="00BB32CE"/>
    <w:rsid w:val="00BB79EB"/>
    <w:rsid w:val="00BF5A4D"/>
    <w:rsid w:val="00C013FD"/>
    <w:rsid w:val="00C52743"/>
    <w:rsid w:val="00C65B5A"/>
    <w:rsid w:val="00CF11C2"/>
    <w:rsid w:val="00D06372"/>
    <w:rsid w:val="00D14CBA"/>
    <w:rsid w:val="00D179B6"/>
    <w:rsid w:val="00D21691"/>
    <w:rsid w:val="00D35FDA"/>
    <w:rsid w:val="00D424B4"/>
    <w:rsid w:val="00D4565A"/>
    <w:rsid w:val="00D6521A"/>
    <w:rsid w:val="00D9457F"/>
    <w:rsid w:val="00DA0E05"/>
    <w:rsid w:val="00DA2B02"/>
    <w:rsid w:val="00DA47FA"/>
    <w:rsid w:val="00DB395E"/>
    <w:rsid w:val="00DB7F32"/>
    <w:rsid w:val="00DC0094"/>
    <w:rsid w:val="00DE5F4A"/>
    <w:rsid w:val="00E26A16"/>
    <w:rsid w:val="00E435C6"/>
    <w:rsid w:val="00E55994"/>
    <w:rsid w:val="00E712D6"/>
    <w:rsid w:val="00E724E5"/>
    <w:rsid w:val="00ED2C0C"/>
    <w:rsid w:val="00ED2F2F"/>
    <w:rsid w:val="00EF0712"/>
    <w:rsid w:val="00EF3398"/>
    <w:rsid w:val="00F01B6A"/>
    <w:rsid w:val="00F1284F"/>
    <w:rsid w:val="00F12CB0"/>
    <w:rsid w:val="00F30DBF"/>
    <w:rsid w:val="00F3774D"/>
    <w:rsid w:val="00F37EC9"/>
    <w:rsid w:val="00F43968"/>
    <w:rsid w:val="00F82F05"/>
    <w:rsid w:val="00FB18CB"/>
    <w:rsid w:val="00FC1C85"/>
    <w:rsid w:val="00FD7252"/>
    <w:rsid w:val="00FE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2358"/>
  <w15:docId w15:val="{B4EB15AF-F46A-478F-9142-16C459F9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8B1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0C"/>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DB7F32"/>
    <w:rPr>
      <w:sz w:val="16"/>
      <w:szCs w:val="16"/>
    </w:rPr>
  </w:style>
  <w:style w:type="paragraph" w:styleId="CommentText">
    <w:name w:val="annotation text"/>
    <w:basedOn w:val="Normal"/>
    <w:link w:val="CommentTextChar"/>
    <w:uiPriority w:val="99"/>
    <w:semiHidden/>
    <w:unhideWhenUsed/>
    <w:rsid w:val="00DB7F32"/>
    <w:rPr>
      <w:sz w:val="20"/>
      <w:szCs w:val="20"/>
    </w:rPr>
  </w:style>
  <w:style w:type="character" w:customStyle="1" w:styleId="CommentTextChar">
    <w:name w:val="Comment Text Char"/>
    <w:basedOn w:val="DefaultParagraphFont"/>
    <w:link w:val="CommentText"/>
    <w:uiPriority w:val="99"/>
    <w:semiHidden/>
    <w:rsid w:val="00DB7F3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B7F32"/>
    <w:rPr>
      <w:b/>
      <w:bCs/>
    </w:rPr>
  </w:style>
  <w:style w:type="character" w:customStyle="1" w:styleId="CommentSubjectChar">
    <w:name w:val="Comment Subject Char"/>
    <w:basedOn w:val="CommentTextChar"/>
    <w:link w:val="CommentSubject"/>
    <w:uiPriority w:val="99"/>
    <w:semiHidden/>
    <w:rsid w:val="00DB7F32"/>
    <w:rPr>
      <w:rFonts w:ascii="Calibri" w:eastAsia="Calibri" w:hAnsi="Calibri" w:cs="Calibri"/>
      <w:b/>
      <w:bCs/>
      <w:sz w:val="20"/>
      <w:szCs w:val="20"/>
      <w:lang w:bidi="en-US"/>
    </w:rPr>
  </w:style>
  <w:style w:type="table" w:styleId="TableGrid">
    <w:name w:val="Table Grid"/>
    <w:basedOn w:val="TableNormal"/>
    <w:uiPriority w:val="39"/>
    <w:rsid w:val="00A6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6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4E90-359E-41C4-8911-7FB721A8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Lindsey</dc:creator>
  <cp:lastModifiedBy>Busey, Emily</cp:lastModifiedBy>
  <cp:revision>5</cp:revision>
  <dcterms:created xsi:type="dcterms:W3CDTF">2019-12-10T19:28:00Z</dcterms:created>
  <dcterms:modified xsi:type="dcterms:W3CDTF">2019-12-17T15:41:00Z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Acrobat PDFMaker 19 for Excel</vt:lpwstr>
  </property>
  <property fmtid="{D5CDD505-2E9C-101B-9397-08002B2CF9AE}" pid="4" name="LastSaved">
    <vt:filetime>2019-01-25T00:00:00Z</vt:filetime>
  </property>
</Properties>
</file>