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7CBA" w14:textId="275804FF" w:rsidR="002214D9" w:rsidRPr="005C2EE0" w:rsidRDefault="002214D9" w:rsidP="002214D9">
      <w:pPr>
        <w:pStyle w:val="BodyText"/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  <w:r w:rsidRPr="005C2EE0">
        <w:rPr>
          <w:rFonts w:asciiTheme="majorHAnsi" w:hAnsiTheme="majorHAnsi" w:cstheme="majorHAnsi"/>
          <w:b/>
          <w:sz w:val="28"/>
          <w:szCs w:val="28"/>
        </w:rPr>
        <w:t>S</w:t>
      </w:r>
      <w:r w:rsidR="00145267">
        <w:rPr>
          <w:rFonts w:asciiTheme="majorHAnsi" w:hAnsiTheme="majorHAnsi" w:cstheme="majorHAnsi"/>
          <w:b/>
          <w:sz w:val="28"/>
          <w:szCs w:val="28"/>
        </w:rPr>
        <w:t>2</w:t>
      </w:r>
      <w:bookmarkStart w:id="2" w:name="_GoBack"/>
      <w:bookmarkEnd w:id="2"/>
      <w:r w:rsidRPr="005C2EE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C2EE0" w:rsidRPr="005C2EE0">
        <w:rPr>
          <w:rFonts w:asciiTheme="majorHAnsi" w:hAnsiTheme="majorHAnsi" w:cstheme="majorHAnsi"/>
          <w:b/>
          <w:sz w:val="28"/>
          <w:szCs w:val="28"/>
        </w:rPr>
        <w:t>Table. Beverage groupings</w:t>
      </w:r>
    </w:p>
    <w:p w14:paraId="6CE5E002" w14:textId="77777777" w:rsidR="002214D9" w:rsidRPr="00055936" w:rsidRDefault="002214D9" w:rsidP="002214D9">
      <w:pPr>
        <w:pStyle w:val="BodyText"/>
        <w:rPr>
          <w:rFonts w:asciiTheme="majorHAnsi" w:hAnsiTheme="majorHAnsi" w:cstheme="majorHAnsi"/>
          <w:b/>
          <w:szCs w:val="18"/>
        </w:rPr>
      </w:pPr>
    </w:p>
    <w:p w14:paraId="0B31936D" w14:textId="77777777" w:rsidR="000C0AD8" w:rsidRPr="00055936" w:rsidRDefault="000C0AD8">
      <w:pPr>
        <w:pStyle w:val="BodyText"/>
        <w:rPr>
          <w:rFonts w:asciiTheme="majorHAnsi" w:hAnsiTheme="majorHAnsi" w:cstheme="majorHAnsi"/>
          <w:sz w:val="20"/>
        </w:rPr>
      </w:pPr>
    </w:p>
    <w:tbl>
      <w:tblPr>
        <w:tblW w:w="95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015"/>
        <w:gridCol w:w="3533"/>
        <w:gridCol w:w="3960"/>
      </w:tblGrid>
      <w:tr w:rsidR="00722326" w:rsidRPr="00055936" w14:paraId="716E9C52" w14:textId="77777777" w:rsidTr="00BF5A4D">
        <w:trPr>
          <w:trHeight w:val="17"/>
        </w:trPr>
        <w:tc>
          <w:tcPr>
            <w:tcW w:w="2015" w:type="dxa"/>
            <w:tcBorders>
              <w:top w:val="nil"/>
              <w:left w:val="nil"/>
              <w:right w:val="nil"/>
            </w:tcBorders>
          </w:tcPr>
          <w:p w14:paraId="07F17EFD" w14:textId="77777777" w:rsidR="00722326" w:rsidRPr="00055936" w:rsidRDefault="00722326" w:rsidP="00722326">
            <w:pPr>
              <w:pStyle w:val="TableParagraph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5936">
              <w:rPr>
                <w:rFonts w:asciiTheme="majorHAnsi" w:hAnsiTheme="majorHAnsi" w:cstheme="majorHAnsi"/>
                <w:b/>
                <w:sz w:val="20"/>
                <w:szCs w:val="20"/>
              </w:rPr>
              <w:t>Sub-category</w:t>
            </w:r>
          </w:p>
        </w:tc>
        <w:tc>
          <w:tcPr>
            <w:tcW w:w="3533" w:type="dxa"/>
            <w:tcBorders>
              <w:top w:val="nil"/>
              <w:left w:val="nil"/>
              <w:right w:val="nil"/>
            </w:tcBorders>
          </w:tcPr>
          <w:p w14:paraId="56A160D6" w14:textId="328889B1" w:rsidR="00722326" w:rsidRPr="00055936" w:rsidRDefault="00B00189" w:rsidP="00722326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5936">
              <w:rPr>
                <w:rFonts w:asciiTheme="majorHAnsi" w:hAnsiTheme="majorHAnsi" w:cstheme="majorHAnsi"/>
                <w:b/>
                <w:sz w:val="20"/>
                <w:szCs w:val="20"/>
              </w:rPr>
              <w:t>High-in</w:t>
            </w:r>
            <w:r w:rsidR="005C2EE0" w:rsidRPr="005C2EE0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14:paraId="080CE30A" w14:textId="5D7023D4" w:rsidR="00722326" w:rsidRPr="00055936" w:rsidRDefault="00B00189" w:rsidP="00722326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5936">
              <w:rPr>
                <w:rFonts w:asciiTheme="majorHAnsi" w:hAnsiTheme="majorHAnsi" w:cstheme="majorHAnsi"/>
                <w:b/>
                <w:sz w:val="20"/>
                <w:szCs w:val="20"/>
              </w:rPr>
              <w:t>Not high-in</w:t>
            </w:r>
            <w:r w:rsidR="005C2EE0" w:rsidRPr="005C2EE0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22326" w:rsidRPr="00055936" w14:paraId="4C907B71" w14:textId="77777777" w:rsidTr="00BF5A4D">
        <w:trPr>
          <w:trHeight w:val="17"/>
        </w:trPr>
        <w:tc>
          <w:tcPr>
            <w:tcW w:w="2015" w:type="dxa"/>
            <w:tcBorders>
              <w:left w:val="nil"/>
              <w:bottom w:val="single" w:sz="4" w:space="0" w:color="auto"/>
              <w:right w:val="nil"/>
            </w:tcBorders>
          </w:tcPr>
          <w:p w14:paraId="3B6FDDA4" w14:textId="77777777" w:rsidR="00722326" w:rsidRPr="00055936" w:rsidRDefault="00722326" w:rsidP="00722326">
            <w:pPr>
              <w:pStyle w:val="TableParagraph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5936">
              <w:rPr>
                <w:rFonts w:asciiTheme="majorHAnsi" w:hAnsiTheme="majorHAnsi" w:cstheme="majorHAnsi"/>
                <w:b/>
                <w:sz w:val="20"/>
                <w:szCs w:val="20"/>
              </w:rPr>
              <w:t>Soda</w:t>
            </w:r>
          </w:p>
        </w:tc>
        <w:tc>
          <w:tcPr>
            <w:tcW w:w="3533" w:type="dxa"/>
            <w:tcBorders>
              <w:left w:val="nil"/>
              <w:bottom w:val="single" w:sz="4" w:space="0" w:color="auto"/>
              <w:right w:val="nil"/>
            </w:tcBorders>
          </w:tcPr>
          <w:p w14:paraId="4D96AD20" w14:textId="77777777" w:rsidR="00722326" w:rsidRPr="00055936" w:rsidRDefault="00722326" w:rsidP="00722326">
            <w:pPr>
              <w:pStyle w:val="TableParagraph"/>
              <w:jc w:val="left"/>
              <w:rPr>
                <w:rFonts w:asciiTheme="majorHAnsi" w:hAnsiTheme="majorHAnsi" w:cstheme="majorHAnsi"/>
                <w:sz w:val="16"/>
                <w:szCs w:val="20"/>
              </w:rPr>
            </w:pP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Carbonated, with added sugar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87C8895" w14:textId="7A686A1E" w:rsidR="00722326" w:rsidRPr="00055936" w:rsidRDefault="00722326" w:rsidP="008604D2">
            <w:pPr>
              <w:pStyle w:val="TableParagraph"/>
              <w:jc w:val="left"/>
              <w:rPr>
                <w:rFonts w:asciiTheme="majorHAnsi" w:hAnsiTheme="majorHAnsi" w:cstheme="majorHAnsi"/>
                <w:sz w:val="16"/>
                <w:szCs w:val="20"/>
              </w:rPr>
            </w:pP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Carbonated, no added sugar or total sugar below</w:t>
            </w:r>
            <w:r w:rsidRPr="00055936">
              <w:rPr>
                <w:rFonts w:asciiTheme="majorHAnsi" w:hAnsiTheme="majorHAnsi" w:cstheme="majorHAnsi"/>
                <w:spacing w:val="4"/>
                <w:sz w:val="16"/>
                <w:szCs w:val="20"/>
              </w:rPr>
              <w:t xml:space="preserve"> </w:t>
            </w:r>
            <w:r w:rsidR="0086765A">
              <w:rPr>
                <w:rFonts w:asciiTheme="majorHAnsi" w:hAnsiTheme="majorHAnsi" w:cstheme="majorHAnsi"/>
                <w:spacing w:val="4"/>
                <w:sz w:val="16"/>
                <w:szCs w:val="20"/>
              </w:rPr>
              <w:br/>
            </w: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[</w:t>
            </w:r>
            <w:r w:rsidRPr="00055936">
              <w:rPr>
                <w:rFonts w:asciiTheme="majorHAnsi" w:hAnsiTheme="majorHAnsi" w:cstheme="majorHAnsi"/>
                <w:b/>
                <w:sz w:val="16"/>
                <w:szCs w:val="20"/>
              </w:rPr>
              <w:t>6</w:t>
            </w:r>
            <w:r w:rsidR="0086765A">
              <w:rPr>
                <w:rFonts w:asciiTheme="majorHAnsi" w:hAnsiTheme="majorHAnsi" w:cstheme="majorHAnsi"/>
                <w:b/>
                <w:sz w:val="16"/>
                <w:szCs w:val="20"/>
              </w:rPr>
              <w:t xml:space="preserve"> </w:t>
            </w:r>
            <w:r w:rsidRPr="00055936">
              <w:rPr>
                <w:rFonts w:asciiTheme="majorHAnsi" w:hAnsiTheme="majorHAnsi" w:cstheme="majorHAnsi"/>
                <w:b/>
                <w:sz w:val="16"/>
                <w:szCs w:val="20"/>
              </w:rPr>
              <w:t>g/100</w:t>
            </w:r>
            <w:r w:rsidR="0086765A">
              <w:rPr>
                <w:rFonts w:asciiTheme="majorHAnsi" w:hAnsiTheme="majorHAnsi" w:cstheme="majorHAnsi"/>
                <w:b/>
                <w:sz w:val="16"/>
                <w:szCs w:val="20"/>
              </w:rPr>
              <w:t xml:space="preserve"> mL</w:t>
            </w: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]</w:t>
            </w:r>
          </w:p>
        </w:tc>
      </w:tr>
      <w:tr w:rsidR="00722326" w:rsidRPr="00055936" w14:paraId="1F4BB5B2" w14:textId="77777777" w:rsidTr="00BF5A4D">
        <w:trPr>
          <w:trHeight w:val="17"/>
        </w:trPr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C8A8C" w14:textId="77777777" w:rsidR="00722326" w:rsidRPr="00055936" w:rsidRDefault="00722326" w:rsidP="00722326">
            <w:pPr>
              <w:pStyle w:val="TableParagraph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5936">
              <w:rPr>
                <w:rFonts w:asciiTheme="majorHAnsi" w:hAnsiTheme="majorHAnsi" w:cstheme="majorHAnsi"/>
                <w:b/>
                <w:sz w:val="20"/>
                <w:szCs w:val="20"/>
              </w:rPr>
              <w:t>Fruit drinks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BF74C" w14:textId="77777777" w:rsidR="00722326" w:rsidRPr="00055936" w:rsidRDefault="00722326" w:rsidP="00722326">
            <w:pPr>
              <w:pStyle w:val="TableParagraph"/>
              <w:jc w:val="left"/>
              <w:rPr>
                <w:rFonts w:asciiTheme="majorHAnsi" w:hAnsiTheme="majorHAnsi" w:cstheme="majorHAnsi"/>
                <w:sz w:val="16"/>
                <w:szCs w:val="20"/>
              </w:rPr>
            </w:pP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 xml:space="preserve">Industrialized fruit-flavored drinks, </w:t>
            </w:r>
            <w:r w:rsidR="00D35FDA" w:rsidRPr="00055936">
              <w:rPr>
                <w:rFonts w:asciiTheme="majorHAnsi" w:hAnsiTheme="majorHAnsi" w:cstheme="majorHAnsi"/>
                <w:sz w:val="16"/>
                <w:szCs w:val="20"/>
              </w:rPr>
              <w:br/>
            </w: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with added sugar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760B01A9" w14:textId="23DD2D40" w:rsidR="00722326" w:rsidRPr="00055936" w:rsidRDefault="00722326" w:rsidP="008604D2">
            <w:pPr>
              <w:pStyle w:val="TableParagraph"/>
              <w:jc w:val="left"/>
              <w:rPr>
                <w:rFonts w:asciiTheme="majorHAnsi" w:hAnsiTheme="majorHAnsi" w:cstheme="majorHAnsi"/>
                <w:sz w:val="16"/>
                <w:szCs w:val="20"/>
              </w:rPr>
            </w:pP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Industrialized fruit-flavored drinks, with no added sugar or total sugar below [</w:t>
            </w:r>
            <w:r w:rsidRPr="00055936">
              <w:rPr>
                <w:rFonts w:asciiTheme="majorHAnsi" w:hAnsiTheme="majorHAnsi" w:cstheme="majorHAnsi"/>
                <w:b/>
                <w:sz w:val="16"/>
                <w:szCs w:val="20"/>
              </w:rPr>
              <w:t>6</w:t>
            </w:r>
            <w:r w:rsidR="0086765A">
              <w:rPr>
                <w:rFonts w:asciiTheme="majorHAnsi" w:hAnsiTheme="majorHAnsi" w:cstheme="majorHAnsi"/>
                <w:b/>
                <w:sz w:val="16"/>
                <w:szCs w:val="20"/>
              </w:rPr>
              <w:t xml:space="preserve"> </w:t>
            </w:r>
            <w:r w:rsidRPr="00055936">
              <w:rPr>
                <w:rFonts w:asciiTheme="majorHAnsi" w:hAnsiTheme="majorHAnsi" w:cstheme="majorHAnsi"/>
                <w:b/>
                <w:sz w:val="16"/>
                <w:szCs w:val="20"/>
              </w:rPr>
              <w:t>g/100</w:t>
            </w:r>
            <w:r w:rsidR="0086765A">
              <w:rPr>
                <w:rFonts w:asciiTheme="majorHAnsi" w:hAnsiTheme="majorHAnsi" w:cstheme="majorHAnsi"/>
                <w:b/>
                <w:sz w:val="16"/>
                <w:szCs w:val="20"/>
              </w:rPr>
              <w:t xml:space="preserve"> mL</w:t>
            </w: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]</w:t>
            </w:r>
          </w:p>
        </w:tc>
      </w:tr>
      <w:tr w:rsidR="00722326" w:rsidRPr="00055936" w14:paraId="1ED28FE8" w14:textId="77777777" w:rsidTr="00BF5A4D">
        <w:trPr>
          <w:trHeight w:val="17"/>
        </w:trPr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62689" w14:textId="77777777" w:rsidR="00722326" w:rsidRPr="00055936" w:rsidRDefault="00722326" w:rsidP="00722326">
            <w:pPr>
              <w:pStyle w:val="TableParagraph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5936">
              <w:rPr>
                <w:rFonts w:asciiTheme="majorHAnsi" w:hAnsiTheme="majorHAnsi" w:cstheme="majorHAnsi"/>
                <w:b/>
                <w:sz w:val="20"/>
                <w:szCs w:val="20"/>
              </w:rPr>
              <w:t>Dairy products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12A70" w14:textId="77777777" w:rsidR="00722326" w:rsidRPr="00055936" w:rsidRDefault="00722326" w:rsidP="00722326">
            <w:pPr>
              <w:pStyle w:val="TableParagraph"/>
              <w:jc w:val="left"/>
              <w:rPr>
                <w:rFonts w:asciiTheme="majorHAnsi" w:hAnsiTheme="majorHAnsi" w:cstheme="majorHAnsi"/>
                <w:sz w:val="16"/>
                <w:szCs w:val="20"/>
              </w:rPr>
            </w:pP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 xml:space="preserve">Flavored milk powders, flavored </w:t>
            </w:r>
            <w:r w:rsidR="00D35FDA" w:rsidRPr="00055936">
              <w:rPr>
                <w:rFonts w:asciiTheme="majorHAnsi" w:hAnsiTheme="majorHAnsi" w:cstheme="majorHAnsi"/>
                <w:sz w:val="16"/>
                <w:szCs w:val="20"/>
              </w:rPr>
              <w:br/>
            </w: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ready-to-drink milk, and flavored dairy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1D45EE45" w14:textId="77777777" w:rsidR="00722326" w:rsidRPr="00055936" w:rsidRDefault="00722326" w:rsidP="008604D2">
            <w:pPr>
              <w:pStyle w:val="TableParagraph"/>
              <w:jc w:val="left"/>
              <w:rPr>
                <w:rFonts w:asciiTheme="majorHAnsi" w:hAnsiTheme="majorHAnsi" w:cstheme="majorHAnsi"/>
                <w:sz w:val="16"/>
                <w:szCs w:val="20"/>
              </w:rPr>
            </w:pP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 xml:space="preserve">Plain milk, plain milk powders, </w:t>
            </w:r>
            <w:r w:rsidRPr="00055936">
              <w:rPr>
                <w:rFonts w:asciiTheme="majorHAnsi" w:hAnsiTheme="majorHAnsi" w:cstheme="majorHAnsi"/>
                <w:sz w:val="16"/>
                <w:szCs w:val="20"/>
              </w:rPr>
              <w:br/>
              <w:t>and plain dairy substitutes</w:t>
            </w:r>
          </w:p>
        </w:tc>
      </w:tr>
      <w:tr w:rsidR="00722326" w:rsidRPr="00055936" w14:paraId="20009D83" w14:textId="77777777" w:rsidTr="00BF5A4D">
        <w:trPr>
          <w:trHeight w:val="329"/>
        </w:trPr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76BA9" w14:textId="77777777" w:rsidR="00722326" w:rsidRPr="00055936" w:rsidRDefault="00722326" w:rsidP="00722326">
            <w:pPr>
              <w:pStyle w:val="TableParagraph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5936">
              <w:rPr>
                <w:rFonts w:asciiTheme="majorHAnsi" w:hAnsiTheme="majorHAnsi" w:cstheme="majorHAnsi"/>
                <w:b/>
                <w:sz w:val="20"/>
                <w:szCs w:val="20"/>
              </w:rPr>
              <w:t>Waters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9E498" w14:textId="77777777" w:rsidR="00722326" w:rsidRPr="00055936" w:rsidRDefault="00722326" w:rsidP="00722326">
            <w:pPr>
              <w:pStyle w:val="TableParagraph"/>
              <w:jc w:val="left"/>
              <w:rPr>
                <w:rFonts w:asciiTheme="majorHAnsi" w:hAnsiTheme="majorHAnsi" w:cstheme="majorHAnsi"/>
                <w:sz w:val="16"/>
                <w:szCs w:val="20"/>
              </w:rPr>
            </w:pP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Flavored powders and ready-to-drink</w:t>
            </w:r>
          </w:p>
          <w:p w14:paraId="7F638FE1" w14:textId="77777777" w:rsidR="00722326" w:rsidRPr="00055936" w:rsidRDefault="00722326" w:rsidP="00722326">
            <w:pPr>
              <w:pStyle w:val="TableParagraph"/>
              <w:jc w:val="left"/>
              <w:rPr>
                <w:rFonts w:asciiTheme="majorHAnsi" w:hAnsiTheme="majorHAnsi" w:cstheme="majorHAnsi"/>
                <w:sz w:val="16"/>
                <w:szCs w:val="20"/>
              </w:rPr>
            </w:pP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waters, with added sugar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993A3D3" w14:textId="4E193B82" w:rsidR="00722326" w:rsidRPr="00055936" w:rsidRDefault="00722326" w:rsidP="008604D2">
            <w:pPr>
              <w:pStyle w:val="TableParagraph"/>
              <w:jc w:val="left"/>
              <w:rPr>
                <w:rFonts w:asciiTheme="majorHAnsi" w:hAnsiTheme="majorHAnsi" w:cstheme="majorHAnsi"/>
                <w:sz w:val="16"/>
                <w:szCs w:val="20"/>
              </w:rPr>
            </w:pP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Flavored powders, no added sugar or total sugar below [</w:t>
            </w:r>
            <w:r w:rsidRPr="00055936">
              <w:rPr>
                <w:rFonts w:asciiTheme="majorHAnsi" w:hAnsiTheme="majorHAnsi" w:cstheme="majorHAnsi"/>
                <w:b/>
                <w:sz w:val="16"/>
                <w:szCs w:val="20"/>
              </w:rPr>
              <w:t>6</w:t>
            </w:r>
            <w:r w:rsidR="0086765A">
              <w:rPr>
                <w:rFonts w:asciiTheme="majorHAnsi" w:hAnsiTheme="majorHAnsi" w:cstheme="majorHAnsi"/>
                <w:b/>
                <w:sz w:val="16"/>
                <w:szCs w:val="20"/>
              </w:rPr>
              <w:t xml:space="preserve"> </w:t>
            </w:r>
            <w:r w:rsidRPr="00055936">
              <w:rPr>
                <w:rFonts w:asciiTheme="majorHAnsi" w:hAnsiTheme="majorHAnsi" w:cstheme="majorHAnsi"/>
                <w:b/>
                <w:sz w:val="16"/>
                <w:szCs w:val="20"/>
              </w:rPr>
              <w:t>g/100</w:t>
            </w:r>
            <w:r w:rsidR="0086765A">
              <w:rPr>
                <w:rFonts w:asciiTheme="majorHAnsi" w:hAnsiTheme="majorHAnsi" w:cstheme="majorHAnsi"/>
                <w:b/>
                <w:sz w:val="16"/>
                <w:szCs w:val="20"/>
              </w:rPr>
              <w:t xml:space="preserve"> mL</w:t>
            </w: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]; mineral water, sparkling water</w:t>
            </w:r>
          </w:p>
        </w:tc>
      </w:tr>
      <w:tr w:rsidR="00722326" w:rsidRPr="00055936" w14:paraId="4F755E01" w14:textId="77777777" w:rsidTr="00BF5A4D">
        <w:trPr>
          <w:trHeight w:val="17"/>
        </w:trPr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7657C" w14:textId="77777777" w:rsidR="00722326" w:rsidRPr="00055936" w:rsidRDefault="00722326" w:rsidP="00722326">
            <w:pPr>
              <w:pStyle w:val="TableParagraph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5936">
              <w:rPr>
                <w:rFonts w:asciiTheme="majorHAnsi" w:hAnsiTheme="majorHAnsi" w:cstheme="majorHAnsi"/>
                <w:b/>
                <w:sz w:val="20"/>
                <w:szCs w:val="20"/>
              </w:rPr>
              <w:t>Coffee and tea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D170B" w14:textId="77777777" w:rsidR="00722326" w:rsidRPr="00055936" w:rsidRDefault="00722326" w:rsidP="00722326">
            <w:pPr>
              <w:pStyle w:val="TableParagraph"/>
              <w:jc w:val="left"/>
              <w:rPr>
                <w:rFonts w:asciiTheme="majorHAnsi" w:hAnsiTheme="majorHAnsi" w:cstheme="majorHAnsi"/>
                <w:sz w:val="16"/>
                <w:szCs w:val="20"/>
              </w:rPr>
            </w:pP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n/a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7499E865" w14:textId="77777777" w:rsidR="00722326" w:rsidRPr="00055936" w:rsidRDefault="00722326" w:rsidP="008604D2">
            <w:pPr>
              <w:pStyle w:val="TableParagraph"/>
              <w:jc w:val="left"/>
              <w:rPr>
                <w:rFonts w:asciiTheme="majorHAnsi" w:hAnsiTheme="majorHAnsi" w:cstheme="majorHAnsi"/>
                <w:sz w:val="16"/>
                <w:szCs w:val="20"/>
              </w:rPr>
            </w:pP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Instant coffee, roasted coffee</w:t>
            </w:r>
          </w:p>
        </w:tc>
      </w:tr>
      <w:tr w:rsidR="00722326" w:rsidRPr="00055936" w14:paraId="138E5365" w14:textId="77777777" w:rsidTr="00BF5A4D">
        <w:trPr>
          <w:trHeight w:val="17"/>
        </w:trPr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43B2E" w14:textId="77777777" w:rsidR="00722326" w:rsidRPr="00055936" w:rsidRDefault="00722326" w:rsidP="00722326">
            <w:pPr>
              <w:pStyle w:val="TableParagraph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5936">
              <w:rPr>
                <w:rFonts w:asciiTheme="majorHAnsi" w:hAnsiTheme="majorHAnsi" w:cstheme="majorHAnsi"/>
                <w:b/>
                <w:sz w:val="20"/>
                <w:szCs w:val="20"/>
              </w:rPr>
              <w:t>100% fruit and vegetable Juice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F465B" w14:textId="77777777" w:rsidR="00722326" w:rsidRPr="00055936" w:rsidRDefault="00722326" w:rsidP="00722326">
            <w:pPr>
              <w:pStyle w:val="TableParagraph"/>
              <w:jc w:val="left"/>
              <w:rPr>
                <w:rFonts w:asciiTheme="majorHAnsi" w:hAnsiTheme="majorHAnsi" w:cstheme="majorHAnsi"/>
                <w:sz w:val="16"/>
                <w:szCs w:val="20"/>
              </w:rPr>
            </w:pP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n/a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CBAC117" w14:textId="77777777" w:rsidR="00722326" w:rsidRPr="00055936" w:rsidRDefault="00722326" w:rsidP="008604D2">
            <w:pPr>
              <w:pStyle w:val="TableParagraph"/>
              <w:jc w:val="left"/>
              <w:rPr>
                <w:rFonts w:asciiTheme="majorHAnsi" w:hAnsiTheme="majorHAnsi" w:cstheme="majorHAnsi"/>
                <w:sz w:val="16"/>
                <w:szCs w:val="20"/>
              </w:rPr>
            </w:pP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100% fruit and vegetable juices</w:t>
            </w:r>
          </w:p>
        </w:tc>
      </w:tr>
      <w:tr w:rsidR="00722326" w:rsidRPr="00055936" w14:paraId="4A567E37" w14:textId="77777777" w:rsidTr="00BF5A4D">
        <w:trPr>
          <w:trHeight w:val="589"/>
        </w:trPr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1FA78" w14:textId="77777777" w:rsidR="00722326" w:rsidRPr="00055936" w:rsidRDefault="00722326" w:rsidP="00722326">
            <w:pPr>
              <w:pStyle w:val="TableParagraph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59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Sports and </w:t>
            </w:r>
            <w:r w:rsidR="00D35FDA" w:rsidRPr="00055936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055936">
              <w:rPr>
                <w:rFonts w:asciiTheme="majorHAnsi" w:hAnsiTheme="majorHAnsi" w:cstheme="majorHAnsi"/>
                <w:b/>
                <w:sz w:val="20"/>
                <w:szCs w:val="20"/>
              </w:rPr>
              <w:t>Energy drinks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2B0F2" w14:textId="2A61D6CD" w:rsidR="00722326" w:rsidRPr="00055936" w:rsidRDefault="00722326" w:rsidP="00EF0712">
            <w:pPr>
              <w:pStyle w:val="TableParagraph"/>
              <w:jc w:val="left"/>
              <w:rPr>
                <w:rFonts w:asciiTheme="majorHAnsi" w:hAnsiTheme="majorHAnsi" w:cstheme="majorHAnsi"/>
                <w:sz w:val="16"/>
                <w:szCs w:val="20"/>
              </w:rPr>
            </w:pP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Powdered and ready-to-drink sports drinks with added sugar, energy drinks</w:t>
            </w:r>
            <w:r w:rsidR="00EF0712" w:rsidRPr="00055936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with added sugar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69B2E92" w14:textId="0FF6D532" w:rsidR="00722326" w:rsidRPr="00055936" w:rsidRDefault="00722326" w:rsidP="008604D2">
            <w:pPr>
              <w:pStyle w:val="TableParagraph"/>
              <w:ind w:firstLine="28"/>
              <w:jc w:val="left"/>
              <w:rPr>
                <w:rFonts w:asciiTheme="majorHAnsi" w:hAnsiTheme="majorHAnsi" w:cstheme="majorHAnsi"/>
                <w:sz w:val="16"/>
                <w:szCs w:val="20"/>
              </w:rPr>
            </w:pP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 xml:space="preserve">Powdered and ready-to-drink sports drinks and </w:t>
            </w:r>
            <w:r w:rsidR="0086765A">
              <w:rPr>
                <w:rFonts w:asciiTheme="majorHAnsi" w:hAnsiTheme="majorHAnsi" w:cstheme="majorHAnsi"/>
                <w:sz w:val="16"/>
                <w:szCs w:val="20"/>
              </w:rPr>
              <w:br/>
            </w: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 xml:space="preserve">energy drinks, no added sugar or total sugar below </w:t>
            </w:r>
            <w:r w:rsidR="0086765A">
              <w:rPr>
                <w:rFonts w:asciiTheme="majorHAnsi" w:hAnsiTheme="majorHAnsi" w:cstheme="majorHAnsi"/>
                <w:sz w:val="16"/>
                <w:szCs w:val="20"/>
              </w:rPr>
              <w:br/>
            </w: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[</w:t>
            </w:r>
            <w:r w:rsidRPr="00055936">
              <w:rPr>
                <w:rFonts w:asciiTheme="majorHAnsi" w:hAnsiTheme="majorHAnsi" w:cstheme="majorHAnsi"/>
                <w:b/>
                <w:sz w:val="16"/>
                <w:szCs w:val="20"/>
              </w:rPr>
              <w:t>6</w:t>
            </w:r>
            <w:r w:rsidR="0086765A">
              <w:rPr>
                <w:rFonts w:asciiTheme="majorHAnsi" w:hAnsiTheme="majorHAnsi" w:cstheme="majorHAnsi"/>
                <w:b/>
                <w:sz w:val="16"/>
                <w:szCs w:val="20"/>
              </w:rPr>
              <w:t xml:space="preserve"> </w:t>
            </w:r>
            <w:r w:rsidRPr="00055936">
              <w:rPr>
                <w:rFonts w:asciiTheme="majorHAnsi" w:hAnsiTheme="majorHAnsi" w:cstheme="majorHAnsi"/>
                <w:b/>
                <w:sz w:val="16"/>
                <w:szCs w:val="20"/>
              </w:rPr>
              <w:t>g/100</w:t>
            </w:r>
            <w:r w:rsidR="0086765A">
              <w:rPr>
                <w:rFonts w:asciiTheme="majorHAnsi" w:hAnsiTheme="majorHAnsi" w:cstheme="majorHAnsi"/>
                <w:b/>
                <w:sz w:val="16"/>
                <w:szCs w:val="20"/>
              </w:rPr>
              <w:t xml:space="preserve"> mL</w:t>
            </w:r>
            <w:r w:rsidRPr="00055936">
              <w:rPr>
                <w:rFonts w:asciiTheme="majorHAnsi" w:hAnsiTheme="majorHAnsi" w:cstheme="majorHAnsi"/>
                <w:sz w:val="16"/>
                <w:szCs w:val="20"/>
              </w:rPr>
              <w:t>]</w:t>
            </w:r>
          </w:p>
        </w:tc>
      </w:tr>
    </w:tbl>
    <w:p w14:paraId="7334E263" w14:textId="77777777" w:rsidR="000C0AD8" w:rsidRPr="00055936" w:rsidRDefault="000C0AD8">
      <w:pPr>
        <w:spacing w:line="244" w:lineRule="exact"/>
        <w:rPr>
          <w:rFonts w:asciiTheme="majorHAnsi" w:hAnsiTheme="majorHAnsi" w:cstheme="majorHAnsi"/>
        </w:rPr>
      </w:pPr>
    </w:p>
    <w:p w14:paraId="5A6B521A" w14:textId="47447E70" w:rsidR="008604D2" w:rsidRPr="00055936" w:rsidRDefault="005C2EE0" w:rsidP="000E133A">
      <w:pPr>
        <w:widowControl/>
        <w:autoSpaceDE/>
        <w:autoSpaceDN/>
        <w:spacing w:line="259" w:lineRule="auto"/>
        <w:ind w:left="180" w:hanging="180"/>
        <w:rPr>
          <w:rFonts w:ascii="Arial" w:eastAsia="Arial" w:hAnsi="Arial" w:cs="Times New Roman"/>
          <w:sz w:val="16"/>
          <w:szCs w:val="16"/>
          <w:lang w:bidi="ar-SA"/>
        </w:rPr>
      </w:pPr>
      <w:r w:rsidRPr="005C2EE0">
        <w:rPr>
          <w:rFonts w:ascii="Arial" w:eastAsia="Arial" w:hAnsi="Arial" w:cs="Times New Roman"/>
          <w:sz w:val="16"/>
          <w:szCs w:val="16"/>
          <w:vertAlign w:val="superscript"/>
          <w:lang w:bidi="ar-SA"/>
        </w:rPr>
        <w:t>1</w:t>
      </w:r>
      <w:r w:rsidR="008604D2"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 </w:t>
      </w:r>
      <w:r w:rsidR="00B00189" w:rsidRPr="00055936">
        <w:rPr>
          <w:rFonts w:ascii="Arial" w:eastAsia="Arial" w:hAnsi="Arial" w:cs="Times New Roman"/>
          <w:sz w:val="16"/>
          <w:szCs w:val="16"/>
          <w:lang w:bidi="ar-SA"/>
        </w:rPr>
        <w:t>High-in</w:t>
      </w:r>
      <w:r w:rsidR="008604D2"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 beverages are those subject to the Chilean Law of Labeling and </w:t>
      </w:r>
      <w:r w:rsidR="00F43968">
        <w:rPr>
          <w:rFonts w:ascii="Arial" w:eastAsia="Arial" w:hAnsi="Arial" w:cs="Times New Roman"/>
          <w:sz w:val="16"/>
          <w:szCs w:val="16"/>
          <w:lang w:bidi="ar-SA"/>
        </w:rPr>
        <w:t>Advertising due to containing</w:t>
      </w:r>
      <w:r w:rsidR="008604D2"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 added sugars, saturated fats, </w:t>
      </w:r>
      <w:r w:rsidR="00C07D15">
        <w:rPr>
          <w:rFonts w:ascii="Arial" w:eastAsia="Arial" w:hAnsi="Arial" w:cs="Times New Roman"/>
          <w:sz w:val="16"/>
          <w:szCs w:val="16"/>
          <w:lang w:bidi="ar-SA"/>
        </w:rPr>
        <w:br/>
      </w:r>
      <w:r w:rsidR="008604D2" w:rsidRPr="00055936">
        <w:rPr>
          <w:rFonts w:ascii="Arial" w:eastAsia="Arial" w:hAnsi="Arial" w:cs="Times New Roman"/>
          <w:sz w:val="16"/>
          <w:szCs w:val="16"/>
          <w:lang w:bidi="ar-SA"/>
        </w:rPr>
        <w:t>or salt and exceeding nutrient or energy thresholds</w:t>
      </w:r>
      <w:r w:rsidR="001E08D4" w:rsidRPr="00055936">
        <w:rPr>
          <w:rFonts w:ascii="Arial" w:eastAsia="Arial" w:hAnsi="Arial" w:cs="Times New Roman"/>
          <w:sz w:val="16"/>
          <w:szCs w:val="16"/>
          <w:lang w:bidi="ar-SA"/>
        </w:rPr>
        <w:t>.</w:t>
      </w:r>
    </w:p>
    <w:p w14:paraId="5006DE86" w14:textId="3B231119" w:rsidR="008604D2" w:rsidRPr="00055936" w:rsidRDefault="005C2EE0" w:rsidP="000E133A">
      <w:pPr>
        <w:widowControl/>
        <w:autoSpaceDE/>
        <w:autoSpaceDN/>
        <w:spacing w:line="259" w:lineRule="auto"/>
        <w:ind w:left="180" w:hanging="180"/>
        <w:rPr>
          <w:rFonts w:ascii="Arial" w:eastAsia="Arial" w:hAnsi="Arial" w:cs="Times New Roman"/>
          <w:sz w:val="16"/>
          <w:szCs w:val="16"/>
          <w:lang w:bidi="ar-SA"/>
        </w:rPr>
      </w:pPr>
      <w:r w:rsidRPr="005C2EE0">
        <w:rPr>
          <w:rFonts w:ascii="Arial" w:eastAsia="Arial" w:hAnsi="Arial" w:cs="Times New Roman"/>
          <w:sz w:val="16"/>
          <w:szCs w:val="16"/>
          <w:vertAlign w:val="superscript"/>
          <w:lang w:bidi="ar-SA"/>
        </w:rPr>
        <w:t>2</w:t>
      </w:r>
      <w:r w:rsidR="008604D2"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 </w:t>
      </w:r>
      <w:r w:rsidR="00B00189" w:rsidRPr="00055936">
        <w:rPr>
          <w:rFonts w:ascii="Arial" w:eastAsia="Arial" w:hAnsi="Arial" w:cs="Times New Roman"/>
          <w:sz w:val="16"/>
          <w:szCs w:val="16"/>
          <w:lang w:bidi="ar-SA"/>
        </w:rPr>
        <w:t>Not</w:t>
      </w:r>
      <w:r w:rsidR="007E15A0">
        <w:rPr>
          <w:rFonts w:ascii="Arial" w:eastAsia="Arial" w:hAnsi="Arial" w:cs="Times New Roman"/>
          <w:sz w:val="16"/>
          <w:szCs w:val="16"/>
          <w:lang w:bidi="ar-SA"/>
        </w:rPr>
        <w:t xml:space="preserve"> </w:t>
      </w:r>
      <w:r w:rsidR="00B00189" w:rsidRPr="00055936">
        <w:rPr>
          <w:rFonts w:ascii="Arial" w:eastAsia="Arial" w:hAnsi="Arial" w:cs="Times New Roman"/>
          <w:sz w:val="16"/>
          <w:szCs w:val="16"/>
          <w:lang w:bidi="ar-SA"/>
        </w:rPr>
        <w:t>high</w:t>
      </w:r>
      <w:r w:rsidR="007E15A0">
        <w:rPr>
          <w:rFonts w:ascii="Arial" w:eastAsia="Arial" w:hAnsi="Arial" w:cs="Times New Roman"/>
          <w:sz w:val="16"/>
          <w:szCs w:val="16"/>
          <w:lang w:bidi="ar-SA"/>
        </w:rPr>
        <w:t>-</w:t>
      </w:r>
      <w:r w:rsidR="00B00189" w:rsidRPr="00055936">
        <w:rPr>
          <w:rFonts w:ascii="Arial" w:eastAsia="Arial" w:hAnsi="Arial" w:cs="Times New Roman"/>
          <w:sz w:val="16"/>
          <w:szCs w:val="16"/>
          <w:lang w:bidi="ar-SA"/>
        </w:rPr>
        <w:t>in</w:t>
      </w:r>
      <w:r w:rsidR="008604D2"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 beverages </w:t>
      </w:r>
      <w:r w:rsidR="001E08D4" w:rsidRPr="00055936">
        <w:rPr>
          <w:rFonts w:ascii="Arial" w:eastAsia="Arial" w:hAnsi="Arial" w:cs="Times New Roman"/>
          <w:sz w:val="16"/>
          <w:szCs w:val="16"/>
          <w:lang w:bidi="ar-SA"/>
        </w:rPr>
        <w:t>are</w:t>
      </w:r>
      <w:r w:rsidR="008604D2"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 not subject to the Chilean Law of Labeling and Advertising because they either </w:t>
      </w:r>
      <w:r w:rsidR="001E08D4" w:rsidRPr="00055936">
        <w:rPr>
          <w:rFonts w:ascii="Arial" w:eastAsia="Arial" w:hAnsi="Arial" w:cs="Times New Roman"/>
          <w:sz w:val="16"/>
          <w:szCs w:val="16"/>
          <w:lang w:bidi="ar-SA"/>
        </w:rPr>
        <w:t>do</w:t>
      </w:r>
      <w:r w:rsidR="008604D2"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 not contain added sugars, saturated fats, or salt or they </w:t>
      </w:r>
      <w:r w:rsidR="001E08D4" w:rsidRPr="00055936">
        <w:rPr>
          <w:rFonts w:ascii="Arial" w:eastAsia="Arial" w:hAnsi="Arial" w:cs="Times New Roman"/>
          <w:sz w:val="16"/>
          <w:szCs w:val="16"/>
          <w:lang w:bidi="ar-SA"/>
        </w:rPr>
        <w:t>do</w:t>
      </w:r>
      <w:r w:rsidR="008604D2"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 contain one or more of those added ingredients </w:t>
      </w:r>
      <w:r w:rsidR="001E08D4"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but do not </w:t>
      </w:r>
      <w:r w:rsidR="008604D2" w:rsidRPr="00055936">
        <w:rPr>
          <w:rFonts w:ascii="Arial" w:eastAsia="Arial" w:hAnsi="Arial" w:cs="Times New Roman"/>
          <w:sz w:val="16"/>
          <w:szCs w:val="16"/>
          <w:lang w:bidi="ar-SA"/>
        </w:rPr>
        <w:t>exceed nutrient or energy thresholds.</w:t>
      </w:r>
      <w:bookmarkEnd w:id="0"/>
      <w:bookmarkEnd w:id="1"/>
    </w:p>
    <w:sectPr w:rsidR="008604D2" w:rsidRPr="00055936" w:rsidSect="00C07D15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7F2"/>
    <w:multiLevelType w:val="hybridMultilevel"/>
    <w:tmpl w:val="3A3C90D4"/>
    <w:lvl w:ilvl="0" w:tplc="A79CBFD8">
      <w:start w:val="3"/>
      <w:numFmt w:val="bullet"/>
      <w:lvlText w:val="*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ADF"/>
    <w:multiLevelType w:val="multilevel"/>
    <w:tmpl w:val="6AF0EB78"/>
    <w:lvl w:ilvl="0">
      <w:start w:val="5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8E4BE3"/>
    <w:multiLevelType w:val="hybridMultilevel"/>
    <w:tmpl w:val="EBDC1E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4F4A9D"/>
    <w:multiLevelType w:val="hybridMultilevel"/>
    <w:tmpl w:val="91284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A6C62"/>
    <w:multiLevelType w:val="hybridMultilevel"/>
    <w:tmpl w:val="997490CE"/>
    <w:lvl w:ilvl="0" w:tplc="ECAC243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4021E"/>
    <w:multiLevelType w:val="hybridMultilevel"/>
    <w:tmpl w:val="A10E00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D8"/>
    <w:rsid w:val="00055936"/>
    <w:rsid w:val="00094B4A"/>
    <w:rsid w:val="000C0AD8"/>
    <w:rsid w:val="000C430C"/>
    <w:rsid w:val="000D3001"/>
    <w:rsid w:val="000E133A"/>
    <w:rsid w:val="000E71FF"/>
    <w:rsid w:val="001111FE"/>
    <w:rsid w:val="001404D2"/>
    <w:rsid w:val="00145267"/>
    <w:rsid w:val="00161C46"/>
    <w:rsid w:val="0017116B"/>
    <w:rsid w:val="00181300"/>
    <w:rsid w:val="00181BA5"/>
    <w:rsid w:val="00181F0E"/>
    <w:rsid w:val="0018704B"/>
    <w:rsid w:val="0018773D"/>
    <w:rsid w:val="00194290"/>
    <w:rsid w:val="001E08D4"/>
    <w:rsid w:val="002214D9"/>
    <w:rsid w:val="002412D4"/>
    <w:rsid w:val="00243204"/>
    <w:rsid w:val="002479DA"/>
    <w:rsid w:val="00262BFA"/>
    <w:rsid w:val="002778BE"/>
    <w:rsid w:val="00283668"/>
    <w:rsid w:val="002A019E"/>
    <w:rsid w:val="002E7C63"/>
    <w:rsid w:val="002E7DCC"/>
    <w:rsid w:val="002F2492"/>
    <w:rsid w:val="00311C10"/>
    <w:rsid w:val="003256D3"/>
    <w:rsid w:val="00326465"/>
    <w:rsid w:val="00363870"/>
    <w:rsid w:val="00385546"/>
    <w:rsid w:val="003A4449"/>
    <w:rsid w:val="003D0F09"/>
    <w:rsid w:val="00410192"/>
    <w:rsid w:val="00433272"/>
    <w:rsid w:val="004339D1"/>
    <w:rsid w:val="0044041D"/>
    <w:rsid w:val="00463795"/>
    <w:rsid w:val="00475E9A"/>
    <w:rsid w:val="00476BA9"/>
    <w:rsid w:val="00476C2D"/>
    <w:rsid w:val="004805E3"/>
    <w:rsid w:val="00480ABF"/>
    <w:rsid w:val="00491550"/>
    <w:rsid w:val="00496B61"/>
    <w:rsid w:val="004B2914"/>
    <w:rsid w:val="004B62E9"/>
    <w:rsid w:val="004D1824"/>
    <w:rsid w:val="004F1D6C"/>
    <w:rsid w:val="004F7C1A"/>
    <w:rsid w:val="00514948"/>
    <w:rsid w:val="0056669B"/>
    <w:rsid w:val="005A04E7"/>
    <w:rsid w:val="005B0CAF"/>
    <w:rsid w:val="005C10E6"/>
    <w:rsid w:val="005C2EE0"/>
    <w:rsid w:val="005D7F34"/>
    <w:rsid w:val="005F5B89"/>
    <w:rsid w:val="0068203E"/>
    <w:rsid w:val="006D5316"/>
    <w:rsid w:val="006F0BBB"/>
    <w:rsid w:val="006F101C"/>
    <w:rsid w:val="00722326"/>
    <w:rsid w:val="00756E61"/>
    <w:rsid w:val="007710C9"/>
    <w:rsid w:val="007A758D"/>
    <w:rsid w:val="007C38C8"/>
    <w:rsid w:val="007D4805"/>
    <w:rsid w:val="007E15A0"/>
    <w:rsid w:val="0080252E"/>
    <w:rsid w:val="00806D7A"/>
    <w:rsid w:val="00816843"/>
    <w:rsid w:val="008216C0"/>
    <w:rsid w:val="00857926"/>
    <w:rsid w:val="008604D2"/>
    <w:rsid w:val="0086765A"/>
    <w:rsid w:val="008768A8"/>
    <w:rsid w:val="00883079"/>
    <w:rsid w:val="008B1A0C"/>
    <w:rsid w:val="008C1AC4"/>
    <w:rsid w:val="008D5209"/>
    <w:rsid w:val="008E418C"/>
    <w:rsid w:val="008E5FDD"/>
    <w:rsid w:val="008E61B9"/>
    <w:rsid w:val="008F2664"/>
    <w:rsid w:val="008F38F8"/>
    <w:rsid w:val="00910716"/>
    <w:rsid w:val="00935358"/>
    <w:rsid w:val="00957CFA"/>
    <w:rsid w:val="00964218"/>
    <w:rsid w:val="009767CE"/>
    <w:rsid w:val="00982FD0"/>
    <w:rsid w:val="00984C61"/>
    <w:rsid w:val="009E5C8C"/>
    <w:rsid w:val="00A378D3"/>
    <w:rsid w:val="00A538BE"/>
    <w:rsid w:val="00A65D5F"/>
    <w:rsid w:val="00A710D8"/>
    <w:rsid w:val="00AA7C50"/>
    <w:rsid w:val="00AC3A94"/>
    <w:rsid w:val="00AD13D4"/>
    <w:rsid w:val="00AD3B27"/>
    <w:rsid w:val="00AF0722"/>
    <w:rsid w:val="00AF0C27"/>
    <w:rsid w:val="00B00189"/>
    <w:rsid w:val="00B6505B"/>
    <w:rsid w:val="00B956C5"/>
    <w:rsid w:val="00BA28BD"/>
    <w:rsid w:val="00BA34F8"/>
    <w:rsid w:val="00BB32CE"/>
    <w:rsid w:val="00BB79EB"/>
    <w:rsid w:val="00BF5A4D"/>
    <w:rsid w:val="00C013FD"/>
    <w:rsid w:val="00C07D15"/>
    <w:rsid w:val="00C52743"/>
    <w:rsid w:val="00C65B5A"/>
    <w:rsid w:val="00CF11C2"/>
    <w:rsid w:val="00D06372"/>
    <w:rsid w:val="00D14CBA"/>
    <w:rsid w:val="00D21691"/>
    <w:rsid w:val="00D35FDA"/>
    <w:rsid w:val="00D4565A"/>
    <w:rsid w:val="00D6521A"/>
    <w:rsid w:val="00D9457F"/>
    <w:rsid w:val="00DA0E05"/>
    <w:rsid w:val="00DA2B02"/>
    <w:rsid w:val="00DB395E"/>
    <w:rsid w:val="00DB7F32"/>
    <w:rsid w:val="00DC0094"/>
    <w:rsid w:val="00DE5F4A"/>
    <w:rsid w:val="00E26A16"/>
    <w:rsid w:val="00E55994"/>
    <w:rsid w:val="00E712D6"/>
    <w:rsid w:val="00E724E5"/>
    <w:rsid w:val="00ED2C0C"/>
    <w:rsid w:val="00ED2F2F"/>
    <w:rsid w:val="00EF0712"/>
    <w:rsid w:val="00EF3398"/>
    <w:rsid w:val="00F01B6A"/>
    <w:rsid w:val="00F1284F"/>
    <w:rsid w:val="00F12CB0"/>
    <w:rsid w:val="00F30DBF"/>
    <w:rsid w:val="00F3774D"/>
    <w:rsid w:val="00F37EC9"/>
    <w:rsid w:val="00F43968"/>
    <w:rsid w:val="00F82F05"/>
    <w:rsid w:val="00FB18CB"/>
    <w:rsid w:val="00FC1C85"/>
    <w:rsid w:val="00FD7252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2358"/>
  <w15:docId w15:val="{B4EB15AF-F46A-478F-9142-16C459F9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0C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3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32"/>
    <w:rPr>
      <w:rFonts w:ascii="Calibri" w:eastAsia="Calibri" w:hAnsi="Calibri" w:cs="Calibri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A6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2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99B3-EF34-4138-9A8D-A4DD0CD2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Lindsey</dc:creator>
  <cp:lastModifiedBy>Busey, Emily</cp:lastModifiedBy>
  <cp:revision>5</cp:revision>
  <dcterms:created xsi:type="dcterms:W3CDTF">2019-12-10T19:05:00Z</dcterms:created>
  <dcterms:modified xsi:type="dcterms:W3CDTF">2019-12-17T15:37:00Z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2019-01-25T00:00:00Z</vt:filetime>
  </property>
</Properties>
</file>