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EE" w:rsidRPr="004E399B" w:rsidRDefault="007D6260" w:rsidP="00B207EE">
      <w:pPr>
        <w:spacing w:after="80" w:line="240" w:lineRule="auto"/>
        <w:ind w:left="1530" w:right="-216" w:hanging="1530"/>
        <w:rPr>
          <w:rFonts w:ascii="Arial" w:eastAsiaTheme="minorEastAsia" w:hAnsi="Arial" w:cs="Arial"/>
          <w:bCs/>
          <w:kern w:val="24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S9</w:t>
      </w:r>
      <w:r w:rsidR="00B207EE" w:rsidRPr="004E399B">
        <w:rPr>
          <w:rFonts w:ascii="Arial" w:hAnsi="Arial" w:cs="Arial"/>
          <w:sz w:val="24"/>
          <w:szCs w:val="20"/>
        </w:rPr>
        <w:t xml:space="preserve"> Table</w:t>
      </w:r>
      <w:r w:rsidR="00B207EE" w:rsidRPr="004E399B">
        <w:rPr>
          <w:rFonts w:ascii="Arial" w:hAnsi="Arial" w:cs="Arial"/>
          <w:sz w:val="24"/>
          <w:szCs w:val="20"/>
        </w:rPr>
        <w:tab/>
        <w:t>Point-of-sales</w:t>
      </w:r>
      <w:r w:rsidR="004E399B">
        <w:rPr>
          <w:rFonts w:ascii="Arial" w:hAnsi="Arial" w:cs="Arial"/>
          <w:sz w:val="24"/>
          <w:szCs w:val="20"/>
        </w:rPr>
        <w:t xml:space="preserve"> mean</w:t>
      </w:r>
      <w:r w:rsidR="00B207EE" w:rsidRPr="004E399B">
        <w:rPr>
          <w:rFonts w:ascii="Arial" w:hAnsi="Arial" w:cs="Arial"/>
          <w:sz w:val="24"/>
          <w:szCs w:val="20"/>
        </w:rPr>
        <w:t xml:space="preserve"> sales-weighted</w:t>
      </w:r>
      <w:r w:rsidR="00B207EE" w:rsidRPr="004E399B">
        <w:rPr>
          <w:rFonts w:ascii="Arial" w:hAnsi="Arial" w:cs="Arial"/>
          <w:sz w:val="24"/>
          <w:szCs w:val="20"/>
          <w:vertAlign w:val="superscript"/>
        </w:rPr>
        <w:t>‡</w:t>
      </w:r>
      <w:r w:rsidR="00B207EE" w:rsidRPr="004E399B">
        <w:rPr>
          <w:rFonts w:ascii="Arial" w:hAnsi="Arial" w:cs="Arial"/>
          <w:sz w:val="24"/>
          <w:szCs w:val="20"/>
        </w:rPr>
        <w:t xml:space="preserve"> differences in beverage</w:t>
      </w:r>
      <w:r w:rsidR="00B207EE" w:rsidRPr="004E399B">
        <w:rPr>
          <w:rFonts w:ascii="Arial" w:eastAsiaTheme="minorEastAsia" w:hAnsi="Arial" w:cs="Arial"/>
          <w:bCs/>
          <w:kern w:val="24"/>
          <w:sz w:val="24"/>
          <w:szCs w:val="20"/>
        </w:rPr>
        <w:t xml:space="preserve"> prices (cents/</w:t>
      </w:r>
      <w:proofErr w:type="spellStart"/>
      <w:r w:rsidR="00B207EE" w:rsidRPr="004E399B">
        <w:rPr>
          <w:rFonts w:ascii="Arial" w:eastAsiaTheme="minorEastAsia" w:hAnsi="Arial" w:cs="Arial"/>
          <w:bCs/>
          <w:kern w:val="24"/>
          <w:sz w:val="24"/>
          <w:szCs w:val="20"/>
        </w:rPr>
        <w:t>oz</w:t>
      </w:r>
      <w:proofErr w:type="spellEnd"/>
      <w:r w:rsidR="00B207EE" w:rsidRPr="004E399B">
        <w:rPr>
          <w:rFonts w:ascii="Arial" w:eastAsiaTheme="minorEastAsia" w:hAnsi="Arial" w:cs="Arial"/>
          <w:bCs/>
          <w:kern w:val="24"/>
          <w:sz w:val="24"/>
          <w:szCs w:val="20"/>
        </w:rPr>
        <w:t>) in Berkeley vs non-Berkeley stores by beverage groups from Fixed Effects models, mean (95% confidence intervals</w:t>
      </w:r>
      <w:r w:rsidR="004E399B">
        <w:rPr>
          <w:rFonts w:ascii="Arial" w:eastAsiaTheme="minorEastAsia" w:hAnsi="Arial" w:cs="Arial"/>
          <w:bCs/>
          <w:kern w:val="24"/>
          <w:sz w:val="24"/>
          <w:szCs w:val="20"/>
        </w:rPr>
        <w:t>)</w:t>
      </w:r>
    </w:p>
    <w:p w:rsidR="00B207EE" w:rsidRPr="005D5116" w:rsidRDefault="00B207EE" w:rsidP="00B207EE">
      <w:pPr>
        <w:spacing w:after="0" w:line="240" w:lineRule="auto"/>
        <w:ind w:right="-216"/>
        <w:rPr>
          <w:rFonts w:ascii="Arial" w:eastAsiaTheme="minorEastAsia" w:hAnsi="Arial" w:cs="Arial"/>
          <w:bCs/>
          <w:color w:val="FF0000"/>
          <w:kern w:val="24"/>
          <w:sz w:val="20"/>
          <w:szCs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980"/>
        <w:gridCol w:w="1440"/>
        <w:gridCol w:w="1440"/>
        <w:gridCol w:w="1350"/>
        <w:gridCol w:w="1440"/>
        <w:gridCol w:w="1350"/>
        <w:gridCol w:w="1440"/>
      </w:tblGrid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All beverages included in study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Beverages (N=1,011)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Beverages (N=1,685)</w:t>
            </w:r>
          </w:p>
        </w:tc>
      </w:tr>
      <w:tr w:rsidR="00B207EE" w:rsidRPr="005D5116" w:rsidTr="00C468C9">
        <w:trPr>
          <w:trHeight w:val="351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(7.54, 8.09)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(7.94, 8.37)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(-0.71, 0.02)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(5.24, 5.51)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(5.28, 5.59)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(-0.24, 0.12)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-0.53**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-0.05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(8.12, 8.51)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(8.72, 8.96)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(-0.75, -0.31)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(5.67, 6.08)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(5.82, 6.02)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(-0.35, 0.26)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(9.20, 9.84)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(9.10, 9.69)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(-0.37, 0.62)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(5.62, 6.43)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(5.77, 6.27)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(-0.58, 0.59)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Absolute Difference </w:t>
            </w:r>
          </w:p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1.21**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0.56**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0.65**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0.15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0.10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0.05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p=0.74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(0.96, 1.46)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(0.21, 0.90)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(0.23, 1.07)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(-0.08, 0.38)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(-0.10, 0.30)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(-0.25, 0.35)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Sodas &amp; energy drinks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(N=337)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(N=337)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(7.07, 8.06)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(7.20, 7.72)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(-0.50, 0.71)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(4.54, 5.29)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(4.91, 5.52)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(-0.94, 0.34)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(7.09, 8.45)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(7.38, 8.21)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(-1.04, 0.99)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(4.79, 5.42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(5.20, 5.63)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(-0.80, 0.17)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(8.55, 9.62)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(7.63, 8.22)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(0.35, 1.97)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(4.69, 5.42)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(4.97, 5.36)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(-0.55, 0.33)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Absolute Difference </w:t>
            </w:r>
          </w:p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1.32**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0.13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1.19**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-0.05 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-0.25 ** p=0.006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0.20*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p=0.05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(1.02, 1.61)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(-0.15, 0.42)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(0.77, 1.61)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(-0.15, 0.06)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(-0.43, -0.07)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(-0.0004, 0.41)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Fruit, vegetable and tea drinks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(N=337)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(N=337)</w:t>
            </w:r>
          </w:p>
        </w:tc>
      </w:tr>
      <w:tr w:rsidR="00B207EE" w:rsidRPr="005D5116" w:rsidTr="00C468C9">
        <w:trPr>
          <w:trHeight w:val="341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(6.59, 7.76)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(6.99, 7.82)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(-0.71, 0.25)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(7.65, 8.35)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(7.82, 8.15)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(-0.42, 0.44)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(7.32, 8.53)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(7.71, 8.26)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(-0.94, 0.81)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(8.44, 9.13)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(8.41, 8.76)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(-0.32, 0.72)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(7.38, 9.68)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(7.72, 8.77)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(-1.26, 1.82)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(8.23, 9.40)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(8.62, 9.33)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(-1.04, 0.711)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Absolute Difference </w:t>
            </w:r>
          </w:p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0.60 * (p=0.048)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0.26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0.34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0.03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0.39** p=0.001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-0.36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p=0.09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(0.01, 1.20)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(-0.10, 0.62)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(-0.35, 1.04)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(-0.32, 0.38)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(0.16, 0.62)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(-0.79, 0.06)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Flavored milk or substitute beverages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(N=337)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(N=337)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-0.9**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(8.19, 9.21)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(9.02, 10.18)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(-1.41, -0.39)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(7.14, 8.33)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(7.45, 8.16)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(-0.80, 0.67)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-1.49**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-0.36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(8.54, 9.95)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(10.17, 11.31)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(-2.57, -0.41)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(7.87, 9.19)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(8.47, 9.31)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(-1.43, 0.70)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(10.18, 11.73)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(11.21, 12.82)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(-2.42, 0.29)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(7.99, 10.62)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(8.54, 9.91)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(-1.80, 1.96)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Absolute Difference (</w:t>
            </w:r>
            <w:proofErr w:type="spellStart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1.71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1.28*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0.43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0.77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0.33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0.44 </w:t>
            </w:r>
          </w:p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p=0.34</w:t>
            </w:r>
          </w:p>
        </w:tc>
      </w:tr>
      <w:tr w:rsidR="00B207EE" w:rsidRPr="005D51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(0.85, 2.56)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(0.25, 2.31)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(-0.89, 1.75)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(-0.04, 1.59)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(-0.08, 0.75)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D51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(-0.47, 1.35)</w:t>
            </w:r>
          </w:p>
        </w:tc>
      </w:tr>
      <w:tr w:rsidR="00B207EE" w:rsidRPr="005A4216" w:rsidTr="00C468C9">
        <w:trPr>
          <w:trHeight w:val="288"/>
        </w:trPr>
        <w:tc>
          <w:tcPr>
            <w:tcW w:w="1044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07EE" w:rsidRPr="005A4216" w:rsidRDefault="00EA051B" w:rsidP="007D6260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lastRenderedPageBreak/>
              <w:t>S</w:t>
            </w:r>
            <w:r w:rsidR="007D6260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="00B207E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</w:t>
            </w:r>
            <w:r w:rsidR="00B207EE" w:rsidRPr="005A4216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Table</w:t>
            </w:r>
            <w:bookmarkStart w:id="0" w:name="_GoBack"/>
            <w:bookmarkEnd w:id="0"/>
            <w:r w:rsidR="00B207EE" w:rsidRPr="005A4216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continued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Plain waters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taxed plain waters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Untaxed (N=337)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Diff (B-NB)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Pre-tax period 1: March-Dec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1.91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1.86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(1.78, 2.03)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(1.70, 2.01)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(-0.04, 0.14)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Pre-tax period 2: March-Dec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2.12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1.98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(1.84, 2.40)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(1.81, 2.16)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(-0.27, 0.55)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 xml:space="preserve">Post-tax period: </w:t>
            </w:r>
          </w:p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March-Dec 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(1.85, 2.36)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(1.92, 2.21)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(-0.34, 0.41)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Absolute Difference </w:t>
            </w:r>
          </w:p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Posttax</w:t>
            </w:r>
            <w:proofErr w:type="spellEnd"/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- Pretax2)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-0.02  </w:t>
            </w:r>
          </w:p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p=0.76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0.08  </w:t>
            </w:r>
          </w:p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p=0.07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-0.10  </w:t>
            </w:r>
          </w:p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p=0.16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(-0.12, 0.09)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(-0.007, 0.17)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(-0.24, 0.04)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Plain milks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taxed plain milks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Untaxed (N=337)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Diff (B-NB)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Pre-tax period 1: March-Dec 2013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4.31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4.3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(4.16, 4.47)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(4.17, 4.44)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(-0.17, 0.19)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Pre-tax period 2: March-Dec 2014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4.83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4.73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(4.64, 5.03)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(4.60, 4.86)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(-0.16, 0.37)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 xml:space="preserve">Post-tax period: </w:t>
            </w:r>
          </w:p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March-Dec 2015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4.85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4.66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(4.29, 5.41)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(4.32, 5.01)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(-0.62, 0.99)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Absolute Difference </w:t>
            </w:r>
          </w:p>
          <w:p w:rsidR="00B207EE" w:rsidRPr="005A4216" w:rsidRDefault="00B207EE" w:rsidP="00C468C9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Posttax</w:t>
            </w:r>
            <w:proofErr w:type="spellEnd"/>
            <w:r w:rsidRPr="005A42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- Pretax2)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0.02  </w:t>
            </w:r>
          </w:p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p=0.94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-0.06  </w:t>
            </w:r>
          </w:p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p=0.75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0.08 </w:t>
            </w:r>
          </w:p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p=0.79</w:t>
            </w:r>
          </w:p>
        </w:tc>
      </w:tr>
      <w:tr w:rsidR="00B207EE" w:rsidRPr="005A4216" w:rsidTr="00C468C9">
        <w:trPr>
          <w:trHeight w:val="288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(-0.41, 0.45)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(-0.45, 0.32)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07EE" w:rsidRPr="005A4216" w:rsidRDefault="00B207E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A42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(-0.50, 0.66)</w:t>
            </w:r>
          </w:p>
        </w:tc>
      </w:tr>
    </w:tbl>
    <w:p w:rsidR="00B207EE" w:rsidRPr="005A4216" w:rsidRDefault="00B207EE" w:rsidP="00B207EE">
      <w:pPr>
        <w:spacing w:after="0" w:line="240" w:lineRule="auto"/>
        <w:ind w:left="1080" w:right="-216" w:hanging="1080"/>
        <w:rPr>
          <w:rFonts w:ascii="Arial" w:eastAsiaTheme="minorEastAsia" w:hAnsi="Arial" w:cs="Arial"/>
          <w:bCs/>
          <w:kern w:val="24"/>
          <w:sz w:val="20"/>
          <w:szCs w:val="20"/>
        </w:rPr>
      </w:pPr>
    </w:p>
    <w:p w:rsidR="00B207EE" w:rsidRPr="00EA051B" w:rsidRDefault="00B207EE" w:rsidP="00B207EE">
      <w:pPr>
        <w:pStyle w:val="PlainText"/>
        <w:ind w:left="720" w:right="-36" w:hanging="720"/>
        <w:rPr>
          <w:rFonts w:ascii="Arial" w:hAnsi="Arial" w:cs="Arial"/>
          <w:sz w:val="18"/>
          <w:szCs w:val="20"/>
        </w:rPr>
      </w:pPr>
      <w:r w:rsidRPr="00EA051B">
        <w:rPr>
          <w:rFonts w:ascii="Arial" w:hAnsi="Arial" w:cs="Arial"/>
          <w:sz w:val="18"/>
          <w:szCs w:val="20"/>
        </w:rPr>
        <w:t>Notes:</w:t>
      </w:r>
      <w:r w:rsidRPr="00EA051B">
        <w:rPr>
          <w:rFonts w:ascii="Arial" w:hAnsi="Arial" w:cs="Arial"/>
          <w:sz w:val="18"/>
          <w:szCs w:val="20"/>
        </w:rPr>
        <w:tab/>
      </w:r>
      <w:r w:rsidRPr="00EA051B">
        <w:rPr>
          <w:rFonts w:ascii="Arial" w:hAnsi="Arial" w:cs="Arial"/>
          <w:b/>
          <w:sz w:val="18"/>
          <w:szCs w:val="20"/>
          <w:vertAlign w:val="superscript"/>
        </w:rPr>
        <w:t xml:space="preserve">‡ </w:t>
      </w:r>
      <w:r w:rsidRPr="00EA051B">
        <w:rPr>
          <w:rFonts w:ascii="Arial" w:hAnsi="Arial" w:cs="Arial"/>
          <w:sz w:val="18"/>
          <w:szCs w:val="20"/>
        </w:rPr>
        <w:t xml:space="preserve">Every barcode is weighted by their popularity (market share); N is the sample size of </w:t>
      </w:r>
      <w:r w:rsidRPr="00EA051B">
        <w:rPr>
          <w:rFonts w:ascii="Arial" w:eastAsia="Times New Roman" w:hAnsi="Arial" w:cs="Arial"/>
          <w:bCs/>
          <w:kern w:val="24"/>
          <w:sz w:val="18"/>
          <w:szCs w:val="20"/>
        </w:rPr>
        <w:t xml:space="preserve"># of beverage categories sold from the nine stores per month in the POS data. </w:t>
      </w:r>
      <w:r w:rsidRPr="00EA051B">
        <w:rPr>
          <w:rFonts w:ascii="Arial" w:hAnsi="Arial" w:cs="Arial"/>
          <w:sz w:val="18"/>
          <w:szCs w:val="20"/>
        </w:rPr>
        <w:t xml:space="preserve"> Fixed Effects models account for the month-year (indicator variables), store located in Berkeley, interaction of Berkeley store and month-year, and an indicator variable of under-reported sales data from store in particular month. Prices account for inflation over time.</w:t>
      </w:r>
    </w:p>
    <w:p w:rsidR="00B207EE" w:rsidRPr="00EA051B" w:rsidRDefault="00B207EE" w:rsidP="00B207EE">
      <w:pPr>
        <w:pStyle w:val="PlainText"/>
        <w:ind w:left="720" w:right="-36"/>
        <w:rPr>
          <w:rFonts w:ascii="Arial" w:hAnsi="Arial" w:cs="Arial"/>
          <w:sz w:val="18"/>
          <w:szCs w:val="20"/>
        </w:rPr>
      </w:pPr>
      <w:r w:rsidRPr="00EA051B">
        <w:rPr>
          <w:rFonts w:ascii="Arial" w:hAnsi="Arial" w:cs="Arial"/>
          <w:sz w:val="18"/>
          <w:szCs w:val="20"/>
        </w:rPr>
        <w:t xml:space="preserve">B=Berkeley; NB=non-Berkeley. </w:t>
      </w:r>
    </w:p>
    <w:p w:rsidR="00B207EE" w:rsidRPr="00EA051B" w:rsidRDefault="00B207EE" w:rsidP="00B207EE">
      <w:pPr>
        <w:pStyle w:val="PlainText"/>
        <w:ind w:left="720" w:right="-36"/>
        <w:rPr>
          <w:rFonts w:ascii="Arial" w:hAnsi="Arial" w:cs="Arial"/>
          <w:sz w:val="18"/>
          <w:szCs w:val="20"/>
        </w:rPr>
      </w:pPr>
      <w:r w:rsidRPr="00EA051B">
        <w:rPr>
          <w:rFonts w:ascii="Arial" w:hAnsi="Arial" w:cs="Arial"/>
          <w:sz w:val="18"/>
          <w:szCs w:val="20"/>
        </w:rPr>
        <w:t>Jan-Feb of every year was excluded in the price comparisons due to the ambiguous period of Jan-Feb 2015 when the tax implementation was unclear since the original implementation date of Jan 1, 2015 was moved to March 1, 2015.</w:t>
      </w:r>
    </w:p>
    <w:p w:rsidR="00B207EE" w:rsidRPr="00EA051B" w:rsidRDefault="00B207EE" w:rsidP="00EA051B">
      <w:pPr>
        <w:pStyle w:val="PlainText"/>
        <w:ind w:left="720" w:right="-36"/>
        <w:rPr>
          <w:rFonts w:ascii="Arial" w:eastAsia="Times New Roman" w:hAnsi="Arial" w:cs="Arial"/>
          <w:bCs/>
          <w:kern w:val="24"/>
          <w:sz w:val="18"/>
          <w:szCs w:val="20"/>
        </w:rPr>
      </w:pPr>
      <w:r w:rsidRPr="00EA051B">
        <w:rPr>
          <w:rFonts w:ascii="Arial" w:hAnsi="Arial" w:cs="Arial"/>
          <w:sz w:val="18"/>
          <w:szCs w:val="20"/>
        </w:rPr>
        <w:t>** denotes statistical significant difference between mean prices in the post-tax period (March-Dec 2016) from pre-tax period 2 (March-Dec 2014) at p&lt;0.01, * denotes statistical significant difference between mean prices in the post-tax period (March-Dec 2016) from pre-tax period 2 (March-Dec 2014) at p&lt;0.05.</w:t>
      </w:r>
    </w:p>
    <w:p w:rsidR="00B207EE" w:rsidRPr="00EA051B" w:rsidRDefault="00B207EE" w:rsidP="00B207EE">
      <w:pPr>
        <w:pStyle w:val="PlainText"/>
        <w:ind w:right="-36"/>
        <w:rPr>
          <w:rFonts w:ascii="Arial" w:hAnsi="Arial" w:cs="Arial"/>
          <w:sz w:val="18"/>
          <w:szCs w:val="20"/>
        </w:rPr>
        <w:sectPr w:rsidR="00B207EE" w:rsidRPr="00EA051B" w:rsidSect="00EA051B">
          <w:pgSz w:w="12240" w:h="15840"/>
          <w:pgMar w:top="1008" w:right="864" w:bottom="864" w:left="864" w:header="720" w:footer="720" w:gutter="0"/>
          <w:cols w:space="720"/>
          <w:docGrid w:linePitch="360"/>
        </w:sectPr>
      </w:pPr>
      <w:r w:rsidRPr="00EA051B">
        <w:rPr>
          <w:rFonts w:ascii="Arial" w:hAnsi="Arial" w:cs="Arial"/>
          <w:sz w:val="18"/>
          <w:szCs w:val="20"/>
        </w:rPr>
        <w:t>Source:</w:t>
      </w:r>
      <w:r w:rsidRPr="00EA051B">
        <w:rPr>
          <w:rFonts w:ascii="Arial" w:hAnsi="Arial" w:cs="Arial"/>
          <w:sz w:val="18"/>
          <w:szCs w:val="20"/>
        </w:rPr>
        <w:tab/>
        <w:t>PHI Point-of-sales data from two chains of large supermarkets in the Bay Area.</w:t>
      </w:r>
    </w:p>
    <w:p w:rsidR="007727F6" w:rsidRDefault="007D6260"/>
    <w:sectPr w:rsidR="007727F6" w:rsidSect="00B20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E"/>
    <w:rsid w:val="004E399B"/>
    <w:rsid w:val="004E4DF1"/>
    <w:rsid w:val="007D6260"/>
    <w:rsid w:val="00B207EE"/>
    <w:rsid w:val="00D0395C"/>
    <w:rsid w:val="00E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B223A-F496-4208-A004-B1D160DF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07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07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Dancy, Frances</cp:lastModifiedBy>
  <cp:revision>4</cp:revision>
  <dcterms:created xsi:type="dcterms:W3CDTF">2017-02-17T20:35:00Z</dcterms:created>
  <dcterms:modified xsi:type="dcterms:W3CDTF">2017-03-02T20:33:00Z</dcterms:modified>
</cp:coreProperties>
</file>