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C17E15" w:rsidRDefault="00FE7DC6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1"/>
      <w:proofErr w:type="gramStart"/>
      <w:r>
        <w:rPr>
          <w:rFonts w:ascii="Times New Roman" w:hAnsi="Times New Roman" w:cs="Times New Roman"/>
          <w:b/>
          <w:sz w:val="24"/>
          <w:szCs w:val="24"/>
        </w:rPr>
        <w:t>S1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End w:id="0"/>
      <w:r w:rsidR="00474D64" w:rsidRPr="00C17E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 Characteristics of the cohorts included in the genome-wide meta-analysis of branched chain amino acid levels.</w:t>
      </w:r>
    </w:p>
    <w:p w:rsidR="00474D64" w:rsidRPr="00C17E15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26"/>
        <w:gridCol w:w="1911"/>
      </w:tblGrid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Fenland GWAS  chip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Fenland UKBB chip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KORA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Twins UK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2A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Participants</w:t>
            </w:r>
            <w:r w:rsidR="002A7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included in the GWAS</w:t>
            </w:r>
            <w:bookmarkStart w:id="1" w:name="_GoBack"/>
            <w:bookmarkEnd w:id="1"/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N 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(945)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8292 (8292)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 (1763)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6056 (5596)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Age, mean years (SD)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(7)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(7)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(9)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(14)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sex, N (%)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(57)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4364 (53)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(51)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 (93)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Genotyping chip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Affymetrix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genome-Wide Human SNP Array 5.0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Affymetrix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UK Biobank Axiom Array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Affymetrix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GeneChip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array 6.0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Illumina HumanHap300, HumanHap610Q, HumanHap1M and HumanHap1.2MDuo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Imputation panel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sz w:val="20"/>
                <w:szCs w:val="20"/>
              </w:rPr>
              <w:t>1000 Genomes              Phase 1 v3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sz w:val="20"/>
                <w:szCs w:val="20"/>
              </w:rPr>
              <w:t>1000 Genomes              Phase 3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474D64" w:rsidRPr="00C17E15" w:rsidTr="000B07A6"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Metabolomics platform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FIA-MS/MS and LC-MS/MS / </w:t>
            </w: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AbsoluteIDQ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Biocrates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p180 Kit</w:t>
            </w:r>
          </w:p>
        </w:tc>
        <w:tc>
          <w:tcPr>
            <w:tcW w:w="1835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FIA-MS/MS and LC-MS/MS / </w:t>
            </w: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AbsoluteIDQ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Biocrates</w:t>
            </w:r>
            <w:proofErr w:type="spellEnd"/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p180 Kit</w:t>
            </w:r>
          </w:p>
        </w:tc>
        <w:tc>
          <w:tcPr>
            <w:tcW w:w="1826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GC-MS and UPLC-MS/MS / Metabolon Inc. platform</w:t>
            </w:r>
          </w:p>
        </w:tc>
        <w:tc>
          <w:tcPr>
            <w:tcW w:w="191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GC-MS and UPLC-MS/MS / Metabolon Inc. platform</w:t>
            </w:r>
          </w:p>
        </w:tc>
      </w:tr>
    </w:tbl>
    <w:p w:rsidR="00474D64" w:rsidRPr="00C17E15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7E15">
        <w:rPr>
          <w:rFonts w:ascii="Times New Roman" w:hAnsi="Times New Roman" w:cs="Times New Roman"/>
          <w:sz w:val="18"/>
          <w:szCs w:val="24"/>
        </w:rPr>
        <w:t>Abbreviations: N, number of participants; SD, standard deviation; GWAS, genome-wide association study; FIA, flow injection analysis; MS/MS tandem mass spectrometry; LC, liquid chromatography; GC, gas chromatography; UPLC, ultra-performance liquid chromatography.</w:t>
      </w:r>
    </w:p>
    <w:p w:rsidR="000B07A6" w:rsidRDefault="00FE7DC6" w:rsidP="00FE7DC6">
      <w:pPr>
        <w:spacing w:after="0" w:line="240" w:lineRule="auto"/>
        <w:jc w:val="both"/>
      </w:pPr>
      <w:r>
        <w:t xml:space="preserve"> </w:t>
      </w:r>
    </w:p>
    <w:sectPr w:rsidR="000B07A6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A74A3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986B86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56CE6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E7DC6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5</cp:revision>
  <cp:lastPrinted>2016-08-19T12:36:00Z</cp:lastPrinted>
  <dcterms:created xsi:type="dcterms:W3CDTF">2016-10-06T10:06:00Z</dcterms:created>
  <dcterms:modified xsi:type="dcterms:W3CDTF">2016-10-07T16:59:00Z</dcterms:modified>
</cp:coreProperties>
</file>