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EA5B" w14:textId="7B8A8C9E" w:rsidR="00C022C5" w:rsidRPr="00273148" w:rsidRDefault="009E2F5A" w:rsidP="00273148">
      <w:pPr>
        <w:tabs>
          <w:tab w:val="left" w:pos="1800"/>
          <w:tab w:val="left" w:pos="5850"/>
        </w:tabs>
        <w:jc w:val="both"/>
        <w:rPr>
          <w:rFonts w:ascii="Century Schoolbook" w:hAnsi="Century Schoolbook"/>
          <w:b/>
          <w:sz w:val="22"/>
          <w:szCs w:val="22"/>
        </w:rPr>
      </w:pPr>
      <w:bookmarkStart w:id="0" w:name="_GoBack"/>
      <w:r>
        <w:rPr>
          <w:rFonts w:ascii="Century Schoolbook" w:hAnsi="Century Schoolbook"/>
          <w:b/>
          <w:sz w:val="22"/>
          <w:szCs w:val="22"/>
        </w:rPr>
        <w:t>S3 TEXT. Analysis history</w:t>
      </w:r>
    </w:p>
    <w:bookmarkEnd w:id="0"/>
    <w:p w14:paraId="2DC8610C" w14:textId="413F6168" w:rsidR="00C022C5" w:rsidRPr="00273148" w:rsidRDefault="00BA379B" w:rsidP="00273148">
      <w:pPr>
        <w:tabs>
          <w:tab w:val="left" w:pos="1280"/>
          <w:tab w:val="left" w:pos="1800"/>
        </w:tabs>
        <w:jc w:val="both"/>
        <w:rPr>
          <w:rFonts w:ascii="Century Schoolbook" w:hAnsi="Century Schoolbook"/>
          <w:sz w:val="22"/>
          <w:szCs w:val="22"/>
        </w:rPr>
      </w:pPr>
      <w:r w:rsidRPr="00273148">
        <w:rPr>
          <w:rFonts w:ascii="Century Schoolbook" w:hAnsi="Century Schoolbook"/>
          <w:sz w:val="22"/>
          <w:szCs w:val="22"/>
        </w:rPr>
        <w:tab/>
      </w:r>
    </w:p>
    <w:p w14:paraId="70CEBB41" w14:textId="04E9FEE3" w:rsidR="00916097" w:rsidRPr="00273148" w:rsidRDefault="00902067" w:rsidP="00273148">
      <w:pPr>
        <w:tabs>
          <w:tab w:val="left" w:pos="1800"/>
          <w:tab w:val="left" w:pos="5850"/>
        </w:tabs>
        <w:jc w:val="both"/>
        <w:rPr>
          <w:rFonts w:ascii="Century Schoolbook" w:hAnsi="Century Schoolbook"/>
          <w:sz w:val="22"/>
          <w:szCs w:val="22"/>
        </w:rPr>
      </w:pPr>
      <w:r w:rsidRPr="00273148">
        <w:rPr>
          <w:rFonts w:ascii="Century Schoolbook" w:hAnsi="Century Schoolbook"/>
          <w:sz w:val="22"/>
          <w:szCs w:val="22"/>
        </w:rPr>
        <w:t xml:space="preserve">This </w:t>
      </w:r>
      <w:r w:rsidR="00C022C5" w:rsidRPr="00273148">
        <w:rPr>
          <w:rFonts w:ascii="Century Schoolbook" w:hAnsi="Century Schoolbook"/>
          <w:sz w:val="22"/>
          <w:szCs w:val="22"/>
        </w:rPr>
        <w:t xml:space="preserve">study </w:t>
      </w:r>
      <w:r w:rsidRPr="00273148">
        <w:rPr>
          <w:rFonts w:ascii="Century Schoolbook" w:hAnsi="Century Schoolbook"/>
          <w:sz w:val="22"/>
          <w:szCs w:val="22"/>
        </w:rPr>
        <w:t xml:space="preserve">is part of a larger program of work focused on estimating the impact of social policies on health outcomes prioritized by the United Nations Millennium Development Goals (further information available at </w:t>
      </w:r>
      <w:hyperlink r:id="rId8" w:history="1">
        <w:r w:rsidRPr="00273148">
          <w:rPr>
            <w:rStyle w:val="Hyperlink"/>
            <w:rFonts w:ascii="Century Schoolbook" w:hAnsi="Century Schoolbook"/>
            <w:sz w:val="22"/>
            <w:szCs w:val="22"/>
          </w:rPr>
          <w:t>http://machequity.com/</w:t>
        </w:r>
      </w:hyperlink>
      <w:r w:rsidRPr="00273148">
        <w:rPr>
          <w:rFonts w:ascii="Century Schoolbook" w:hAnsi="Century Schoolbook"/>
          <w:sz w:val="22"/>
          <w:szCs w:val="22"/>
        </w:rPr>
        <w:t xml:space="preserve">).  This research is based on </w:t>
      </w:r>
      <w:r w:rsidR="00C022C5" w:rsidRPr="00273148">
        <w:rPr>
          <w:rFonts w:ascii="Century Schoolbook" w:hAnsi="Century Schoolbook"/>
          <w:sz w:val="22"/>
          <w:szCs w:val="22"/>
        </w:rPr>
        <w:t xml:space="preserve">the </w:t>
      </w:r>
      <w:r w:rsidRPr="00273148">
        <w:rPr>
          <w:rFonts w:ascii="Century Schoolbook" w:hAnsi="Century Schoolbook"/>
          <w:sz w:val="22"/>
          <w:szCs w:val="22"/>
        </w:rPr>
        <w:t xml:space="preserve">analysis of secondary, de-identified data. </w:t>
      </w:r>
      <w:r w:rsidR="00BA379B" w:rsidRPr="00273148">
        <w:rPr>
          <w:rFonts w:ascii="Century Schoolbook" w:hAnsi="Century Schoolbook"/>
          <w:sz w:val="22"/>
          <w:szCs w:val="22"/>
        </w:rPr>
        <w:t>The Institution Review Board of McGill University’s Faculty of Medicine provided ethics approval</w:t>
      </w:r>
      <w:r w:rsidR="00916097" w:rsidRPr="00273148">
        <w:rPr>
          <w:rFonts w:ascii="Century Schoolbook" w:hAnsi="Century Schoolbook"/>
          <w:sz w:val="22"/>
          <w:szCs w:val="22"/>
        </w:rPr>
        <w:t xml:space="preserve">. </w:t>
      </w:r>
      <w:r w:rsidR="00BA379B" w:rsidRPr="00273148">
        <w:rPr>
          <w:rFonts w:ascii="Century Schoolbook" w:hAnsi="Century Schoolbook"/>
          <w:sz w:val="22"/>
          <w:szCs w:val="22"/>
        </w:rPr>
        <w:t xml:space="preserve">A summary of </w:t>
      </w:r>
      <w:r w:rsidR="00916097" w:rsidRPr="00273148">
        <w:rPr>
          <w:rFonts w:ascii="Century Schoolbook" w:hAnsi="Century Schoolbook"/>
          <w:sz w:val="22"/>
          <w:szCs w:val="22"/>
        </w:rPr>
        <w:t xml:space="preserve">our overall </w:t>
      </w:r>
      <w:r w:rsidR="00BA379B" w:rsidRPr="00273148">
        <w:rPr>
          <w:rFonts w:ascii="Century Schoolbook" w:hAnsi="Century Schoolbook"/>
          <w:sz w:val="22"/>
          <w:szCs w:val="22"/>
        </w:rPr>
        <w:t xml:space="preserve">research objective was also submitted to </w:t>
      </w:r>
      <w:r w:rsidR="00916097" w:rsidRPr="00273148">
        <w:rPr>
          <w:rFonts w:ascii="Century Schoolbook" w:hAnsi="Century Schoolbook"/>
          <w:sz w:val="22"/>
          <w:szCs w:val="22"/>
        </w:rPr>
        <w:t xml:space="preserve">Measure DHS </w:t>
      </w:r>
      <w:r w:rsidR="00A543A3" w:rsidRPr="00273148">
        <w:rPr>
          <w:rFonts w:ascii="Century Schoolbook" w:hAnsi="Century Schoolbook"/>
          <w:sz w:val="22"/>
          <w:szCs w:val="22"/>
        </w:rPr>
        <w:t>(</w:t>
      </w:r>
      <w:hyperlink r:id="rId9" w:history="1">
        <w:r w:rsidR="00A543A3" w:rsidRPr="00273148">
          <w:rPr>
            <w:rStyle w:val="Hyperlink"/>
            <w:rFonts w:ascii="Century Schoolbook" w:hAnsi="Century Schoolbook"/>
            <w:sz w:val="22"/>
            <w:szCs w:val="22"/>
          </w:rPr>
          <w:t>http://www.dhsprogram.com/</w:t>
        </w:r>
      </w:hyperlink>
      <w:r w:rsidR="00A543A3" w:rsidRPr="00273148">
        <w:rPr>
          <w:rFonts w:ascii="Century Schoolbook" w:hAnsi="Century Schoolbook"/>
          <w:sz w:val="22"/>
          <w:szCs w:val="22"/>
        </w:rPr>
        <w:t xml:space="preserve">) </w:t>
      </w:r>
      <w:r w:rsidR="00916097" w:rsidRPr="00273148">
        <w:rPr>
          <w:rFonts w:ascii="Century Schoolbook" w:hAnsi="Century Schoolbook"/>
          <w:sz w:val="22"/>
          <w:szCs w:val="22"/>
        </w:rPr>
        <w:t xml:space="preserve">in order to gain access to </w:t>
      </w:r>
      <w:r w:rsidR="00BA379B" w:rsidRPr="00273148">
        <w:rPr>
          <w:rFonts w:ascii="Century Schoolbook" w:hAnsi="Century Schoolbook"/>
          <w:sz w:val="22"/>
          <w:szCs w:val="22"/>
        </w:rPr>
        <w:t xml:space="preserve">Demographic and Health Survey </w:t>
      </w:r>
      <w:r w:rsidR="00916097" w:rsidRPr="00273148">
        <w:rPr>
          <w:rFonts w:ascii="Century Schoolbook" w:hAnsi="Century Schoolbook"/>
          <w:sz w:val="22"/>
          <w:szCs w:val="22"/>
        </w:rPr>
        <w:t xml:space="preserve">data. We did not pre-register or publish the protocol for this particular analysis of maternity leave policies and infant mortality. </w:t>
      </w:r>
      <w:r w:rsidR="00A543A3" w:rsidRPr="00273148">
        <w:rPr>
          <w:rFonts w:ascii="Century Schoolbook" w:hAnsi="Century Schoolbook"/>
          <w:sz w:val="22"/>
          <w:szCs w:val="22"/>
        </w:rPr>
        <w:t xml:space="preserve"> We outline our hypotheses, as well as our sampling and statistical strategies below, highlighting areas where we modified our approach after the study had commenced. </w:t>
      </w:r>
    </w:p>
    <w:p w14:paraId="5C6DF465" w14:textId="77777777" w:rsidR="00456267" w:rsidRPr="00273148" w:rsidRDefault="00456267" w:rsidP="00273148">
      <w:pPr>
        <w:tabs>
          <w:tab w:val="left" w:pos="1800"/>
          <w:tab w:val="left" w:pos="5850"/>
        </w:tabs>
        <w:jc w:val="both"/>
        <w:rPr>
          <w:rFonts w:ascii="Century Schoolbook" w:hAnsi="Century Schoolbook"/>
          <w:sz w:val="22"/>
          <w:szCs w:val="22"/>
        </w:rPr>
      </w:pPr>
    </w:p>
    <w:p w14:paraId="2CD4D49E" w14:textId="7BED7162" w:rsidR="00A543A3" w:rsidRPr="00273148" w:rsidRDefault="00A543A3" w:rsidP="00273148">
      <w:pPr>
        <w:tabs>
          <w:tab w:val="left" w:pos="1800"/>
          <w:tab w:val="left" w:pos="5850"/>
        </w:tabs>
        <w:jc w:val="both"/>
        <w:rPr>
          <w:rFonts w:ascii="Century Schoolbook" w:hAnsi="Century Schoolbook"/>
          <w:b/>
          <w:sz w:val="22"/>
          <w:szCs w:val="22"/>
        </w:rPr>
      </w:pPr>
      <w:r w:rsidRPr="00273148">
        <w:rPr>
          <w:rFonts w:ascii="Century Schoolbook" w:hAnsi="Century Schoolbook"/>
          <w:b/>
          <w:sz w:val="22"/>
          <w:szCs w:val="22"/>
        </w:rPr>
        <w:t>Hypotheses</w:t>
      </w:r>
    </w:p>
    <w:p w14:paraId="778CC724" w14:textId="42C3186B" w:rsidR="003E2D24" w:rsidRPr="00273148" w:rsidRDefault="00456267" w:rsidP="00273148">
      <w:pPr>
        <w:tabs>
          <w:tab w:val="left" w:pos="1800"/>
          <w:tab w:val="left" w:pos="5850"/>
        </w:tabs>
        <w:jc w:val="both"/>
        <w:rPr>
          <w:rFonts w:ascii="Century Schoolbook" w:hAnsi="Century Schoolbook"/>
          <w:sz w:val="22"/>
          <w:szCs w:val="22"/>
        </w:rPr>
      </w:pPr>
      <w:r w:rsidRPr="00273148">
        <w:rPr>
          <w:rFonts w:ascii="Century Schoolbook" w:hAnsi="Century Schoolbook"/>
          <w:sz w:val="22"/>
          <w:szCs w:val="22"/>
        </w:rPr>
        <w:t xml:space="preserve">As described in the main text (Background), evidence from high-income contexts suggests that more generous maternity and parental leave policies are associated with lower rates of infant mortality. Based on our review of the literature, we posited that increases in maternity benefits would be associated with lower rates of mortality in the first year of life. </w:t>
      </w:r>
      <w:r w:rsidR="00C022C5" w:rsidRPr="00273148">
        <w:rPr>
          <w:rFonts w:ascii="Century Schoolbook" w:hAnsi="Century Schoolbook"/>
          <w:sz w:val="22"/>
          <w:szCs w:val="22"/>
        </w:rPr>
        <w:t xml:space="preserve">However, our priors were fairly uninformative given the lack of </w:t>
      </w:r>
      <w:r w:rsidR="00EC1C78" w:rsidRPr="00273148">
        <w:rPr>
          <w:rFonts w:ascii="Century Schoolbook" w:hAnsi="Century Schoolbook"/>
          <w:sz w:val="22"/>
          <w:szCs w:val="22"/>
        </w:rPr>
        <w:t>credible</w:t>
      </w:r>
      <w:r w:rsidR="00C022C5" w:rsidRPr="00273148">
        <w:rPr>
          <w:rFonts w:ascii="Century Schoolbook" w:hAnsi="Century Schoolbook"/>
          <w:sz w:val="22"/>
          <w:szCs w:val="22"/>
        </w:rPr>
        <w:t xml:space="preserve"> evidence from low- and middle-income contexts, as well as theory suggesting that the effect of leave policies may vary in lower-income (vs. higher-income) contexts</w:t>
      </w:r>
      <w:r w:rsidR="00EC1C78" w:rsidRPr="00273148">
        <w:rPr>
          <w:rFonts w:ascii="Century Schoolbook" w:hAnsi="Century Schoolbook"/>
          <w:sz w:val="22"/>
          <w:szCs w:val="22"/>
        </w:rPr>
        <w:t xml:space="preserve">, </w:t>
      </w:r>
      <w:r w:rsidR="00EC1C78" w:rsidRPr="00273148">
        <w:rPr>
          <w:rFonts w:ascii="Century Schoolbook" w:hAnsi="Century Schoolbook" w:cs="Times New Roman"/>
          <w:sz w:val="22"/>
          <w:szCs w:val="22"/>
        </w:rPr>
        <w:t xml:space="preserve">given differences in the nature of non-parental child-care options as well as of women’s participation in the formal economy. </w:t>
      </w:r>
      <w:r w:rsidR="00C022C5" w:rsidRPr="00273148">
        <w:rPr>
          <w:rFonts w:ascii="Century Schoolbook" w:hAnsi="Century Schoolbook"/>
          <w:sz w:val="22"/>
          <w:szCs w:val="22"/>
        </w:rPr>
        <w:t xml:space="preserve"> </w:t>
      </w:r>
    </w:p>
    <w:p w14:paraId="7173E91C" w14:textId="77777777" w:rsidR="003E2D24" w:rsidRPr="00273148" w:rsidRDefault="003E2D24" w:rsidP="00273148">
      <w:pPr>
        <w:tabs>
          <w:tab w:val="left" w:pos="1800"/>
          <w:tab w:val="left" w:pos="5850"/>
        </w:tabs>
        <w:jc w:val="both"/>
        <w:rPr>
          <w:rFonts w:ascii="Century Schoolbook" w:hAnsi="Century Schoolbook"/>
          <w:sz w:val="22"/>
          <w:szCs w:val="22"/>
        </w:rPr>
      </w:pPr>
    </w:p>
    <w:p w14:paraId="0C4DEFFE" w14:textId="24FCA690" w:rsidR="00FD7F8C" w:rsidRPr="00273148" w:rsidRDefault="00FD7F8C" w:rsidP="00273148">
      <w:pPr>
        <w:tabs>
          <w:tab w:val="left" w:pos="1800"/>
          <w:tab w:val="left" w:pos="5850"/>
        </w:tabs>
        <w:jc w:val="both"/>
        <w:rPr>
          <w:rFonts w:ascii="Century Schoolbook" w:hAnsi="Century Schoolbook"/>
          <w:b/>
          <w:sz w:val="22"/>
          <w:szCs w:val="22"/>
        </w:rPr>
      </w:pPr>
      <w:r w:rsidRPr="00273148">
        <w:rPr>
          <w:rFonts w:ascii="Century Schoolbook" w:hAnsi="Century Schoolbook"/>
          <w:b/>
          <w:sz w:val="22"/>
          <w:szCs w:val="22"/>
        </w:rPr>
        <w:t>Sample selection</w:t>
      </w:r>
    </w:p>
    <w:p w14:paraId="7CB489E2" w14:textId="5B08CC3D" w:rsidR="00FD7F8C" w:rsidRPr="00273148" w:rsidRDefault="003E2D24" w:rsidP="00273148">
      <w:pPr>
        <w:widowControl w:val="0"/>
        <w:tabs>
          <w:tab w:val="left" w:pos="1800"/>
        </w:tabs>
        <w:autoSpaceDE w:val="0"/>
        <w:autoSpaceDN w:val="0"/>
        <w:adjustRightInd w:val="0"/>
        <w:contextualSpacing/>
        <w:jc w:val="both"/>
        <w:rPr>
          <w:rFonts w:ascii="Century Schoolbook" w:hAnsi="Century Schoolbook" w:cs="Times New Roman"/>
          <w:sz w:val="22"/>
          <w:szCs w:val="22"/>
        </w:rPr>
      </w:pPr>
      <w:r w:rsidRPr="00273148">
        <w:rPr>
          <w:rFonts w:ascii="Century Schoolbook" w:hAnsi="Century Schoolbook"/>
          <w:sz w:val="22"/>
          <w:szCs w:val="22"/>
        </w:rPr>
        <w:t>The inclusion criteria were decided in advance of the analyses and were not</w:t>
      </w:r>
      <w:r w:rsidR="00FD7F8C" w:rsidRPr="00273148">
        <w:rPr>
          <w:rFonts w:ascii="Century Schoolbook" w:hAnsi="Century Schoolbook"/>
          <w:sz w:val="22"/>
          <w:szCs w:val="22"/>
        </w:rPr>
        <w:t xml:space="preserve"> modified. At the country-level, </w:t>
      </w:r>
      <w:r w:rsidR="00FD7F8C" w:rsidRPr="00273148">
        <w:rPr>
          <w:rFonts w:ascii="Century Schoolbook" w:hAnsi="Century Schoolbook" w:cs="Times New Roman"/>
          <w:sz w:val="22"/>
          <w:szCs w:val="22"/>
        </w:rPr>
        <w:t xml:space="preserve">we decided </w:t>
      </w:r>
      <w:r w:rsidR="00FD7F8C" w:rsidRPr="00273148">
        <w:rPr>
          <w:rFonts w:ascii="Century Schoolbook" w:hAnsi="Century Schoolbook" w:cs="Times New Roman"/>
          <w:i/>
          <w:sz w:val="22"/>
          <w:szCs w:val="22"/>
        </w:rPr>
        <w:t xml:space="preserve">a priori </w:t>
      </w:r>
      <w:r w:rsidR="00FD7F8C" w:rsidRPr="00273148">
        <w:rPr>
          <w:rFonts w:ascii="Century Schoolbook" w:hAnsi="Century Schoolbook" w:cs="Times New Roman"/>
          <w:sz w:val="22"/>
          <w:szCs w:val="22"/>
        </w:rPr>
        <w:t xml:space="preserve">which countries and years would be included in our analysis and the selection of country-years has not changed since we conceived of and designed our study. Our selection of countries was informed by the availability of two types of data: (1) cross-national information on maternity leave policies, and (2) data on the vital status of live births occurring in low- and middle-income countries (LMICs) as captured by the Demographic and Health Surveys (DHS). As part of a broader initiative, we have collected standardized information on paid maternity leave policies in low- and middle-income countries between 1995-2013, as described in the manuscript. We wanted to join this information on national maternity leave policies to outcomes for births captured by available Demographic and Health Surveys (DHS) in manner that would allow us to estimate the impact of changes in maternity leave policies on the probabilities infant and neonatal mortality. </w:t>
      </w:r>
    </w:p>
    <w:p w14:paraId="351A8B7A" w14:textId="77777777" w:rsidR="00FD7F8C" w:rsidRPr="00273148" w:rsidRDefault="00FD7F8C" w:rsidP="00273148">
      <w:pPr>
        <w:widowControl w:val="0"/>
        <w:tabs>
          <w:tab w:val="left" w:pos="1800"/>
        </w:tabs>
        <w:autoSpaceDE w:val="0"/>
        <w:autoSpaceDN w:val="0"/>
        <w:adjustRightInd w:val="0"/>
        <w:contextualSpacing/>
        <w:jc w:val="both"/>
        <w:rPr>
          <w:rFonts w:ascii="Century Schoolbook" w:hAnsi="Century Schoolbook" w:cs="Times New Roman"/>
          <w:sz w:val="22"/>
          <w:szCs w:val="22"/>
        </w:rPr>
      </w:pPr>
    </w:p>
    <w:p w14:paraId="5665A235" w14:textId="77777777" w:rsidR="00FD7F8C" w:rsidRPr="00273148" w:rsidRDefault="00FD7F8C" w:rsidP="00273148">
      <w:pPr>
        <w:widowControl w:val="0"/>
        <w:tabs>
          <w:tab w:val="left" w:pos="1800"/>
        </w:tabs>
        <w:autoSpaceDE w:val="0"/>
        <w:autoSpaceDN w:val="0"/>
        <w:adjustRightInd w:val="0"/>
        <w:contextualSpacing/>
        <w:jc w:val="both"/>
        <w:rPr>
          <w:rFonts w:ascii="Century Schoolbook" w:hAnsi="Century Schoolbook" w:cs="Times New Roman"/>
          <w:sz w:val="22"/>
          <w:szCs w:val="22"/>
        </w:rPr>
      </w:pPr>
      <w:r w:rsidRPr="00273148">
        <w:rPr>
          <w:rFonts w:ascii="Century Schoolbook" w:hAnsi="Century Schoolbook" w:cs="Times New Roman"/>
          <w:sz w:val="22"/>
          <w:szCs w:val="22"/>
        </w:rPr>
        <w:t xml:space="preserve">Mothers who are surveyed as part of the DHS are asked about their five-year birth histories and this information can be used to assemble a serial cross-sectional panel of live births occurring in different LMICs in different years. For example, for a mother with reported births occurring three and five years ago at the time of survey in 2005, we can assign her two births to the years 2000 and 2002 and also record their vital status (i.e., did they survive past the neonatal and infant periods?). Using this approach, we mapped available DHS surveys from the most recent rounds since 2000 and identified a panel of 20 countries with information on live births occurring </w:t>
      </w:r>
      <w:r w:rsidRPr="00273148">
        <w:rPr>
          <w:rFonts w:ascii="Century Schoolbook" w:hAnsi="Century Schoolbook" w:cs="Times New Roman"/>
          <w:sz w:val="22"/>
          <w:szCs w:val="22"/>
        </w:rPr>
        <w:lastRenderedPageBreak/>
        <w:t>in every year between 2000 and 2008. We selected this period particularly because it included five countries that experienced policies changes. Alternatively, we could have selected fewer countries covering more years; however, this would have excluded treated countries (i.e., Kenya, Lesotho) that experienced a policy change. Thus, we struck a balance at 20 countries because it provided us with adequate policy variation and allowed us to have an uninterrupted, continuous panel of live births occurring over nearly a decade.</w:t>
      </w:r>
    </w:p>
    <w:p w14:paraId="1E6A86E9" w14:textId="77777777" w:rsidR="003E2D24" w:rsidRPr="00273148" w:rsidRDefault="003E2D24" w:rsidP="00273148">
      <w:pPr>
        <w:tabs>
          <w:tab w:val="left" w:pos="1800"/>
          <w:tab w:val="left" w:pos="5850"/>
        </w:tabs>
        <w:jc w:val="both"/>
        <w:rPr>
          <w:rFonts w:ascii="Century Schoolbook" w:hAnsi="Century Schoolbook"/>
          <w:sz w:val="22"/>
          <w:szCs w:val="22"/>
        </w:rPr>
      </w:pPr>
    </w:p>
    <w:p w14:paraId="06C2CD30" w14:textId="7C39A206" w:rsidR="003E2D24" w:rsidRPr="00273148" w:rsidRDefault="003E2D24" w:rsidP="00273148">
      <w:pPr>
        <w:tabs>
          <w:tab w:val="left" w:pos="1800"/>
          <w:tab w:val="left" w:pos="5850"/>
        </w:tabs>
        <w:jc w:val="both"/>
        <w:rPr>
          <w:rFonts w:ascii="Century Schoolbook" w:hAnsi="Century Schoolbook"/>
          <w:sz w:val="22"/>
          <w:szCs w:val="22"/>
        </w:rPr>
      </w:pPr>
      <w:r w:rsidRPr="00273148">
        <w:rPr>
          <w:rFonts w:ascii="Century Schoolbook" w:hAnsi="Century Schoolbook"/>
          <w:sz w:val="22"/>
          <w:szCs w:val="22"/>
        </w:rPr>
        <w:t xml:space="preserve">At the individual-level our sampling frame included all live </w:t>
      </w:r>
      <w:r w:rsidR="00273148">
        <w:rPr>
          <w:rFonts w:ascii="Century Schoolbook" w:hAnsi="Century Schoolbook"/>
          <w:sz w:val="22"/>
          <w:szCs w:val="22"/>
        </w:rPr>
        <w:t xml:space="preserve">births in the prior five years </w:t>
      </w:r>
      <w:r w:rsidRPr="00273148">
        <w:rPr>
          <w:rFonts w:ascii="Century Schoolbook" w:hAnsi="Century Schoolbook"/>
          <w:sz w:val="22"/>
          <w:szCs w:val="22"/>
        </w:rPr>
        <w:t xml:space="preserve">reported by mothers surveyed as part of the DHS. </w:t>
      </w:r>
      <w:r w:rsidR="00FD7F8C" w:rsidRPr="00273148">
        <w:rPr>
          <w:rFonts w:ascii="Century Schoolbook" w:hAnsi="Century Schoolbook" w:cs="Times New Roman"/>
          <w:sz w:val="22"/>
          <w:szCs w:val="22"/>
        </w:rPr>
        <w:t xml:space="preserve">We restricted these samples to the 282,836 and 304,294 live births that occurred at least one year and at least 28 days prior to the DHS interview date, respectively, in order to ascertain whether each child survived the infant (1 year) and neonatal (28 day) periods following birth. </w:t>
      </w:r>
      <w:r w:rsidRPr="00273148">
        <w:rPr>
          <w:rFonts w:ascii="Century Schoolbook" w:hAnsi="Century Schoolbook"/>
          <w:sz w:val="22"/>
          <w:szCs w:val="22"/>
        </w:rPr>
        <w:t xml:space="preserve">The only other inclusion/exclusion criterion was to have non-missing information on key covariates (also decided </w:t>
      </w:r>
      <w:r w:rsidRPr="00273148">
        <w:rPr>
          <w:rFonts w:ascii="Century Schoolbook" w:hAnsi="Century Schoolbook"/>
          <w:i/>
          <w:sz w:val="22"/>
          <w:szCs w:val="22"/>
        </w:rPr>
        <w:t>a priori</w:t>
      </w:r>
      <w:r w:rsidRPr="00273148">
        <w:rPr>
          <w:rFonts w:ascii="Century Schoolbook" w:hAnsi="Century Schoolbook"/>
          <w:sz w:val="22"/>
          <w:szCs w:val="22"/>
        </w:rPr>
        <w:t xml:space="preserve">), which resulted in the loss of </w:t>
      </w:r>
      <w:r w:rsidR="00FD7F8C" w:rsidRPr="00273148">
        <w:rPr>
          <w:rFonts w:ascii="Century Schoolbook" w:hAnsi="Century Schoolbook"/>
          <w:sz w:val="22"/>
          <w:szCs w:val="22"/>
        </w:rPr>
        <w:t>less than 0.1</w:t>
      </w:r>
      <w:r w:rsidRPr="00273148">
        <w:rPr>
          <w:rFonts w:ascii="Century Schoolbook" w:hAnsi="Century Schoolbook"/>
          <w:sz w:val="22"/>
          <w:szCs w:val="22"/>
        </w:rPr>
        <w:t xml:space="preserve">% of our data. </w:t>
      </w:r>
    </w:p>
    <w:p w14:paraId="7A466135" w14:textId="77777777" w:rsidR="003E2D24" w:rsidRPr="00273148" w:rsidRDefault="003E2D24" w:rsidP="00273148">
      <w:pPr>
        <w:tabs>
          <w:tab w:val="left" w:pos="1800"/>
          <w:tab w:val="left" w:pos="5850"/>
        </w:tabs>
        <w:jc w:val="both"/>
        <w:rPr>
          <w:rFonts w:ascii="Century Schoolbook" w:hAnsi="Century Schoolbook"/>
          <w:sz w:val="22"/>
          <w:szCs w:val="22"/>
        </w:rPr>
      </w:pPr>
    </w:p>
    <w:p w14:paraId="051FD7EF" w14:textId="31AB9FD3" w:rsidR="00FD7F8C" w:rsidRPr="00273148" w:rsidRDefault="00FD7F8C" w:rsidP="00273148">
      <w:pPr>
        <w:tabs>
          <w:tab w:val="left" w:pos="1800"/>
          <w:tab w:val="left" w:pos="5850"/>
        </w:tabs>
        <w:jc w:val="both"/>
        <w:rPr>
          <w:rFonts w:ascii="Century Schoolbook" w:hAnsi="Century Schoolbook"/>
          <w:b/>
          <w:sz w:val="22"/>
          <w:szCs w:val="22"/>
        </w:rPr>
      </w:pPr>
      <w:r w:rsidRPr="00273148">
        <w:rPr>
          <w:rFonts w:ascii="Century Schoolbook" w:hAnsi="Century Schoolbook"/>
          <w:b/>
          <w:sz w:val="22"/>
          <w:szCs w:val="22"/>
        </w:rPr>
        <w:t>Statistical analyses</w:t>
      </w:r>
    </w:p>
    <w:p w14:paraId="4CE1494C" w14:textId="7F3115A6" w:rsidR="00C76881" w:rsidRPr="00273148" w:rsidRDefault="00C76881" w:rsidP="00273148">
      <w:pPr>
        <w:tabs>
          <w:tab w:val="left" w:pos="1800"/>
          <w:tab w:val="left" w:pos="5850"/>
        </w:tabs>
        <w:jc w:val="both"/>
        <w:rPr>
          <w:rFonts w:ascii="Century Schoolbook" w:hAnsi="Century Schoolbook"/>
          <w:i/>
          <w:sz w:val="22"/>
          <w:szCs w:val="22"/>
        </w:rPr>
      </w:pPr>
      <w:r w:rsidRPr="00273148">
        <w:rPr>
          <w:rFonts w:ascii="Century Schoolbook" w:hAnsi="Century Schoolbook"/>
          <w:sz w:val="22"/>
          <w:szCs w:val="22"/>
        </w:rPr>
        <w:t>Our a</w:t>
      </w:r>
      <w:r w:rsidR="003E32A1" w:rsidRPr="00273148">
        <w:rPr>
          <w:rFonts w:ascii="Century Schoolbook" w:hAnsi="Century Schoolbook"/>
          <w:sz w:val="22"/>
          <w:szCs w:val="22"/>
        </w:rPr>
        <w:t>nalysis plan</w:t>
      </w:r>
      <w:r w:rsidR="00C52D42" w:rsidRPr="00273148">
        <w:rPr>
          <w:rFonts w:ascii="Century Schoolbook" w:hAnsi="Century Schoolbook"/>
          <w:sz w:val="22"/>
          <w:szCs w:val="22"/>
        </w:rPr>
        <w:t xml:space="preserve">, described in detail in the Methods section of the paper, </w:t>
      </w:r>
      <w:r w:rsidR="003E32A1" w:rsidRPr="00273148">
        <w:rPr>
          <w:rFonts w:ascii="Century Schoolbook" w:hAnsi="Century Schoolbook"/>
          <w:sz w:val="22"/>
          <w:szCs w:val="22"/>
        </w:rPr>
        <w:t>was</w:t>
      </w:r>
      <w:r w:rsidRPr="00273148">
        <w:rPr>
          <w:rFonts w:ascii="Century Schoolbook" w:hAnsi="Century Schoolbook"/>
          <w:sz w:val="22"/>
          <w:szCs w:val="22"/>
        </w:rPr>
        <w:t xml:space="preserve"> most</w:t>
      </w:r>
      <w:r w:rsidR="00C52D42" w:rsidRPr="00273148">
        <w:rPr>
          <w:rFonts w:ascii="Century Schoolbook" w:hAnsi="Century Schoolbook"/>
          <w:sz w:val="22"/>
          <w:szCs w:val="22"/>
        </w:rPr>
        <w:t>ly</w:t>
      </w:r>
      <w:r w:rsidRPr="00273148">
        <w:rPr>
          <w:rFonts w:ascii="Century Schoolbook" w:hAnsi="Century Schoolbook"/>
          <w:sz w:val="22"/>
          <w:szCs w:val="22"/>
        </w:rPr>
        <w:t xml:space="preserve"> decided </w:t>
      </w:r>
      <w:r w:rsidRPr="00273148">
        <w:rPr>
          <w:rFonts w:ascii="Century Schoolbook" w:hAnsi="Century Schoolbook"/>
          <w:i/>
          <w:sz w:val="22"/>
          <w:szCs w:val="22"/>
        </w:rPr>
        <w:t xml:space="preserve">a </w:t>
      </w:r>
      <w:r w:rsidR="0087310E" w:rsidRPr="00273148">
        <w:rPr>
          <w:rFonts w:ascii="Century Schoolbook" w:hAnsi="Century Schoolbook"/>
          <w:i/>
          <w:sz w:val="22"/>
          <w:szCs w:val="22"/>
        </w:rPr>
        <w:t xml:space="preserve">priori </w:t>
      </w:r>
      <w:r w:rsidR="0087310E" w:rsidRPr="00273148">
        <w:rPr>
          <w:rFonts w:ascii="Century Schoolbook" w:hAnsi="Century Schoolbook"/>
          <w:sz w:val="22"/>
          <w:szCs w:val="22"/>
        </w:rPr>
        <w:t>and</w:t>
      </w:r>
      <w:r w:rsidRPr="00273148">
        <w:rPr>
          <w:rFonts w:ascii="Century Schoolbook" w:hAnsi="Century Schoolbook"/>
          <w:sz w:val="22"/>
          <w:szCs w:val="22"/>
        </w:rPr>
        <w:t xml:space="preserve"> followed a structure </w:t>
      </w:r>
      <w:r w:rsidR="00C52D42" w:rsidRPr="00273148">
        <w:rPr>
          <w:rFonts w:ascii="Century Schoolbook" w:hAnsi="Century Schoolbook"/>
          <w:sz w:val="22"/>
          <w:szCs w:val="22"/>
        </w:rPr>
        <w:t xml:space="preserve">similar to prior </w:t>
      </w:r>
      <w:r w:rsidRPr="00273148">
        <w:rPr>
          <w:rFonts w:ascii="Century Schoolbook" w:hAnsi="Century Schoolbook"/>
          <w:sz w:val="22"/>
          <w:szCs w:val="22"/>
        </w:rPr>
        <w:t xml:space="preserve">published </w:t>
      </w:r>
      <w:r w:rsidR="0087310E" w:rsidRPr="00273148">
        <w:rPr>
          <w:rFonts w:ascii="Century Schoolbook" w:hAnsi="Century Schoolbook"/>
          <w:sz w:val="22"/>
          <w:szCs w:val="22"/>
        </w:rPr>
        <w:t xml:space="preserve">work </w:t>
      </w:r>
      <w:r w:rsidRPr="00273148">
        <w:rPr>
          <w:rFonts w:ascii="Century Schoolbook" w:hAnsi="Century Schoolbook"/>
          <w:sz w:val="22"/>
          <w:szCs w:val="22"/>
        </w:rPr>
        <w:t xml:space="preserve">by our group </w:t>
      </w:r>
      <w:r w:rsidR="00C52D42" w:rsidRPr="00273148">
        <w:rPr>
          <w:rFonts w:ascii="Century Schoolbook" w:hAnsi="Century Schoolbook"/>
          <w:sz w:val="22"/>
          <w:szCs w:val="22"/>
        </w:rPr>
        <w:t xml:space="preserve">on </w:t>
      </w:r>
      <w:r w:rsidRPr="00273148">
        <w:rPr>
          <w:rFonts w:ascii="Century Schoolbook" w:hAnsi="Century Schoolbook"/>
          <w:sz w:val="22"/>
          <w:szCs w:val="22"/>
        </w:rPr>
        <w:t xml:space="preserve">maternity leave policies </w:t>
      </w:r>
      <w:r w:rsidR="00C52D42" w:rsidRPr="00273148">
        <w:rPr>
          <w:rFonts w:ascii="Century Schoolbook" w:hAnsi="Century Schoolbook"/>
          <w:sz w:val="22"/>
          <w:szCs w:val="22"/>
        </w:rPr>
        <w:t xml:space="preserve">and vaccination coverage </w:t>
      </w:r>
      <w:r w:rsidRPr="00273148">
        <w:rPr>
          <w:rFonts w:ascii="Century Schoolbook" w:hAnsi="Century Schoolbook"/>
          <w:sz w:val="22"/>
          <w:szCs w:val="22"/>
        </w:rPr>
        <w:t xml:space="preserve">(i.e., see </w:t>
      </w:r>
      <w:proofErr w:type="spellStart"/>
      <w:r w:rsidRPr="00273148">
        <w:rPr>
          <w:rFonts w:ascii="Century Schoolbook" w:hAnsi="Century Schoolbook"/>
          <w:sz w:val="22"/>
          <w:szCs w:val="22"/>
        </w:rPr>
        <w:t>Hajizadeh</w:t>
      </w:r>
      <w:proofErr w:type="spellEnd"/>
      <w:r w:rsidRPr="00273148">
        <w:rPr>
          <w:rFonts w:ascii="Century Schoolbook" w:hAnsi="Century Schoolbook"/>
          <w:sz w:val="22"/>
          <w:szCs w:val="22"/>
        </w:rPr>
        <w:t xml:space="preserve"> et al., 2015). Nonetheless, there were some modifications to our analysis plan</w:t>
      </w:r>
      <w:r w:rsidR="0087310E" w:rsidRPr="00273148">
        <w:rPr>
          <w:rFonts w:ascii="Century Schoolbook" w:hAnsi="Century Schoolbook"/>
          <w:sz w:val="22"/>
          <w:szCs w:val="22"/>
        </w:rPr>
        <w:t xml:space="preserve"> as our study progressed, </w:t>
      </w:r>
      <w:r w:rsidRPr="00273148">
        <w:rPr>
          <w:rFonts w:ascii="Century Schoolbook" w:hAnsi="Century Schoolbook"/>
          <w:sz w:val="22"/>
          <w:szCs w:val="22"/>
        </w:rPr>
        <w:t xml:space="preserve">including several additional analyses that were conducted in response to the thoughtful comments that we received during the review process. </w:t>
      </w:r>
      <w:r w:rsidR="00C52D42" w:rsidRPr="00273148">
        <w:rPr>
          <w:rFonts w:ascii="Century Schoolbook" w:hAnsi="Century Schoolbook"/>
          <w:sz w:val="22"/>
          <w:szCs w:val="22"/>
        </w:rPr>
        <w:t xml:space="preserve">We summarize </w:t>
      </w:r>
      <w:r w:rsidR="00C873D7" w:rsidRPr="00273148">
        <w:rPr>
          <w:rFonts w:ascii="Century Schoolbook" w:hAnsi="Century Schoolbook"/>
          <w:sz w:val="22"/>
          <w:szCs w:val="22"/>
        </w:rPr>
        <w:t xml:space="preserve">below </w:t>
      </w:r>
      <w:r w:rsidR="00C52D42" w:rsidRPr="00273148">
        <w:rPr>
          <w:rFonts w:ascii="Century Schoolbook" w:hAnsi="Century Schoolbook"/>
          <w:sz w:val="22"/>
          <w:szCs w:val="22"/>
        </w:rPr>
        <w:t xml:space="preserve">the main </w:t>
      </w:r>
      <w:r w:rsidR="00C873D7" w:rsidRPr="00273148">
        <w:rPr>
          <w:rFonts w:ascii="Century Schoolbook" w:hAnsi="Century Schoolbook"/>
          <w:i/>
          <w:sz w:val="22"/>
          <w:szCs w:val="22"/>
        </w:rPr>
        <w:t>post hoc</w:t>
      </w:r>
      <w:r w:rsidR="00C873D7" w:rsidRPr="00273148">
        <w:rPr>
          <w:rFonts w:ascii="Century Schoolbook" w:hAnsi="Century Schoolbook"/>
          <w:sz w:val="22"/>
          <w:szCs w:val="22"/>
        </w:rPr>
        <w:t xml:space="preserve"> modifications to our analysis plan. </w:t>
      </w:r>
    </w:p>
    <w:p w14:paraId="0D29BDC5" w14:textId="77777777" w:rsidR="00C873D7" w:rsidRPr="00273148" w:rsidRDefault="00C873D7" w:rsidP="00273148">
      <w:pPr>
        <w:tabs>
          <w:tab w:val="left" w:pos="1800"/>
          <w:tab w:val="left" w:pos="5850"/>
        </w:tabs>
        <w:jc w:val="both"/>
        <w:rPr>
          <w:rFonts w:ascii="Century Schoolbook" w:hAnsi="Century Schoolbook"/>
          <w:sz w:val="22"/>
          <w:szCs w:val="22"/>
        </w:rPr>
      </w:pPr>
    </w:p>
    <w:p w14:paraId="07C30465" w14:textId="741E8AD8" w:rsidR="00FD5DF5" w:rsidRPr="00273148" w:rsidRDefault="003E32A1" w:rsidP="00273148">
      <w:pPr>
        <w:pStyle w:val="ListParagraph"/>
        <w:numPr>
          <w:ilvl w:val="0"/>
          <w:numId w:val="1"/>
        </w:numPr>
        <w:tabs>
          <w:tab w:val="left" w:pos="1800"/>
          <w:tab w:val="left" w:pos="5850"/>
        </w:tabs>
        <w:jc w:val="both"/>
        <w:rPr>
          <w:rFonts w:ascii="Century Schoolbook" w:hAnsi="Century Schoolbook"/>
          <w:sz w:val="22"/>
          <w:szCs w:val="22"/>
        </w:rPr>
      </w:pPr>
      <w:r w:rsidRPr="00273148">
        <w:rPr>
          <w:rFonts w:ascii="Century Schoolbook" w:hAnsi="Century Schoolbook"/>
          <w:sz w:val="22"/>
          <w:szCs w:val="22"/>
        </w:rPr>
        <w:t>Measurement of leave</w:t>
      </w:r>
      <w:r w:rsidR="00AD4228" w:rsidRPr="00273148">
        <w:rPr>
          <w:rFonts w:ascii="Century Schoolbook" w:hAnsi="Century Schoolbook"/>
          <w:sz w:val="22"/>
          <w:szCs w:val="22"/>
        </w:rPr>
        <w:t xml:space="preserve">: There is no “gold standard” for measuring the generosity of maternity benefits available in a country. Two of the main dimensions of leave policies are the duration </w:t>
      </w:r>
      <w:r w:rsidR="007B0298" w:rsidRPr="00273148">
        <w:rPr>
          <w:rFonts w:ascii="Century Schoolbook" w:hAnsi="Century Schoolbook"/>
          <w:sz w:val="22"/>
          <w:szCs w:val="22"/>
        </w:rPr>
        <w:t xml:space="preserve">permitted </w:t>
      </w:r>
      <w:r w:rsidR="00AD4228" w:rsidRPr="00273148">
        <w:rPr>
          <w:rFonts w:ascii="Century Schoolbook" w:hAnsi="Century Schoolbook"/>
          <w:sz w:val="22"/>
          <w:szCs w:val="22"/>
        </w:rPr>
        <w:t xml:space="preserve">and the wage replacement rate. </w:t>
      </w:r>
      <w:r w:rsidR="007B0298" w:rsidRPr="00273148">
        <w:rPr>
          <w:rFonts w:ascii="Century Schoolbook" w:hAnsi="Century Schoolbook"/>
          <w:sz w:val="22"/>
          <w:szCs w:val="22"/>
        </w:rPr>
        <w:t>Initially</w:t>
      </w:r>
      <w:r w:rsidR="00AD4228" w:rsidRPr="00273148">
        <w:rPr>
          <w:rFonts w:ascii="Century Schoolbook" w:hAnsi="Century Schoolbook"/>
          <w:sz w:val="22"/>
          <w:szCs w:val="22"/>
        </w:rPr>
        <w:t xml:space="preserve">, we measured maternity benefits in full time equivalent (FTE) units, calculated by multiplying the duration of leave available by the wage replacement rate. </w:t>
      </w:r>
      <w:r w:rsidR="007B0298" w:rsidRPr="00273148">
        <w:rPr>
          <w:rFonts w:ascii="Century Schoolbook" w:hAnsi="Century Schoolbook"/>
          <w:sz w:val="22"/>
          <w:szCs w:val="22"/>
        </w:rPr>
        <w:t>However, o</w:t>
      </w:r>
      <w:r w:rsidR="00B92FEA" w:rsidRPr="00273148">
        <w:rPr>
          <w:rFonts w:ascii="Century Schoolbook" w:hAnsi="Century Schoolbook"/>
          <w:sz w:val="22"/>
          <w:szCs w:val="22"/>
        </w:rPr>
        <w:t>ne limitation of measuring benefits in FTE units</w:t>
      </w:r>
      <w:r w:rsidR="007B0298" w:rsidRPr="00273148">
        <w:rPr>
          <w:rFonts w:ascii="Century Schoolbook" w:hAnsi="Century Schoolbook"/>
          <w:sz w:val="22"/>
          <w:szCs w:val="22"/>
        </w:rPr>
        <w:t xml:space="preserve"> </w:t>
      </w:r>
      <w:r w:rsidR="00B92FEA" w:rsidRPr="00273148">
        <w:rPr>
          <w:rFonts w:ascii="Century Schoolbook" w:hAnsi="Century Schoolbook"/>
          <w:sz w:val="22"/>
          <w:szCs w:val="22"/>
        </w:rPr>
        <w:t xml:space="preserve">relates to the interpretation of a unit-change, which could be due to </w:t>
      </w:r>
      <w:r w:rsidR="007B0298" w:rsidRPr="00273148">
        <w:rPr>
          <w:rFonts w:ascii="Century Schoolbook" w:hAnsi="Century Schoolbook"/>
          <w:sz w:val="22"/>
          <w:szCs w:val="22"/>
        </w:rPr>
        <w:t xml:space="preserve">a change </w:t>
      </w:r>
      <w:r w:rsidR="00B92FEA" w:rsidRPr="00273148">
        <w:rPr>
          <w:rFonts w:ascii="Century Schoolbook" w:hAnsi="Century Schoolbook"/>
          <w:sz w:val="22"/>
          <w:szCs w:val="22"/>
        </w:rPr>
        <w:t>in the duration of leave or the rate at which wages are replaced</w:t>
      </w:r>
      <w:r w:rsidR="007D5BEA" w:rsidRPr="00273148">
        <w:rPr>
          <w:rFonts w:ascii="Century Schoolbook" w:hAnsi="Century Schoolbook"/>
          <w:sz w:val="22"/>
          <w:szCs w:val="22"/>
        </w:rPr>
        <w:t>. To avoid potential</w:t>
      </w:r>
      <w:r w:rsidR="007B0298" w:rsidRPr="00273148">
        <w:rPr>
          <w:rFonts w:ascii="Century Schoolbook" w:hAnsi="Century Schoolbook"/>
          <w:sz w:val="22"/>
          <w:szCs w:val="22"/>
        </w:rPr>
        <w:t>ly</w:t>
      </w:r>
      <w:r w:rsidR="007D5BEA" w:rsidRPr="00273148">
        <w:rPr>
          <w:rFonts w:ascii="Century Schoolbook" w:hAnsi="Century Schoolbook"/>
          <w:sz w:val="22"/>
          <w:szCs w:val="22"/>
        </w:rPr>
        <w:t xml:space="preserve"> conflating the effect of changes in the duration of leave and the wage replacement rate, we decided to also measure the generosity of leave benefits by the duration of leave available, controlling for the wage replacement rate. Results from both analyses (with leave measured in FTE units and as the duration of leave controlling for the wage replacement rate) are provided in the paper. </w:t>
      </w:r>
    </w:p>
    <w:p w14:paraId="1741F9B9" w14:textId="77777777" w:rsidR="00FD5DF5" w:rsidRPr="00273148" w:rsidRDefault="00FD5DF5" w:rsidP="00273148">
      <w:pPr>
        <w:pStyle w:val="ListParagraph"/>
        <w:tabs>
          <w:tab w:val="left" w:pos="1800"/>
          <w:tab w:val="left" w:pos="5850"/>
        </w:tabs>
        <w:jc w:val="both"/>
        <w:rPr>
          <w:rFonts w:ascii="Century Schoolbook" w:hAnsi="Century Schoolbook"/>
          <w:sz w:val="22"/>
          <w:szCs w:val="22"/>
        </w:rPr>
      </w:pPr>
    </w:p>
    <w:p w14:paraId="7C29D2D7" w14:textId="230C96DA" w:rsidR="000F1308" w:rsidRPr="00273148" w:rsidRDefault="003E32A1" w:rsidP="00273148">
      <w:pPr>
        <w:pStyle w:val="ListParagraph"/>
        <w:numPr>
          <w:ilvl w:val="0"/>
          <w:numId w:val="1"/>
        </w:numPr>
        <w:tabs>
          <w:tab w:val="left" w:pos="1800"/>
          <w:tab w:val="left" w:pos="5850"/>
        </w:tabs>
        <w:jc w:val="both"/>
        <w:rPr>
          <w:rFonts w:ascii="Century Schoolbook" w:hAnsi="Century Schoolbook"/>
          <w:sz w:val="22"/>
          <w:szCs w:val="22"/>
        </w:rPr>
      </w:pPr>
      <w:r w:rsidRPr="00273148">
        <w:rPr>
          <w:rFonts w:ascii="Century Schoolbook" w:hAnsi="Century Schoolbook"/>
          <w:sz w:val="22"/>
          <w:szCs w:val="22"/>
        </w:rPr>
        <w:t>Added post-neonatal</w:t>
      </w:r>
      <w:r w:rsidR="00655805" w:rsidRPr="00273148">
        <w:rPr>
          <w:rFonts w:ascii="Century Schoolbook" w:hAnsi="Century Schoolbook"/>
          <w:sz w:val="22"/>
          <w:szCs w:val="22"/>
        </w:rPr>
        <w:t xml:space="preserve"> mortality as an outcome</w:t>
      </w:r>
      <w:r w:rsidR="00FD5DF5" w:rsidRPr="00273148">
        <w:rPr>
          <w:rFonts w:ascii="Century Schoolbook" w:hAnsi="Century Schoolbook"/>
          <w:sz w:val="22"/>
          <w:szCs w:val="22"/>
        </w:rPr>
        <w:t xml:space="preserve">: </w:t>
      </w:r>
      <w:r w:rsidR="009860B0" w:rsidRPr="00273148">
        <w:rPr>
          <w:rFonts w:ascii="Century Schoolbook" w:hAnsi="Century Schoolbook"/>
          <w:sz w:val="22"/>
          <w:szCs w:val="22"/>
        </w:rPr>
        <w:t>At the time of our first submission we examined the effects of paid maternity leave on neonatal (&lt;28 day) and infant (&lt;1 year) mortality. Give</w:t>
      </w:r>
      <w:r w:rsidR="00655805" w:rsidRPr="00273148">
        <w:rPr>
          <w:rFonts w:ascii="Century Schoolbook" w:hAnsi="Century Schoolbook"/>
          <w:sz w:val="22"/>
          <w:szCs w:val="22"/>
        </w:rPr>
        <w:t>n</w:t>
      </w:r>
      <w:r w:rsidR="009860B0" w:rsidRPr="00273148">
        <w:rPr>
          <w:rFonts w:ascii="Century Schoolbook" w:hAnsi="Century Schoolbook"/>
          <w:sz w:val="22"/>
          <w:szCs w:val="22"/>
        </w:rPr>
        <w:t xml:space="preserve"> </w:t>
      </w:r>
      <w:r w:rsidR="00655805" w:rsidRPr="00273148">
        <w:rPr>
          <w:rFonts w:ascii="Century Schoolbook" w:hAnsi="Century Schoolbook"/>
          <w:sz w:val="22"/>
          <w:szCs w:val="22"/>
        </w:rPr>
        <w:t xml:space="preserve">that </w:t>
      </w:r>
      <w:proofErr w:type="gramStart"/>
      <w:r w:rsidR="009860B0" w:rsidRPr="00273148">
        <w:rPr>
          <w:rFonts w:ascii="Century Schoolbook" w:hAnsi="Century Schoolbook"/>
          <w:sz w:val="22"/>
          <w:szCs w:val="22"/>
        </w:rPr>
        <w:t>the we</w:t>
      </w:r>
      <w:proofErr w:type="gramEnd"/>
      <w:r w:rsidR="009860B0" w:rsidRPr="00273148">
        <w:rPr>
          <w:rFonts w:ascii="Century Schoolbook" w:hAnsi="Century Schoolbook"/>
          <w:sz w:val="22"/>
          <w:szCs w:val="22"/>
        </w:rPr>
        <w:t xml:space="preserve"> observed beneficial effects of increase</w:t>
      </w:r>
      <w:r w:rsidR="00655805" w:rsidRPr="00273148">
        <w:rPr>
          <w:rFonts w:ascii="Century Schoolbook" w:hAnsi="Century Schoolbook"/>
          <w:sz w:val="22"/>
          <w:szCs w:val="22"/>
        </w:rPr>
        <w:t>d</w:t>
      </w:r>
      <w:r w:rsidR="009860B0" w:rsidRPr="00273148">
        <w:rPr>
          <w:rFonts w:ascii="Century Schoolbook" w:hAnsi="Century Schoolbook"/>
          <w:sz w:val="22"/>
          <w:szCs w:val="22"/>
        </w:rPr>
        <w:t xml:space="preserve"> leave in the infant but not neonatal period, an astute reviewer suggested that we add post-neonatal </w:t>
      </w:r>
      <w:r w:rsidR="00655805" w:rsidRPr="00273148">
        <w:rPr>
          <w:rFonts w:ascii="Century Schoolbook" w:hAnsi="Century Schoolbook"/>
          <w:sz w:val="22"/>
          <w:szCs w:val="22"/>
        </w:rPr>
        <w:t xml:space="preserve">mortality (death between 28 days and one year after birth) </w:t>
      </w:r>
      <w:r w:rsidR="009860B0" w:rsidRPr="00273148">
        <w:rPr>
          <w:rFonts w:ascii="Century Schoolbook" w:hAnsi="Century Schoolbook"/>
          <w:sz w:val="22"/>
          <w:szCs w:val="22"/>
        </w:rPr>
        <w:t xml:space="preserve">as an outcome, which we did in our subsequent revision. </w:t>
      </w:r>
      <w:r w:rsidR="00655805" w:rsidRPr="00273148">
        <w:rPr>
          <w:rFonts w:ascii="Century Schoolbook" w:hAnsi="Century Schoolbook"/>
          <w:sz w:val="22"/>
          <w:szCs w:val="22"/>
        </w:rPr>
        <w:t>All three outcomes are now presented.</w:t>
      </w:r>
    </w:p>
    <w:p w14:paraId="3CB2D711" w14:textId="77777777" w:rsidR="000F1308" w:rsidRPr="00273148" w:rsidRDefault="000F1308" w:rsidP="00273148">
      <w:pPr>
        <w:tabs>
          <w:tab w:val="left" w:pos="1800"/>
          <w:tab w:val="left" w:pos="5850"/>
        </w:tabs>
        <w:jc w:val="both"/>
        <w:rPr>
          <w:rFonts w:ascii="Century Schoolbook" w:hAnsi="Century Schoolbook"/>
          <w:sz w:val="22"/>
          <w:szCs w:val="22"/>
        </w:rPr>
      </w:pPr>
    </w:p>
    <w:p w14:paraId="4FADB199" w14:textId="14BBAC36" w:rsidR="00CE0D3B" w:rsidRPr="00273148" w:rsidRDefault="000F1308" w:rsidP="00273148">
      <w:pPr>
        <w:pStyle w:val="ListParagraph"/>
        <w:numPr>
          <w:ilvl w:val="0"/>
          <w:numId w:val="1"/>
        </w:numPr>
        <w:tabs>
          <w:tab w:val="left" w:pos="1800"/>
          <w:tab w:val="left" w:pos="5850"/>
        </w:tabs>
        <w:jc w:val="both"/>
        <w:rPr>
          <w:rFonts w:ascii="Century Schoolbook" w:hAnsi="Century Schoolbook"/>
          <w:sz w:val="22"/>
          <w:szCs w:val="22"/>
        </w:rPr>
      </w:pPr>
      <w:r w:rsidRPr="00273148">
        <w:rPr>
          <w:rFonts w:ascii="Century Schoolbook" w:hAnsi="Century Schoolbook"/>
          <w:sz w:val="22"/>
          <w:szCs w:val="22"/>
        </w:rPr>
        <w:t>Investigation of n</w:t>
      </w:r>
      <w:r w:rsidR="00C52D42" w:rsidRPr="00273148">
        <w:rPr>
          <w:rFonts w:ascii="Century Schoolbook" w:hAnsi="Century Schoolbook"/>
          <w:sz w:val="22"/>
          <w:szCs w:val="22"/>
        </w:rPr>
        <w:t>on-linear effects</w:t>
      </w:r>
      <w:r w:rsidRPr="00273148">
        <w:rPr>
          <w:rFonts w:ascii="Century Schoolbook" w:hAnsi="Century Schoolbook"/>
          <w:sz w:val="22"/>
          <w:szCs w:val="22"/>
        </w:rPr>
        <w:t xml:space="preserve">: </w:t>
      </w:r>
      <w:r w:rsidR="002D414A" w:rsidRPr="00273148">
        <w:rPr>
          <w:rFonts w:ascii="Century Schoolbook" w:hAnsi="Century Schoolbook"/>
          <w:sz w:val="22"/>
          <w:szCs w:val="22"/>
        </w:rPr>
        <w:t xml:space="preserve">Our analysis plan initially </w:t>
      </w:r>
      <w:r w:rsidR="00CE0D3B" w:rsidRPr="00273148">
        <w:rPr>
          <w:rFonts w:ascii="Century Schoolbook" w:hAnsi="Century Schoolbook"/>
          <w:sz w:val="22"/>
          <w:szCs w:val="22"/>
        </w:rPr>
        <w:t xml:space="preserve">specified a linear effect of the duration of paid leave on our outcomes. During the review process it was suggested that the impact of additional leave on infant mortality </w:t>
      </w:r>
      <w:r w:rsidR="002D414A" w:rsidRPr="00273148">
        <w:rPr>
          <w:rFonts w:ascii="Century Schoolbook" w:hAnsi="Century Schoolbook"/>
          <w:sz w:val="22"/>
          <w:szCs w:val="22"/>
        </w:rPr>
        <w:t>might</w:t>
      </w:r>
      <w:r w:rsidR="00CE0D3B" w:rsidRPr="00273148">
        <w:rPr>
          <w:rFonts w:ascii="Century Schoolbook" w:hAnsi="Century Schoolbook"/>
          <w:sz w:val="22"/>
          <w:szCs w:val="22"/>
        </w:rPr>
        <w:t xml:space="preserve"> be non-linear. Accordingly, we examined potential non-</w:t>
      </w:r>
      <w:proofErr w:type="spellStart"/>
      <w:r w:rsidR="00CE0D3B" w:rsidRPr="00273148">
        <w:rPr>
          <w:rFonts w:ascii="Century Schoolbook" w:hAnsi="Century Schoolbook"/>
          <w:sz w:val="22"/>
          <w:szCs w:val="22"/>
        </w:rPr>
        <w:t>linearities</w:t>
      </w:r>
      <w:proofErr w:type="spellEnd"/>
      <w:r w:rsidR="00CE0D3B" w:rsidRPr="00273148">
        <w:rPr>
          <w:rFonts w:ascii="Century Schoolbook" w:hAnsi="Century Schoolbook"/>
          <w:sz w:val="22"/>
          <w:szCs w:val="22"/>
        </w:rPr>
        <w:t xml:space="preserve"> in the effect of paid leave on our outcomes</w:t>
      </w:r>
      <w:r w:rsidR="002D414A" w:rsidRPr="00273148">
        <w:rPr>
          <w:rFonts w:ascii="Century Schoolbook" w:hAnsi="Century Schoolbook"/>
          <w:sz w:val="22"/>
          <w:szCs w:val="22"/>
        </w:rPr>
        <w:t xml:space="preserve"> </w:t>
      </w:r>
      <w:r w:rsidR="002D414A" w:rsidRPr="00273148">
        <w:rPr>
          <w:rFonts w:ascii="Century Schoolbook" w:hAnsi="Century Schoolbook" w:cs="Avenir Book"/>
          <w:sz w:val="22"/>
          <w:szCs w:val="22"/>
        </w:rPr>
        <w:t xml:space="preserve">by introducing a quadratic duration of paid leave variable to our fully adjusted model </w:t>
      </w:r>
      <w:r w:rsidR="002D414A" w:rsidRPr="00273148">
        <w:rPr>
          <w:rFonts w:ascii="Century Schoolbook" w:hAnsi="Century Schoolbook"/>
          <w:sz w:val="22"/>
          <w:szCs w:val="22"/>
        </w:rPr>
        <w:t>in the revised version of the manuscript.</w:t>
      </w:r>
    </w:p>
    <w:p w14:paraId="22B2EDE3" w14:textId="77777777" w:rsidR="00CE0D3B" w:rsidRPr="00273148" w:rsidRDefault="00CE0D3B" w:rsidP="00273148">
      <w:pPr>
        <w:tabs>
          <w:tab w:val="left" w:pos="1800"/>
          <w:tab w:val="left" w:pos="5850"/>
        </w:tabs>
        <w:jc w:val="both"/>
        <w:rPr>
          <w:rFonts w:ascii="Century Schoolbook" w:hAnsi="Century Schoolbook"/>
          <w:sz w:val="22"/>
          <w:szCs w:val="22"/>
        </w:rPr>
      </w:pPr>
    </w:p>
    <w:p w14:paraId="36534C60" w14:textId="02270F41" w:rsidR="00916097" w:rsidRPr="00273148" w:rsidRDefault="00916097" w:rsidP="00273148">
      <w:pPr>
        <w:tabs>
          <w:tab w:val="left" w:pos="1800"/>
        </w:tabs>
        <w:jc w:val="both"/>
        <w:rPr>
          <w:rFonts w:ascii="Century Schoolbook" w:hAnsi="Century Schoolbook"/>
          <w:sz w:val="22"/>
          <w:szCs w:val="22"/>
        </w:rPr>
      </w:pPr>
    </w:p>
    <w:p w14:paraId="2F80ED02" w14:textId="33D2A3D6" w:rsidR="003E32A1" w:rsidRPr="00273148" w:rsidRDefault="00916097" w:rsidP="00273148">
      <w:pPr>
        <w:tabs>
          <w:tab w:val="left" w:pos="1800"/>
          <w:tab w:val="left" w:pos="5860"/>
        </w:tabs>
        <w:jc w:val="both"/>
        <w:rPr>
          <w:rFonts w:ascii="Century Schoolbook" w:hAnsi="Century Schoolbook"/>
          <w:sz w:val="22"/>
          <w:szCs w:val="22"/>
        </w:rPr>
      </w:pPr>
      <w:r w:rsidRPr="00273148">
        <w:rPr>
          <w:rFonts w:ascii="Century Schoolbook" w:hAnsi="Century Schoolbook"/>
          <w:sz w:val="22"/>
          <w:szCs w:val="22"/>
        </w:rPr>
        <w:tab/>
      </w:r>
    </w:p>
    <w:p w14:paraId="02664C25" w14:textId="77777777" w:rsidR="003E32A1" w:rsidRPr="00273148" w:rsidRDefault="003E32A1" w:rsidP="00273148">
      <w:pPr>
        <w:tabs>
          <w:tab w:val="left" w:pos="1800"/>
        </w:tabs>
        <w:jc w:val="both"/>
        <w:rPr>
          <w:rFonts w:ascii="Century Schoolbook" w:hAnsi="Century Schoolbook"/>
          <w:sz w:val="22"/>
          <w:szCs w:val="22"/>
        </w:rPr>
      </w:pPr>
    </w:p>
    <w:p w14:paraId="44C82025" w14:textId="77777777" w:rsidR="003E32A1" w:rsidRPr="00273148" w:rsidRDefault="003E32A1" w:rsidP="00273148">
      <w:pPr>
        <w:tabs>
          <w:tab w:val="left" w:pos="1800"/>
        </w:tabs>
        <w:jc w:val="both"/>
        <w:rPr>
          <w:rFonts w:ascii="Century Schoolbook" w:hAnsi="Century Schoolbook"/>
          <w:sz w:val="22"/>
          <w:szCs w:val="22"/>
        </w:rPr>
      </w:pPr>
    </w:p>
    <w:p w14:paraId="4DECBCA9" w14:textId="77777777" w:rsidR="003E32A1" w:rsidRPr="00273148" w:rsidRDefault="003E32A1" w:rsidP="00273148">
      <w:pPr>
        <w:tabs>
          <w:tab w:val="left" w:pos="1800"/>
        </w:tabs>
        <w:jc w:val="both"/>
        <w:rPr>
          <w:rFonts w:ascii="Century Schoolbook" w:hAnsi="Century Schoolbook"/>
          <w:sz w:val="22"/>
          <w:szCs w:val="22"/>
        </w:rPr>
      </w:pPr>
    </w:p>
    <w:p w14:paraId="5F86BF5A" w14:textId="77777777" w:rsidR="003E32A1" w:rsidRPr="00273148" w:rsidRDefault="003E32A1" w:rsidP="00273148">
      <w:pPr>
        <w:tabs>
          <w:tab w:val="left" w:pos="1800"/>
        </w:tabs>
        <w:jc w:val="both"/>
        <w:rPr>
          <w:rFonts w:ascii="Century Schoolbook" w:hAnsi="Century Schoolbook"/>
          <w:sz w:val="22"/>
          <w:szCs w:val="22"/>
        </w:rPr>
      </w:pPr>
    </w:p>
    <w:p w14:paraId="5A2E63F7" w14:textId="77777777" w:rsidR="003E32A1" w:rsidRPr="00273148" w:rsidRDefault="003E32A1" w:rsidP="00273148">
      <w:pPr>
        <w:tabs>
          <w:tab w:val="left" w:pos="1800"/>
        </w:tabs>
        <w:jc w:val="both"/>
        <w:rPr>
          <w:rFonts w:ascii="Century Schoolbook" w:hAnsi="Century Schoolbook"/>
          <w:sz w:val="22"/>
          <w:szCs w:val="22"/>
        </w:rPr>
      </w:pPr>
    </w:p>
    <w:p w14:paraId="4F3743B3" w14:textId="77777777" w:rsidR="003E32A1" w:rsidRPr="00273148" w:rsidRDefault="003E32A1" w:rsidP="00273148">
      <w:pPr>
        <w:tabs>
          <w:tab w:val="left" w:pos="1800"/>
        </w:tabs>
        <w:jc w:val="both"/>
        <w:rPr>
          <w:rFonts w:ascii="Century Schoolbook" w:hAnsi="Century Schoolbook"/>
          <w:sz w:val="22"/>
          <w:szCs w:val="22"/>
        </w:rPr>
      </w:pPr>
    </w:p>
    <w:p w14:paraId="591C8042" w14:textId="77777777" w:rsidR="003E32A1" w:rsidRPr="00273148" w:rsidRDefault="003E32A1" w:rsidP="00273148">
      <w:pPr>
        <w:tabs>
          <w:tab w:val="left" w:pos="1800"/>
        </w:tabs>
        <w:jc w:val="both"/>
        <w:rPr>
          <w:rFonts w:ascii="Century Schoolbook" w:hAnsi="Century Schoolbook"/>
          <w:sz w:val="22"/>
          <w:szCs w:val="22"/>
        </w:rPr>
      </w:pPr>
    </w:p>
    <w:p w14:paraId="5529636A" w14:textId="77777777" w:rsidR="003E32A1" w:rsidRPr="00273148" w:rsidRDefault="003E32A1" w:rsidP="00273148">
      <w:pPr>
        <w:tabs>
          <w:tab w:val="left" w:pos="1800"/>
        </w:tabs>
        <w:jc w:val="both"/>
        <w:rPr>
          <w:rFonts w:ascii="Century Schoolbook" w:hAnsi="Century Schoolbook"/>
          <w:sz w:val="22"/>
          <w:szCs w:val="22"/>
        </w:rPr>
      </w:pPr>
    </w:p>
    <w:p w14:paraId="031BF715" w14:textId="77777777" w:rsidR="003E32A1" w:rsidRPr="00273148" w:rsidRDefault="003E32A1" w:rsidP="00273148">
      <w:pPr>
        <w:tabs>
          <w:tab w:val="left" w:pos="1800"/>
        </w:tabs>
        <w:jc w:val="both"/>
        <w:rPr>
          <w:rFonts w:ascii="Century Schoolbook" w:hAnsi="Century Schoolbook"/>
          <w:sz w:val="22"/>
          <w:szCs w:val="22"/>
        </w:rPr>
      </w:pPr>
    </w:p>
    <w:p w14:paraId="2A0239DB" w14:textId="77777777" w:rsidR="003E32A1" w:rsidRPr="00273148" w:rsidRDefault="003E32A1" w:rsidP="00273148">
      <w:pPr>
        <w:tabs>
          <w:tab w:val="left" w:pos="1800"/>
        </w:tabs>
        <w:jc w:val="both"/>
        <w:rPr>
          <w:rFonts w:ascii="Century Schoolbook" w:hAnsi="Century Schoolbook"/>
          <w:sz w:val="22"/>
          <w:szCs w:val="22"/>
        </w:rPr>
      </w:pPr>
    </w:p>
    <w:p w14:paraId="64992C63" w14:textId="77777777" w:rsidR="003E32A1" w:rsidRPr="00273148" w:rsidRDefault="003E32A1" w:rsidP="00273148">
      <w:pPr>
        <w:tabs>
          <w:tab w:val="left" w:pos="1800"/>
        </w:tabs>
        <w:jc w:val="both"/>
        <w:rPr>
          <w:rFonts w:ascii="Century Schoolbook" w:hAnsi="Century Schoolbook"/>
          <w:sz w:val="22"/>
          <w:szCs w:val="22"/>
        </w:rPr>
      </w:pPr>
    </w:p>
    <w:p w14:paraId="77527FBA" w14:textId="77777777" w:rsidR="003E32A1" w:rsidRPr="00273148" w:rsidRDefault="003E32A1" w:rsidP="00273148">
      <w:pPr>
        <w:tabs>
          <w:tab w:val="left" w:pos="1800"/>
        </w:tabs>
        <w:jc w:val="both"/>
        <w:rPr>
          <w:rFonts w:ascii="Century Schoolbook" w:hAnsi="Century Schoolbook"/>
          <w:sz w:val="22"/>
          <w:szCs w:val="22"/>
        </w:rPr>
      </w:pPr>
    </w:p>
    <w:p w14:paraId="61F9BF6F" w14:textId="77777777" w:rsidR="003E32A1" w:rsidRPr="00273148" w:rsidRDefault="003E32A1" w:rsidP="00273148">
      <w:pPr>
        <w:tabs>
          <w:tab w:val="left" w:pos="1800"/>
        </w:tabs>
        <w:jc w:val="both"/>
        <w:rPr>
          <w:rFonts w:ascii="Century Schoolbook" w:hAnsi="Century Schoolbook"/>
          <w:sz w:val="22"/>
          <w:szCs w:val="22"/>
        </w:rPr>
      </w:pPr>
    </w:p>
    <w:p w14:paraId="28D49732" w14:textId="77777777" w:rsidR="003E32A1" w:rsidRPr="00273148" w:rsidRDefault="003E32A1" w:rsidP="00273148">
      <w:pPr>
        <w:tabs>
          <w:tab w:val="left" w:pos="1800"/>
        </w:tabs>
        <w:jc w:val="both"/>
        <w:rPr>
          <w:rFonts w:ascii="Century Schoolbook" w:hAnsi="Century Schoolbook"/>
          <w:sz w:val="22"/>
          <w:szCs w:val="22"/>
        </w:rPr>
      </w:pPr>
    </w:p>
    <w:p w14:paraId="1D04174B" w14:textId="77777777" w:rsidR="003E32A1" w:rsidRPr="00273148" w:rsidRDefault="003E32A1" w:rsidP="00273148">
      <w:pPr>
        <w:tabs>
          <w:tab w:val="left" w:pos="1800"/>
        </w:tabs>
        <w:jc w:val="both"/>
        <w:rPr>
          <w:rFonts w:ascii="Century Schoolbook" w:hAnsi="Century Schoolbook"/>
          <w:sz w:val="22"/>
          <w:szCs w:val="22"/>
        </w:rPr>
      </w:pPr>
    </w:p>
    <w:p w14:paraId="7ACD9A49" w14:textId="77777777" w:rsidR="003E32A1" w:rsidRPr="00273148" w:rsidRDefault="003E32A1" w:rsidP="00273148">
      <w:pPr>
        <w:tabs>
          <w:tab w:val="left" w:pos="1800"/>
        </w:tabs>
        <w:jc w:val="both"/>
        <w:rPr>
          <w:rFonts w:ascii="Century Schoolbook" w:hAnsi="Century Schoolbook"/>
          <w:sz w:val="22"/>
          <w:szCs w:val="22"/>
        </w:rPr>
      </w:pPr>
    </w:p>
    <w:p w14:paraId="197B88E9" w14:textId="77777777" w:rsidR="003E32A1" w:rsidRPr="00273148" w:rsidRDefault="003E32A1" w:rsidP="00273148">
      <w:pPr>
        <w:tabs>
          <w:tab w:val="left" w:pos="1800"/>
        </w:tabs>
        <w:jc w:val="both"/>
        <w:rPr>
          <w:rFonts w:ascii="Century Schoolbook" w:hAnsi="Century Schoolbook"/>
          <w:sz w:val="22"/>
          <w:szCs w:val="22"/>
        </w:rPr>
      </w:pPr>
    </w:p>
    <w:p w14:paraId="3A6882BC" w14:textId="77777777" w:rsidR="003E32A1" w:rsidRPr="00273148" w:rsidRDefault="003E32A1" w:rsidP="00273148">
      <w:pPr>
        <w:tabs>
          <w:tab w:val="left" w:pos="1800"/>
        </w:tabs>
        <w:jc w:val="both"/>
        <w:rPr>
          <w:rFonts w:ascii="Century Schoolbook" w:hAnsi="Century Schoolbook"/>
          <w:sz w:val="22"/>
          <w:szCs w:val="22"/>
        </w:rPr>
      </w:pPr>
    </w:p>
    <w:p w14:paraId="12D3E5A8" w14:textId="77777777" w:rsidR="003E32A1" w:rsidRPr="00273148" w:rsidRDefault="003E32A1" w:rsidP="00273148">
      <w:pPr>
        <w:tabs>
          <w:tab w:val="left" w:pos="1800"/>
        </w:tabs>
        <w:jc w:val="both"/>
        <w:rPr>
          <w:rFonts w:ascii="Century Schoolbook" w:hAnsi="Century Schoolbook"/>
          <w:sz w:val="22"/>
          <w:szCs w:val="22"/>
        </w:rPr>
      </w:pPr>
    </w:p>
    <w:p w14:paraId="32E42056" w14:textId="661E1447" w:rsidR="003E32A1" w:rsidRPr="00273148" w:rsidRDefault="003E32A1" w:rsidP="00273148">
      <w:pPr>
        <w:tabs>
          <w:tab w:val="left" w:pos="1800"/>
        </w:tabs>
        <w:jc w:val="both"/>
        <w:rPr>
          <w:rFonts w:ascii="Century Schoolbook" w:hAnsi="Century Schoolbook"/>
          <w:sz w:val="22"/>
          <w:szCs w:val="22"/>
        </w:rPr>
      </w:pPr>
    </w:p>
    <w:p w14:paraId="2AFCD51D" w14:textId="408893E6" w:rsidR="00C568BD" w:rsidRPr="00273148" w:rsidRDefault="003E32A1" w:rsidP="00273148">
      <w:pPr>
        <w:tabs>
          <w:tab w:val="left" w:pos="1800"/>
          <w:tab w:val="left" w:pos="3080"/>
        </w:tabs>
        <w:jc w:val="both"/>
        <w:rPr>
          <w:rFonts w:ascii="Century Schoolbook" w:hAnsi="Century Schoolbook"/>
          <w:sz w:val="22"/>
          <w:szCs w:val="22"/>
        </w:rPr>
      </w:pPr>
      <w:r w:rsidRPr="00273148">
        <w:rPr>
          <w:rFonts w:ascii="Century Schoolbook" w:hAnsi="Century Schoolbook"/>
          <w:sz w:val="22"/>
          <w:szCs w:val="22"/>
        </w:rPr>
        <w:tab/>
      </w:r>
    </w:p>
    <w:sectPr w:rsidR="00C568BD" w:rsidRPr="00273148" w:rsidSect="00535E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4120" w14:textId="77777777" w:rsidR="00902067" w:rsidRDefault="00902067" w:rsidP="00902067">
      <w:r>
        <w:separator/>
      </w:r>
    </w:p>
  </w:endnote>
  <w:endnote w:type="continuationSeparator" w:id="0">
    <w:p w14:paraId="6FAB7784" w14:textId="77777777" w:rsidR="00902067" w:rsidRDefault="00902067" w:rsidP="0090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2A972" w14:textId="77777777" w:rsidR="00902067" w:rsidRDefault="00902067" w:rsidP="00902067">
      <w:r>
        <w:separator/>
      </w:r>
    </w:p>
  </w:footnote>
  <w:footnote w:type="continuationSeparator" w:id="0">
    <w:p w14:paraId="0D88ACA3" w14:textId="77777777" w:rsidR="00902067" w:rsidRDefault="00902067" w:rsidP="009020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3203"/>
    <w:multiLevelType w:val="hybridMultilevel"/>
    <w:tmpl w:val="FAFC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8D"/>
    <w:rsid w:val="000F1308"/>
    <w:rsid w:val="00273148"/>
    <w:rsid w:val="002D414A"/>
    <w:rsid w:val="003D2AC0"/>
    <w:rsid w:val="003E2D24"/>
    <w:rsid w:val="003E32A1"/>
    <w:rsid w:val="00451443"/>
    <w:rsid w:val="00456267"/>
    <w:rsid w:val="0053032A"/>
    <w:rsid w:val="00535E53"/>
    <w:rsid w:val="00655805"/>
    <w:rsid w:val="006C508D"/>
    <w:rsid w:val="007B0298"/>
    <w:rsid w:val="007D5BEA"/>
    <w:rsid w:val="0087310E"/>
    <w:rsid w:val="00902067"/>
    <w:rsid w:val="00916097"/>
    <w:rsid w:val="009755EE"/>
    <w:rsid w:val="009860B0"/>
    <w:rsid w:val="009E2F5A"/>
    <w:rsid w:val="00A543A3"/>
    <w:rsid w:val="00AD4228"/>
    <w:rsid w:val="00B92FEA"/>
    <w:rsid w:val="00BA379B"/>
    <w:rsid w:val="00C022C5"/>
    <w:rsid w:val="00C52D42"/>
    <w:rsid w:val="00C568BD"/>
    <w:rsid w:val="00C76881"/>
    <w:rsid w:val="00C873D7"/>
    <w:rsid w:val="00CE0D3B"/>
    <w:rsid w:val="00EC1C78"/>
    <w:rsid w:val="00FD5DF5"/>
    <w:rsid w:val="00FD7F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5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067"/>
    <w:rPr>
      <w:color w:val="0000FF" w:themeColor="hyperlink"/>
      <w:u w:val="single"/>
    </w:rPr>
  </w:style>
  <w:style w:type="paragraph" w:styleId="Header">
    <w:name w:val="header"/>
    <w:basedOn w:val="Normal"/>
    <w:link w:val="HeaderChar"/>
    <w:uiPriority w:val="99"/>
    <w:unhideWhenUsed/>
    <w:rsid w:val="00902067"/>
    <w:pPr>
      <w:tabs>
        <w:tab w:val="center" w:pos="4320"/>
        <w:tab w:val="right" w:pos="8640"/>
      </w:tabs>
    </w:pPr>
  </w:style>
  <w:style w:type="character" w:customStyle="1" w:styleId="HeaderChar">
    <w:name w:val="Header Char"/>
    <w:basedOn w:val="DefaultParagraphFont"/>
    <w:link w:val="Header"/>
    <w:uiPriority w:val="99"/>
    <w:rsid w:val="00902067"/>
  </w:style>
  <w:style w:type="paragraph" w:styleId="Footer">
    <w:name w:val="footer"/>
    <w:basedOn w:val="Normal"/>
    <w:link w:val="FooterChar"/>
    <w:uiPriority w:val="99"/>
    <w:unhideWhenUsed/>
    <w:rsid w:val="00902067"/>
    <w:pPr>
      <w:tabs>
        <w:tab w:val="center" w:pos="4320"/>
        <w:tab w:val="right" w:pos="8640"/>
      </w:tabs>
    </w:pPr>
  </w:style>
  <w:style w:type="character" w:customStyle="1" w:styleId="FooterChar">
    <w:name w:val="Footer Char"/>
    <w:basedOn w:val="DefaultParagraphFont"/>
    <w:link w:val="Footer"/>
    <w:uiPriority w:val="99"/>
    <w:rsid w:val="00902067"/>
  </w:style>
  <w:style w:type="paragraph" w:styleId="ListParagraph">
    <w:name w:val="List Paragraph"/>
    <w:basedOn w:val="Normal"/>
    <w:uiPriority w:val="34"/>
    <w:qFormat/>
    <w:rsid w:val="00FD5D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067"/>
    <w:rPr>
      <w:color w:val="0000FF" w:themeColor="hyperlink"/>
      <w:u w:val="single"/>
    </w:rPr>
  </w:style>
  <w:style w:type="paragraph" w:styleId="Header">
    <w:name w:val="header"/>
    <w:basedOn w:val="Normal"/>
    <w:link w:val="HeaderChar"/>
    <w:uiPriority w:val="99"/>
    <w:unhideWhenUsed/>
    <w:rsid w:val="00902067"/>
    <w:pPr>
      <w:tabs>
        <w:tab w:val="center" w:pos="4320"/>
        <w:tab w:val="right" w:pos="8640"/>
      </w:tabs>
    </w:pPr>
  </w:style>
  <w:style w:type="character" w:customStyle="1" w:styleId="HeaderChar">
    <w:name w:val="Header Char"/>
    <w:basedOn w:val="DefaultParagraphFont"/>
    <w:link w:val="Header"/>
    <w:uiPriority w:val="99"/>
    <w:rsid w:val="00902067"/>
  </w:style>
  <w:style w:type="paragraph" w:styleId="Footer">
    <w:name w:val="footer"/>
    <w:basedOn w:val="Normal"/>
    <w:link w:val="FooterChar"/>
    <w:uiPriority w:val="99"/>
    <w:unhideWhenUsed/>
    <w:rsid w:val="00902067"/>
    <w:pPr>
      <w:tabs>
        <w:tab w:val="center" w:pos="4320"/>
        <w:tab w:val="right" w:pos="8640"/>
      </w:tabs>
    </w:pPr>
  </w:style>
  <w:style w:type="character" w:customStyle="1" w:styleId="FooterChar">
    <w:name w:val="Footer Char"/>
    <w:basedOn w:val="DefaultParagraphFont"/>
    <w:link w:val="Footer"/>
    <w:uiPriority w:val="99"/>
    <w:rsid w:val="00902067"/>
  </w:style>
  <w:style w:type="paragraph" w:styleId="ListParagraph">
    <w:name w:val="List Paragraph"/>
    <w:basedOn w:val="Normal"/>
    <w:uiPriority w:val="34"/>
    <w:qFormat/>
    <w:rsid w:val="00FD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chequity.com/" TargetMode="External"/><Relationship Id="rId9" Type="http://schemas.openxmlformats.org/officeDocument/2006/relationships/hyperlink" Target="http://www.dhsprogra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1080</Words>
  <Characters>6162</Characters>
  <Application>Microsoft Macintosh Word</Application>
  <DocSecurity>0</DocSecurity>
  <Lines>51</Lines>
  <Paragraphs>14</Paragraphs>
  <ScaleCrop>false</ScaleCrop>
  <Company>Harvard University</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Arijit Nandi</dc:creator>
  <cp:keywords/>
  <dc:description/>
  <cp:lastModifiedBy>Arijit Nandi</cp:lastModifiedBy>
  <cp:revision>29</cp:revision>
  <dcterms:created xsi:type="dcterms:W3CDTF">2016-02-09T02:58:00Z</dcterms:created>
  <dcterms:modified xsi:type="dcterms:W3CDTF">2016-02-10T09:03:00Z</dcterms:modified>
</cp:coreProperties>
</file>