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05448" w14:textId="113C484F" w:rsidR="000C02F1" w:rsidRPr="00C20781" w:rsidRDefault="000C02F1" w:rsidP="000C02F1">
      <w:pPr>
        <w:pStyle w:val="Head"/>
        <w:spacing w:line="480" w:lineRule="auto"/>
      </w:pPr>
      <w:r w:rsidRPr="00C20781">
        <w:t>Su</w:t>
      </w:r>
      <w:r w:rsidR="0007735B">
        <w:t>pporting</w:t>
      </w:r>
      <w:r w:rsidRPr="00C20781">
        <w:t xml:space="preserve"> </w:t>
      </w:r>
      <w:r w:rsidR="006723EE" w:rsidRPr="00C20781">
        <w:t>Information</w:t>
      </w:r>
      <w:r w:rsidR="0007735B">
        <w:t>: S1 Text</w:t>
      </w:r>
    </w:p>
    <w:p w14:paraId="44855A1A" w14:textId="77777777" w:rsidR="00EF6238" w:rsidRPr="00C20781" w:rsidRDefault="00EF6238" w:rsidP="00EF6238">
      <w:pPr>
        <w:widowControl w:val="0"/>
        <w:autoSpaceDE w:val="0"/>
        <w:autoSpaceDN w:val="0"/>
        <w:adjustRightInd w:val="0"/>
        <w:rPr>
          <w:b/>
          <w:sz w:val="28"/>
          <w:szCs w:val="28"/>
        </w:rPr>
      </w:pPr>
    </w:p>
    <w:p w14:paraId="28ED9AB3" w14:textId="111CABEB" w:rsidR="00AE5589" w:rsidRPr="00C20781" w:rsidRDefault="00E2442E" w:rsidP="00C577F7">
      <w:pPr>
        <w:pStyle w:val="Paragraph"/>
        <w:spacing w:line="480" w:lineRule="auto"/>
        <w:ind w:firstLine="0"/>
        <w:rPr>
          <w:b/>
        </w:rPr>
      </w:pPr>
      <w:r w:rsidRPr="00C20781">
        <w:rPr>
          <w:b/>
        </w:rPr>
        <w:t>S</w:t>
      </w:r>
      <w:r w:rsidR="00AE5589" w:rsidRPr="00C20781">
        <w:rPr>
          <w:b/>
        </w:rPr>
        <w:t>upplementary Methods</w:t>
      </w:r>
      <w:bookmarkStart w:id="0" w:name="_GoBack"/>
      <w:bookmarkEnd w:id="0"/>
    </w:p>
    <w:p w14:paraId="3E547AD4" w14:textId="77777777" w:rsidR="00AE5589" w:rsidRPr="00C20781" w:rsidRDefault="00AE5589" w:rsidP="00AE5589">
      <w:pPr>
        <w:spacing w:line="480" w:lineRule="auto"/>
        <w:rPr>
          <w:b/>
          <w:sz w:val="24"/>
          <w:szCs w:val="24"/>
        </w:rPr>
      </w:pPr>
      <w:r w:rsidRPr="00C20781">
        <w:rPr>
          <w:b/>
          <w:sz w:val="24"/>
          <w:szCs w:val="24"/>
        </w:rPr>
        <w:t>Choice of region size and stability of clusters</w:t>
      </w:r>
    </w:p>
    <w:p w14:paraId="5536FE5C" w14:textId="3C65BCDF" w:rsidR="0001712C" w:rsidRPr="00C20781" w:rsidRDefault="00AE5589" w:rsidP="00AE5589">
      <w:pPr>
        <w:spacing w:line="480" w:lineRule="auto"/>
        <w:rPr>
          <w:sz w:val="24"/>
          <w:szCs w:val="24"/>
        </w:rPr>
      </w:pPr>
      <w:r w:rsidRPr="00C20781">
        <w:rPr>
          <w:sz w:val="24"/>
          <w:szCs w:val="24"/>
        </w:rPr>
        <w:t xml:space="preserve">To identify regional clusters within a tumor, tumor regions need to be small enough so that there are sufficient numbers of regions, yet sufficiently large to account for local characteristics of the cancer ecosystem. We based our criteria for region size selection on several factors, including </w:t>
      </w:r>
      <w:r w:rsidR="00A94B90" w:rsidRPr="00C20781">
        <w:rPr>
          <w:sz w:val="24"/>
          <w:szCs w:val="24"/>
        </w:rPr>
        <w:t xml:space="preserve">1) </w:t>
      </w:r>
      <w:r w:rsidRPr="00C20781">
        <w:rPr>
          <w:sz w:val="24"/>
          <w:szCs w:val="24"/>
        </w:rPr>
        <w:t>the effect of region size on the number of regions per tumor,</w:t>
      </w:r>
      <w:r w:rsidR="00A94B90" w:rsidRPr="00C20781">
        <w:rPr>
          <w:sz w:val="24"/>
          <w:szCs w:val="24"/>
        </w:rPr>
        <w:t xml:space="preserve"> 2)</w:t>
      </w:r>
      <w:r w:rsidRPr="00C20781">
        <w:rPr>
          <w:sz w:val="24"/>
          <w:szCs w:val="24"/>
        </w:rPr>
        <w:t xml:space="preserve"> number of cells per region, and </w:t>
      </w:r>
      <w:r w:rsidR="00A94B90" w:rsidRPr="00C20781">
        <w:rPr>
          <w:sz w:val="24"/>
          <w:szCs w:val="24"/>
        </w:rPr>
        <w:t xml:space="preserve">3) </w:t>
      </w:r>
      <w:r w:rsidRPr="00C20781">
        <w:rPr>
          <w:sz w:val="24"/>
          <w:szCs w:val="24"/>
        </w:rPr>
        <w:t xml:space="preserve">stability of clustering. First, based on the region size </w:t>
      </w:r>
      <w:r w:rsidRPr="00C20781">
        <w:rPr>
          <w:i/>
          <w:sz w:val="24"/>
          <w:szCs w:val="24"/>
        </w:rPr>
        <w:t>r</w:t>
      </w:r>
      <w:r w:rsidRPr="00C20781">
        <w:rPr>
          <w:sz w:val="24"/>
          <w:szCs w:val="24"/>
        </w:rPr>
        <w:t xml:space="preserve"> as </w:t>
      </w:r>
      <w:proofErr w:type="gramStart"/>
      <w:r w:rsidRPr="00C20781">
        <w:rPr>
          <w:sz w:val="24"/>
          <w:szCs w:val="24"/>
        </w:rPr>
        <w:t>a</w:t>
      </w:r>
      <w:proofErr w:type="gramEnd"/>
      <w:r w:rsidRPr="00C20781">
        <w:rPr>
          <w:sz w:val="24"/>
          <w:szCs w:val="24"/>
        </w:rPr>
        <w:t xml:space="preserve"> </w:t>
      </w:r>
      <w:r w:rsidRPr="00C20781">
        <w:rPr>
          <w:i/>
          <w:sz w:val="24"/>
          <w:szCs w:val="24"/>
        </w:rPr>
        <w:t>r</w:t>
      </w:r>
      <w:r w:rsidRPr="00C20781">
        <w:rPr>
          <w:sz w:val="24"/>
          <w:szCs w:val="24"/>
        </w:rPr>
        <w:t>-by-</w:t>
      </w:r>
      <w:r w:rsidRPr="00C20781">
        <w:rPr>
          <w:i/>
          <w:sz w:val="24"/>
          <w:szCs w:val="24"/>
        </w:rPr>
        <w:t>r</w:t>
      </w:r>
      <w:r w:rsidRPr="00C20781">
        <w:rPr>
          <w:sz w:val="24"/>
          <w:szCs w:val="24"/>
        </w:rPr>
        <w:t xml:space="preserve"> square, we plotted the average number of regions in all tumors and average number of cells per region (</w:t>
      </w:r>
      <w:r w:rsidR="00C577F7" w:rsidRPr="00C20781">
        <w:rPr>
          <w:sz w:val="24"/>
          <w:szCs w:val="24"/>
        </w:rPr>
        <w:t>S1 Fig</w:t>
      </w:r>
      <w:r w:rsidR="00CC4058" w:rsidRPr="00C20781">
        <w:rPr>
          <w:sz w:val="24"/>
          <w:szCs w:val="24"/>
        </w:rPr>
        <w:t xml:space="preserve"> A</w:t>
      </w:r>
      <w:r w:rsidRPr="00C20781">
        <w:rPr>
          <w:sz w:val="24"/>
          <w:szCs w:val="24"/>
        </w:rPr>
        <w:t>). Based on th</w:t>
      </w:r>
      <w:r w:rsidR="00A82E02" w:rsidRPr="00C20781">
        <w:rPr>
          <w:sz w:val="24"/>
          <w:szCs w:val="24"/>
        </w:rPr>
        <w:t>is, regions of 200</w:t>
      </w:r>
      <w:r w:rsidRPr="00C20781">
        <w:rPr>
          <w:sz w:val="24"/>
          <w:szCs w:val="24"/>
        </w:rPr>
        <w:t xml:space="preserve">um capture a reasonable amount of cells whilst allowing sufficient number of regions for clustering. </w:t>
      </w:r>
    </w:p>
    <w:p w14:paraId="025EF1EE" w14:textId="77777777" w:rsidR="0063292B" w:rsidRPr="00C20781" w:rsidRDefault="0063292B" w:rsidP="00AE5589">
      <w:pPr>
        <w:spacing w:line="480" w:lineRule="auto"/>
        <w:rPr>
          <w:sz w:val="24"/>
          <w:szCs w:val="24"/>
        </w:rPr>
      </w:pPr>
    </w:p>
    <w:p w14:paraId="49F8DA87" w14:textId="78B8663C" w:rsidR="00AE5589" w:rsidRPr="00C20781" w:rsidRDefault="00AE5589" w:rsidP="00AE5589">
      <w:pPr>
        <w:spacing w:line="480" w:lineRule="auto"/>
        <w:rPr>
          <w:sz w:val="24"/>
          <w:szCs w:val="24"/>
        </w:rPr>
      </w:pPr>
      <w:r w:rsidRPr="00C20781">
        <w:rPr>
          <w:sz w:val="24"/>
          <w:szCs w:val="24"/>
        </w:rPr>
        <w:t xml:space="preserve">Another criterion to evaluate sufficient number of regions for clustering is the clustering </w:t>
      </w:r>
      <w:r w:rsidR="0001712C" w:rsidRPr="00C20781">
        <w:rPr>
          <w:sz w:val="24"/>
          <w:szCs w:val="24"/>
        </w:rPr>
        <w:t>stability</w:t>
      </w:r>
      <w:r w:rsidRPr="00C20781">
        <w:rPr>
          <w:sz w:val="24"/>
          <w:szCs w:val="24"/>
        </w:rPr>
        <w:t>. This is based on the notion that a stable clustering can be reproduced even with less data points, here we used 90% of the data. By sampling 90% regions 10 times in 20 randomly selected tumors, we can measure the instability of clustering as</w:t>
      </w:r>
    </w:p>
    <w:p w14:paraId="6AE439C4" w14:textId="77777777" w:rsidR="00AE5589" w:rsidRPr="00C20781" w:rsidRDefault="00AE5589" w:rsidP="00AE5589">
      <w:pPr>
        <w:spacing w:line="480" w:lineRule="auto"/>
        <w:jc w:val="right"/>
        <w:rPr>
          <w:sz w:val="24"/>
          <w:szCs w:val="24"/>
        </w:rPr>
      </w:pPr>
      <m:oMath>
        <m:r>
          <w:rPr>
            <w:rFonts w:ascii="Cambria Math" w:hAnsi="Cambria Math" w:cs="Arial"/>
            <w:sz w:val="22"/>
            <w:szCs w:val="22"/>
          </w:rPr>
          <m:t>s=</m:t>
        </m:r>
        <m:f>
          <m:fPr>
            <m:ctrlPr>
              <w:rPr>
                <w:rFonts w:ascii="Cambria Math" w:hAnsi="Cambria Math" w:cs="Arial"/>
                <w:i/>
                <w:sz w:val="22"/>
                <w:szCs w:val="22"/>
              </w:rPr>
            </m:ctrlPr>
          </m:fPr>
          <m:num>
            <m:nary>
              <m:naryPr>
                <m:chr m:val="∑"/>
                <m:limLoc m:val="undOvr"/>
                <m:ctrlPr>
                  <w:rPr>
                    <w:rFonts w:ascii="Cambria Math" w:hAnsi="Cambria Math" w:cs="Arial"/>
                    <w:i/>
                    <w:sz w:val="22"/>
                    <w:szCs w:val="22"/>
                  </w:rPr>
                </m:ctrlPr>
              </m:naryPr>
              <m:sub>
                <m:r>
                  <w:rPr>
                    <w:rFonts w:ascii="Cambria Math" w:hAnsi="Cambria Math" w:cs="Arial"/>
                    <w:sz w:val="22"/>
                    <w:szCs w:val="22"/>
                  </w:rPr>
                  <m:t>i=1</m:t>
                </m:r>
              </m:sub>
              <m:sup>
                <m:r>
                  <w:rPr>
                    <w:rFonts w:ascii="Cambria Math" w:hAnsi="Cambria Math" w:cs="Arial"/>
                    <w:sz w:val="22"/>
                    <w:szCs w:val="22"/>
                  </w:rPr>
                  <m:t>20</m:t>
                </m:r>
              </m:sup>
              <m:e>
                <m:r>
                  <w:rPr>
                    <w:rFonts w:ascii="Cambria Math" w:hAnsi="Cambria Math" w:cs="Arial"/>
                    <w:sz w:val="22"/>
                    <w:szCs w:val="22"/>
                  </w:rPr>
                  <m:t>sd</m:t>
                </m:r>
                <m:d>
                  <m:dPr>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k</m:t>
                        </m:r>
                      </m:e>
                      <m:sub>
                        <m:r>
                          <w:rPr>
                            <w:rFonts w:ascii="Cambria Math" w:hAnsi="Cambria Math" w:cs="Arial"/>
                            <w:sz w:val="22"/>
                            <w:szCs w:val="22"/>
                          </w:rPr>
                          <m:t>i</m:t>
                        </m:r>
                      </m:sub>
                    </m:sSub>
                    <m:r>
                      <w:rPr>
                        <w:rFonts w:ascii="Cambria Math" w:hAnsi="Cambria Math" w:cs="Arial"/>
                        <w:sz w:val="22"/>
                        <w:szCs w:val="22"/>
                      </w:rPr>
                      <m:t>/w</m:t>
                    </m:r>
                  </m:e>
                </m:d>
              </m:e>
            </m:nary>
          </m:num>
          <m:den>
            <m:r>
              <w:rPr>
                <w:rFonts w:ascii="Cambria Math" w:hAnsi="Cambria Math" w:cs="Arial"/>
                <w:sz w:val="22"/>
                <w:szCs w:val="22"/>
              </w:rPr>
              <m:t>20</m:t>
            </m:r>
          </m:den>
        </m:f>
        <m:r>
          <w:rPr>
            <w:rFonts w:ascii="Cambria Math" w:hAnsi="Cambria Math" w:cs="Arial"/>
            <w:sz w:val="22"/>
            <w:szCs w:val="22"/>
          </w:rPr>
          <m:t xml:space="preserve">,                                                                </m:t>
        </m:r>
      </m:oMath>
      <w:r w:rsidRPr="00C20781">
        <w:rPr>
          <w:sz w:val="24"/>
          <w:szCs w:val="24"/>
        </w:rPr>
        <w:t>Eq.3</w:t>
      </w:r>
    </w:p>
    <w:p w14:paraId="24BAC8D5" w14:textId="26A0D746" w:rsidR="00A94B90" w:rsidRPr="00C20781" w:rsidRDefault="00AE5589" w:rsidP="00F44624">
      <w:pPr>
        <w:spacing w:line="480" w:lineRule="auto"/>
        <w:rPr>
          <w:sz w:val="24"/>
          <w:szCs w:val="24"/>
        </w:rPr>
      </w:pPr>
      <w:r w:rsidRPr="00C20781">
        <w:rPr>
          <w:sz w:val="24"/>
          <w:szCs w:val="24"/>
        </w:rPr>
        <w:t xml:space="preserve">where </w:t>
      </w:r>
      <m:oMath>
        <m:sSub>
          <m:sSubPr>
            <m:ctrlPr>
              <w:rPr>
                <w:rFonts w:ascii="Cambria Math" w:hAnsi="Cambria Math" w:cs="Arial"/>
                <w:i/>
                <w:sz w:val="22"/>
                <w:szCs w:val="22"/>
              </w:rPr>
            </m:ctrlPr>
          </m:sSubPr>
          <m:e>
            <m:r>
              <w:rPr>
                <w:rFonts w:ascii="Cambria Math" w:hAnsi="Cambria Math" w:cs="Arial"/>
                <w:sz w:val="22"/>
                <w:szCs w:val="22"/>
              </w:rPr>
              <m:t>k</m:t>
            </m:r>
          </m:e>
          <m:sub>
            <m:r>
              <w:rPr>
                <w:rFonts w:ascii="Cambria Math" w:hAnsi="Cambria Math" w:cs="Arial"/>
                <w:sz w:val="22"/>
                <w:szCs w:val="22"/>
              </w:rPr>
              <m:t>i</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k</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k</m:t>
            </m:r>
          </m:e>
          <m:sub>
            <m:r>
              <w:rPr>
                <w:rFonts w:ascii="Cambria Math" w:hAnsi="Cambria Math" w:cs="Arial"/>
                <w:sz w:val="22"/>
                <w:szCs w:val="22"/>
              </w:rPr>
              <m:t>2</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k</m:t>
            </m:r>
          </m:e>
          <m:sub>
            <m:r>
              <w:rPr>
                <w:rFonts w:ascii="Cambria Math" w:hAnsi="Cambria Math" w:cs="Arial"/>
                <w:sz w:val="22"/>
                <w:szCs w:val="22"/>
              </w:rPr>
              <m:t>10</m:t>
            </m:r>
          </m:sub>
        </m:sSub>
        <m:r>
          <w:rPr>
            <w:rFonts w:ascii="Cambria Math" w:hAnsi="Cambria Math" w:cs="Arial"/>
            <w:sz w:val="22"/>
            <w:szCs w:val="22"/>
          </w:rPr>
          <m:t xml:space="preserve"> </m:t>
        </m:r>
      </m:oMath>
      <w:r w:rsidRPr="00C20781">
        <w:rPr>
          <w:sz w:val="24"/>
          <w:szCs w:val="24"/>
        </w:rPr>
        <w:t xml:space="preserve">for a tumor </w:t>
      </w:r>
      <w:proofErr w:type="spellStart"/>
      <w:r w:rsidRPr="00C20781">
        <w:rPr>
          <w:i/>
          <w:sz w:val="24"/>
          <w:szCs w:val="24"/>
        </w:rPr>
        <w:t>i</w:t>
      </w:r>
      <w:proofErr w:type="spellEnd"/>
      <w:r w:rsidRPr="00C20781">
        <w:rPr>
          <w:sz w:val="24"/>
          <w:szCs w:val="24"/>
        </w:rPr>
        <w:t xml:space="preserve"> is a vector of the number of clusters produced using the same clustering method Eq.1 but based on random sampling, </w:t>
      </w:r>
      <w:r w:rsidRPr="00C20781">
        <w:rPr>
          <w:i/>
          <w:sz w:val="24"/>
          <w:szCs w:val="24"/>
        </w:rPr>
        <w:t>w</w:t>
      </w:r>
      <w:r w:rsidRPr="00C20781">
        <w:rPr>
          <w:sz w:val="24"/>
          <w:szCs w:val="24"/>
        </w:rPr>
        <w:t xml:space="preserve"> is a normalizing factor of maximum amount of variability in the clustering, defined as </w:t>
      </w:r>
      <w:proofErr w:type="spellStart"/>
      <w:r w:rsidRPr="00C20781">
        <w:rPr>
          <w:i/>
          <w:sz w:val="24"/>
          <w:szCs w:val="24"/>
        </w:rPr>
        <w:t>sd</w:t>
      </w:r>
      <w:proofErr w:type="spellEnd"/>
      <w:r w:rsidRPr="00C20781">
        <w:rPr>
          <w:i/>
          <w:sz w:val="24"/>
          <w:szCs w:val="24"/>
        </w:rPr>
        <w:t>(1, 1, …, m, m)</w:t>
      </w:r>
      <w:r w:rsidRPr="00C20781">
        <w:rPr>
          <w:sz w:val="24"/>
          <w:szCs w:val="24"/>
        </w:rPr>
        <w:t xml:space="preserve"> and </w:t>
      </w:r>
      <w:r w:rsidRPr="00C20781">
        <w:rPr>
          <w:i/>
          <w:sz w:val="24"/>
          <w:szCs w:val="24"/>
        </w:rPr>
        <w:t>m</w:t>
      </w:r>
      <w:r w:rsidRPr="00C20781">
        <w:rPr>
          <w:sz w:val="24"/>
          <w:szCs w:val="24"/>
        </w:rPr>
        <w:t xml:space="preserve"> being the maximum number of the clusters. Thus </w:t>
      </w:r>
      <w:r w:rsidRPr="00C20781">
        <w:rPr>
          <w:i/>
          <w:sz w:val="24"/>
          <w:szCs w:val="24"/>
        </w:rPr>
        <w:t>s</w:t>
      </w:r>
      <w:r w:rsidRPr="00C20781">
        <w:rPr>
          <w:sz w:val="24"/>
          <w:szCs w:val="24"/>
        </w:rPr>
        <w:t xml:space="preserve"> has a range of [0</w:t>
      </w:r>
      <w:proofErr w:type="gramStart"/>
      <w:r w:rsidRPr="00C20781">
        <w:rPr>
          <w:sz w:val="24"/>
          <w:szCs w:val="24"/>
        </w:rPr>
        <w:t>,1</w:t>
      </w:r>
      <w:proofErr w:type="gramEnd"/>
      <w:r w:rsidRPr="00C20781">
        <w:rPr>
          <w:sz w:val="24"/>
          <w:szCs w:val="24"/>
        </w:rPr>
        <w:t xml:space="preserve">], and the higher the </w:t>
      </w:r>
      <w:r w:rsidRPr="00C20781">
        <w:rPr>
          <w:i/>
          <w:sz w:val="24"/>
          <w:szCs w:val="24"/>
        </w:rPr>
        <w:t>s,</w:t>
      </w:r>
      <w:r w:rsidRPr="00C20781">
        <w:rPr>
          <w:sz w:val="24"/>
          <w:szCs w:val="24"/>
        </w:rPr>
        <w:t xml:space="preserve"> the more unstable the clustering. According to this criterion, the most stable clustering occurs at region </w:t>
      </w:r>
      <w:r w:rsidRPr="00C20781">
        <w:rPr>
          <w:sz w:val="24"/>
          <w:szCs w:val="24"/>
        </w:rPr>
        <w:lastRenderedPageBreak/>
        <w:t>sizes of 200 and 166μm (</w:t>
      </w:r>
      <w:r w:rsidR="00C57F30" w:rsidRPr="00C20781">
        <w:rPr>
          <w:sz w:val="24"/>
          <w:szCs w:val="24"/>
        </w:rPr>
        <w:t>S1 Fig</w:t>
      </w:r>
      <w:r w:rsidR="00CC4058" w:rsidRPr="00C20781">
        <w:rPr>
          <w:sz w:val="24"/>
          <w:szCs w:val="24"/>
        </w:rPr>
        <w:t xml:space="preserve"> B</w:t>
      </w:r>
      <w:r w:rsidRPr="00C20781">
        <w:rPr>
          <w:sz w:val="24"/>
          <w:szCs w:val="24"/>
        </w:rPr>
        <w:t>). In addition, we examined the diversity scores as a function of region size. The smaller the region is, the more likely that the region captures single cell types, the extreme case being one cell per region. Indeed, average diversity decreases with decreasing region size using 20 randomly sampled tumors (</w:t>
      </w:r>
      <w:r w:rsidR="00C577F7" w:rsidRPr="00C20781">
        <w:rPr>
          <w:sz w:val="24"/>
          <w:szCs w:val="24"/>
        </w:rPr>
        <w:t>S1 Fig</w:t>
      </w:r>
      <w:r w:rsidR="00CC4058" w:rsidRPr="00C20781">
        <w:rPr>
          <w:sz w:val="24"/>
          <w:szCs w:val="24"/>
        </w:rPr>
        <w:t xml:space="preserve"> C</w:t>
      </w:r>
      <w:r w:rsidRPr="00C20781">
        <w:rPr>
          <w:sz w:val="24"/>
          <w:szCs w:val="24"/>
        </w:rPr>
        <w:t xml:space="preserve">). Therefore, we chose a region size of 200μm by 200μm, that is, 400 pixels by 400 pixels square regions in H&amp;E images of 20x magnification. </w:t>
      </w:r>
      <w:r w:rsidR="00A94B90" w:rsidRPr="00C20781">
        <w:rPr>
          <w:sz w:val="24"/>
          <w:szCs w:val="24"/>
        </w:rPr>
        <w:t>Cells in the same region are within the</w:t>
      </w:r>
      <w:r w:rsidRPr="00C20781">
        <w:rPr>
          <w:sz w:val="24"/>
          <w:szCs w:val="24"/>
        </w:rPr>
        <w:t xml:space="preserve"> effective cell communication range via a </w:t>
      </w:r>
      <w:proofErr w:type="spellStart"/>
      <w:r w:rsidRPr="00C20781">
        <w:rPr>
          <w:sz w:val="24"/>
          <w:szCs w:val="24"/>
        </w:rPr>
        <w:t>cyto</w:t>
      </w:r>
      <w:proofErr w:type="spellEnd"/>
      <w:r w:rsidRPr="00C20781">
        <w:rPr>
          <w:sz w:val="24"/>
          <w:szCs w:val="24"/>
        </w:rPr>
        <w:t>/chemokine</w:t>
      </w:r>
      <w:r w:rsidR="00A94B90" w:rsidRPr="00C20781">
        <w:rPr>
          <w:sz w:val="24"/>
          <w:szCs w:val="24"/>
        </w:rPr>
        <w:t>,</w:t>
      </w:r>
      <w:r w:rsidRPr="00C20781">
        <w:rPr>
          <w:sz w:val="24"/>
          <w:szCs w:val="24"/>
        </w:rPr>
        <w:t xml:space="preserve"> </w:t>
      </w:r>
      <w:r w:rsidRPr="00C20781">
        <w:rPr>
          <w:rFonts w:eastAsia="MS Gothic"/>
          <w:sz w:val="24"/>
          <w:szCs w:val="24"/>
        </w:rPr>
        <w:t>≈</w:t>
      </w:r>
      <w:r w:rsidRPr="00C20781">
        <w:rPr>
          <w:sz w:val="24"/>
          <w:szCs w:val="24"/>
        </w:rPr>
        <w:t xml:space="preserve">250μm </w:t>
      </w:r>
      <w:r w:rsidRPr="00C20781">
        <w:rPr>
          <w:sz w:val="24"/>
          <w:szCs w:val="24"/>
        </w:rPr>
        <w:fldChar w:fldCharType="begin">
          <w:fldData xml:space="preserve">PEVuZE5vdGU+PENpdGUgRXhjbHVkZVllYXI9IjEiPjxBdXRob3I+RnJhbmNpczwvQXV0aG9yPjxZ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cmljYTwvYWJici0xPjwvYWx0LXBlcmlvZGljYWw+PHBhZ2VzPjEyMjU4LTYyPC9wYWdlcz48dm9s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</w:fldData>
        </w:fldChar>
      </w:r>
      <w:r w:rsidRPr="00C20781">
        <w:rPr>
          <w:sz w:val="24"/>
          <w:szCs w:val="24"/>
        </w:rPr>
        <w:instrText xml:space="preserve"> ADDIN EN.CITE </w:instrText>
      </w:r>
      <w:r w:rsidRPr="00C20781">
        <w:rPr>
          <w:sz w:val="24"/>
          <w:szCs w:val="24"/>
        </w:rPr>
        <w:fldChar w:fldCharType="begin">
          <w:fldData xml:space="preserve">PEVuZE5vdGU+PENpdGUgRXhjbHVkZVllYXI9IjEiPjxBdXRob3I+RnJhbmNpczwvQXV0aG9yPjxZ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cmljYTwvYWJici0xPjwvYWx0LXBlcmlvZGljYWw+PHBhZ2VzPjEyMjU4LTYyPC9wYWdlcz48dm9s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</w:fldData>
        </w:fldChar>
      </w:r>
      <w:r w:rsidRPr="00C20781">
        <w:rPr>
          <w:sz w:val="24"/>
          <w:szCs w:val="24"/>
        </w:rPr>
        <w:instrText xml:space="preserve"> ADDIN EN.CITE.DATA </w:instrText>
      </w:r>
      <w:r w:rsidRPr="00C20781">
        <w:rPr>
          <w:sz w:val="24"/>
          <w:szCs w:val="24"/>
        </w:rPr>
      </w:r>
      <w:r w:rsidRPr="00C20781">
        <w:rPr>
          <w:sz w:val="24"/>
          <w:szCs w:val="24"/>
        </w:rPr>
        <w:fldChar w:fldCharType="end"/>
      </w:r>
      <w:r w:rsidRPr="00C20781">
        <w:rPr>
          <w:sz w:val="24"/>
          <w:szCs w:val="24"/>
        </w:rPr>
      </w:r>
      <w:r w:rsidRPr="00C20781">
        <w:rPr>
          <w:sz w:val="24"/>
          <w:szCs w:val="24"/>
        </w:rPr>
        <w:fldChar w:fldCharType="separate"/>
      </w:r>
      <w:r w:rsidRPr="00C20781">
        <w:rPr>
          <w:noProof/>
          <w:sz w:val="24"/>
          <w:szCs w:val="24"/>
          <w:vertAlign w:val="superscript"/>
        </w:rPr>
        <w:t>45</w:t>
      </w:r>
      <w:r w:rsidRPr="00C20781">
        <w:rPr>
          <w:sz w:val="24"/>
          <w:szCs w:val="24"/>
        </w:rPr>
        <w:fldChar w:fldCharType="end"/>
      </w:r>
      <w:r w:rsidRPr="00C20781">
        <w:rPr>
          <w:sz w:val="24"/>
          <w:szCs w:val="24"/>
        </w:rPr>
        <w:t xml:space="preserve">. </w:t>
      </w:r>
    </w:p>
    <w:p w14:paraId="0E7F2D3A" w14:textId="77777777" w:rsidR="00A94B90" w:rsidRPr="00C20781" w:rsidRDefault="00A94B90" w:rsidP="00F44624">
      <w:pPr>
        <w:spacing w:line="480" w:lineRule="auto"/>
        <w:rPr>
          <w:sz w:val="24"/>
          <w:szCs w:val="24"/>
        </w:rPr>
      </w:pPr>
    </w:p>
    <w:p w14:paraId="12125D6C" w14:textId="34A71C7A" w:rsidR="00F44624" w:rsidRPr="00C20781" w:rsidRDefault="00AE5589" w:rsidP="00F44624">
      <w:pPr>
        <w:spacing w:line="480" w:lineRule="auto"/>
        <w:rPr>
          <w:sz w:val="24"/>
          <w:szCs w:val="24"/>
        </w:rPr>
      </w:pPr>
      <w:r w:rsidRPr="00C20781">
        <w:rPr>
          <w:sz w:val="24"/>
          <w:szCs w:val="24"/>
        </w:rPr>
        <w:t>On average, a region of this size contains 64</w:t>
      </w:r>
      <m:oMath>
        <m:r>
          <w:rPr>
            <w:rFonts w:ascii="Cambria Math" w:hAnsi="Cambria Math" w:cs="Arial"/>
            <w:sz w:val="22"/>
            <w:szCs w:val="22"/>
          </w:rPr>
          <m:t>±</m:t>
        </m:r>
      </m:oMath>
      <w:r w:rsidRPr="00C20781">
        <w:rPr>
          <w:sz w:val="24"/>
          <w:szCs w:val="24"/>
        </w:rPr>
        <w:t>24 cells, and a tumor contains 1,185</w:t>
      </w:r>
      <m:oMath>
        <m:r>
          <w:rPr>
            <w:rFonts w:ascii="Cambria Math" w:hAnsi="Cambria Math" w:cs="Arial"/>
            <w:sz w:val="22"/>
            <w:szCs w:val="22"/>
          </w:rPr>
          <m:t>±</m:t>
        </m:r>
      </m:oMath>
      <w:r w:rsidRPr="00C20781">
        <w:rPr>
          <w:sz w:val="24"/>
          <w:szCs w:val="24"/>
        </w:rPr>
        <w:t>808 regions. Due to possible empty space in the tissue section image, regions with less than 25% of the average number of cells (16 cells) were removed prior to clustering. Good correlation in the Q-Q plots of all tumors suggests that our clustering method provides a good fit of the data (</w:t>
      </w:r>
      <w:r w:rsidR="00C57F30" w:rsidRPr="00C20781">
        <w:rPr>
          <w:sz w:val="24"/>
          <w:szCs w:val="24"/>
        </w:rPr>
        <w:t>S1 Fig</w:t>
      </w:r>
      <w:r w:rsidR="00CC4058" w:rsidRPr="00C20781">
        <w:rPr>
          <w:sz w:val="24"/>
          <w:szCs w:val="24"/>
        </w:rPr>
        <w:t xml:space="preserve"> D-E</w:t>
      </w:r>
      <w:r w:rsidRPr="00C20781">
        <w:rPr>
          <w:sz w:val="24"/>
          <w:szCs w:val="24"/>
        </w:rPr>
        <w:t>).</w:t>
      </w:r>
      <w:r w:rsidR="00F44624" w:rsidRPr="00C20781">
        <w:rPr>
          <w:sz w:val="24"/>
          <w:szCs w:val="24"/>
        </w:rPr>
        <w:t xml:space="preserve"> We also evaluated the differences in EDI computed using different spatial configurations defined by region size r=166, 200, 250, 333, 500μm. The correlatio</w:t>
      </w:r>
      <w:r w:rsidR="00CC4058" w:rsidRPr="00C20781">
        <w:rPr>
          <w:sz w:val="24"/>
          <w:szCs w:val="24"/>
        </w:rPr>
        <w:t>n of EDI indices ranges from 0.19 to 0.53</w:t>
      </w:r>
      <w:r w:rsidR="00F44624" w:rsidRPr="00C20781">
        <w:rPr>
          <w:sz w:val="24"/>
          <w:szCs w:val="24"/>
        </w:rPr>
        <w:t xml:space="preserve"> (</w:t>
      </w:r>
      <w:r w:rsidR="00CC4058" w:rsidRPr="00C20781">
        <w:rPr>
          <w:sz w:val="24"/>
          <w:szCs w:val="24"/>
        </w:rPr>
        <w:t>S</w:t>
      </w:r>
      <w:r w:rsidR="00FE6952" w:rsidRPr="00C20781">
        <w:rPr>
          <w:sz w:val="24"/>
          <w:szCs w:val="24"/>
        </w:rPr>
        <w:t>2</w:t>
      </w:r>
      <w:r w:rsidR="00CC4058" w:rsidRPr="00C20781">
        <w:rPr>
          <w:sz w:val="24"/>
          <w:szCs w:val="24"/>
        </w:rPr>
        <w:t xml:space="preserve"> Fig</w:t>
      </w:r>
      <w:r w:rsidR="00F44624" w:rsidRPr="00C20781">
        <w:rPr>
          <w:sz w:val="24"/>
          <w:szCs w:val="24"/>
        </w:rPr>
        <w:t xml:space="preserve">). This is not unexpected since </w:t>
      </w:r>
      <w:r w:rsidR="00F44624" w:rsidRPr="00C20781">
        <w:rPr>
          <w:i/>
          <w:sz w:val="24"/>
          <w:szCs w:val="24"/>
        </w:rPr>
        <w:t xml:space="preserve">r </w:t>
      </w:r>
      <w:r w:rsidR="00F44624" w:rsidRPr="00C20781">
        <w:rPr>
          <w:sz w:val="24"/>
          <w:szCs w:val="24"/>
        </w:rPr>
        <w:t>directly determines the number of cells in each region and the total number of regions.</w:t>
      </w:r>
    </w:p>
    <w:p w14:paraId="701ABE2E" w14:textId="77777777" w:rsidR="00C02A33" w:rsidRPr="00C20781" w:rsidRDefault="00C02A33" w:rsidP="00F44624">
      <w:pPr>
        <w:spacing w:line="480" w:lineRule="auto"/>
        <w:rPr>
          <w:sz w:val="24"/>
          <w:szCs w:val="24"/>
        </w:rPr>
      </w:pPr>
    </w:p>
    <w:p w14:paraId="1E52A883" w14:textId="77777777" w:rsidR="00C02A33" w:rsidRPr="00C20781" w:rsidRDefault="00C02A33" w:rsidP="00C02A33">
      <w:pPr>
        <w:spacing w:line="480" w:lineRule="auto"/>
        <w:rPr>
          <w:b/>
          <w:sz w:val="24"/>
          <w:szCs w:val="24"/>
        </w:rPr>
      </w:pPr>
      <w:r w:rsidRPr="00C20781">
        <w:rPr>
          <w:b/>
          <w:sz w:val="24"/>
          <w:szCs w:val="24"/>
        </w:rPr>
        <w:t>Robustness of the EDI subtype to sampling variability</w:t>
      </w:r>
    </w:p>
    <w:p w14:paraId="64176215" w14:textId="77777777" w:rsidR="00C02A33" w:rsidRPr="00C20781" w:rsidRDefault="00C02A33" w:rsidP="00C02A33">
      <w:pPr>
        <w:spacing w:line="480" w:lineRule="auto"/>
        <w:rPr>
          <w:b/>
          <w:sz w:val="24"/>
          <w:szCs w:val="24"/>
        </w:rPr>
      </w:pPr>
      <w:r w:rsidRPr="00C20781">
        <w:rPr>
          <w:sz w:val="24"/>
          <w:szCs w:val="24"/>
        </w:rPr>
        <w:t>To test the robustness of EDI subtype against sampling issues, we performed resampling experiments to evaluate its performance against a decreasing amount of tumor regions. Each time 200 grade 3 tumors were randomly chosen. For each tumor 99%, 98%</w:t>
      </w:r>
      <w:proofErr w:type="gramStart"/>
      <w:r w:rsidRPr="00C20781">
        <w:rPr>
          <w:sz w:val="24"/>
          <w:szCs w:val="24"/>
        </w:rPr>
        <w:t>, …,</w:t>
      </w:r>
      <w:proofErr w:type="gramEnd"/>
      <w:r w:rsidRPr="00C20781">
        <w:rPr>
          <w:sz w:val="24"/>
          <w:szCs w:val="24"/>
        </w:rPr>
        <w:t xml:space="preserve"> 80% of tumor regions were randomly sampled and EDI scores computed based on sampled regions. These scores were then compared to the EDI scores computed using 100% regions. Agreement between the two </w:t>
      </w:r>
      <w:r w:rsidRPr="00C20781">
        <w:rPr>
          <w:sz w:val="24"/>
          <w:szCs w:val="24"/>
        </w:rPr>
        <w:lastRenderedPageBreak/>
        <w:t xml:space="preserve">scoring was computed as accuracy (the proportion of true positive or true negative samples). The analysis upon 200 repeated sampling showed that with only 80% of data, the agreement with result from 100% data remains at 90%. More importantly, the ability of EDI to stratify these 200 patients is stable with fewer data (S3 Fig.). 90% of the times during resampling, the log-rank </w:t>
      </w:r>
      <w:r w:rsidRPr="00C20781">
        <w:rPr>
          <w:i/>
          <w:sz w:val="24"/>
          <w:szCs w:val="24"/>
        </w:rPr>
        <w:t>p</w:t>
      </w:r>
      <w:r w:rsidRPr="00C20781">
        <w:rPr>
          <w:sz w:val="24"/>
          <w:szCs w:val="24"/>
        </w:rPr>
        <w:t>-values remain significant.</w:t>
      </w:r>
    </w:p>
    <w:p w14:paraId="35E0AB87" w14:textId="77777777" w:rsidR="00AE5589" w:rsidRPr="00C20781" w:rsidRDefault="00AE5589" w:rsidP="00AE5589">
      <w:pPr>
        <w:spacing w:line="480" w:lineRule="auto"/>
        <w:rPr>
          <w:sz w:val="24"/>
          <w:szCs w:val="24"/>
        </w:rPr>
      </w:pPr>
    </w:p>
    <w:p w14:paraId="07213A68" w14:textId="77777777" w:rsidR="00AE5589" w:rsidRPr="00C20781" w:rsidRDefault="00AE5589" w:rsidP="00AE5589">
      <w:pPr>
        <w:spacing w:line="480" w:lineRule="auto"/>
        <w:rPr>
          <w:b/>
          <w:sz w:val="24"/>
          <w:szCs w:val="24"/>
        </w:rPr>
      </w:pPr>
      <w:r w:rsidRPr="00C20781">
        <w:rPr>
          <w:b/>
          <w:sz w:val="24"/>
          <w:szCs w:val="24"/>
        </w:rPr>
        <w:t>Morphology-molecular association</w:t>
      </w:r>
    </w:p>
    <w:p w14:paraId="20CA4B86" w14:textId="1192A7D5" w:rsidR="00AE5589" w:rsidRPr="00C20781" w:rsidRDefault="00AE5589" w:rsidP="00AE5589">
      <w:pPr>
        <w:spacing w:line="480" w:lineRule="auto"/>
        <w:rPr>
          <w:sz w:val="24"/>
          <w:szCs w:val="24"/>
        </w:rPr>
      </w:pPr>
      <w:r w:rsidRPr="00C20781">
        <w:rPr>
          <w:sz w:val="24"/>
          <w:szCs w:val="24"/>
        </w:rPr>
        <w:t>We used LIMMA</w:t>
      </w:r>
      <w:r w:rsidR="00305728">
        <w:rPr>
          <w:sz w:val="24"/>
          <w:szCs w:val="24"/>
        </w:rPr>
        <w:t xml:space="preserve"> </w:t>
      </w:r>
      <w:r w:rsidR="00305728">
        <w:rPr>
          <w:sz w:val="24"/>
          <w:szCs w:val="24"/>
        </w:rPr>
        <w:fldChar w:fldCharType="begin" w:fldLock="1"/>
      </w:r>
      <w:r w:rsidR="00305728">
        <w:rPr>
          <w:sz w:val="24"/>
          <w:szCs w:val="24"/>
        </w:rPr>
        <w:instrText>ADDIN CSL_CITATION { "citationItems" : [ { "id" : "ITEM-1", "itemData" : { "author" : [ { "dropping-particle" : "", "family" : "Smyth", "given" : "G K", "non-dropping-particle" : "", "parse-names" : false, "suffix" : "" } ], "container-title" : "Bioinformatics and Computational Biology Solutions using R and Bioconductor", "id" : "ITEM-1", "issued" : { "date-parts" : [ [ "2005" ] ] }, "page" : "397-420", "publisher" : "Springer, New York", "title" : "Limma: linear models for microarray data.", "type" : "chapter" }, "uris" : [ "http://www.mendeley.com/documents/?uuid=227a4237-7ba3-4273-a429-46f9acaed72f" ] } ], "mendeley" : { "formattedCitation" : "(1)", "plainTextFormattedCitation" : "(1)", "previouslyFormattedCitation" : "(1)" }, "properties" : { "noteIndex" : 0 }, "schema" : "https://github.com/citation-style-language/schema/raw/master/csl-citation.json" }</w:instrText>
      </w:r>
      <w:r w:rsidR="00305728">
        <w:rPr>
          <w:sz w:val="24"/>
          <w:szCs w:val="24"/>
        </w:rPr>
        <w:fldChar w:fldCharType="separate"/>
      </w:r>
      <w:r w:rsidR="001225E6">
        <w:rPr>
          <w:noProof/>
          <w:sz w:val="24"/>
          <w:szCs w:val="24"/>
        </w:rPr>
        <w:t>[</w:t>
      </w:r>
      <w:r w:rsidR="00305728" w:rsidRPr="00305728">
        <w:rPr>
          <w:noProof/>
          <w:sz w:val="24"/>
          <w:szCs w:val="24"/>
        </w:rPr>
        <w:t>1</w:t>
      </w:r>
      <w:r w:rsidR="001225E6">
        <w:rPr>
          <w:noProof/>
          <w:sz w:val="24"/>
          <w:szCs w:val="24"/>
        </w:rPr>
        <w:t>]</w:t>
      </w:r>
      <w:r w:rsidR="00305728">
        <w:rPr>
          <w:sz w:val="24"/>
          <w:szCs w:val="24"/>
        </w:rPr>
        <w:fldChar w:fldCharType="end"/>
      </w:r>
      <w:r w:rsidRPr="00C20781">
        <w:rPr>
          <w:sz w:val="24"/>
          <w:szCs w:val="24"/>
        </w:rPr>
        <w:t xml:space="preserve"> to test if there are significant correlations between EDI group and gene expression data. For test of pa</w:t>
      </w:r>
      <w:r w:rsidR="007D7B4A" w:rsidRPr="00C20781">
        <w:rPr>
          <w:sz w:val="24"/>
          <w:szCs w:val="24"/>
        </w:rPr>
        <w:t xml:space="preserve">ir-wise association between EDI </w:t>
      </w:r>
      <w:r w:rsidRPr="00C20781">
        <w:rPr>
          <w:sz w:val="24"/>
          <w:szCs w:val="24"/>
        </w:rPr>
        <w:t xml:space="preserve">group and copy number status which are dichotomized data, we used Fisher’s exact test with permutation resampling to avoid the problem of multiple testing and to calculate exact permutation probability </w:t>
      </w:r>
      <w:r w:rsidR="00305728">
        <w:rPr>
          <w:sz w:val="24"/>
          <w:szCs w:val="24"/>
        </w:rPr>
        <w:fldChar w:fldCharType="begin" w:fldLock="1"/>
      </w:r>
      <w:r w:rsidR="00305728">
        <w:rPr>
          <w:sz w:val="24"/>
          <w:szCs w:val="24"/>
        </w:rPr>
        <w:instrText>ADDIN CSL_CITATION { "citationItems" : [ { "id" : "ITEM-1", "itemData" : { "DOI" : "Doi 10.2307/2530158", "ISBN" : "0006-341X", "author" : [ { "dropping-particle" : "", "family" : "Brown", "given" : "C C", "non-dropping-particle" : "", "parse-names" : false, "suffix" : "" }, { "dropping-particle" : "", "family" : "Fears", "given" : "T R", "non-dropping-particle" : "", "parse-names" : false, "suffix" : "" } ], "container-title" : "Biometrics", "id" : "ITEM-1", "issue" : "4", "issued" : { "date-parts" : [ [ "1981" ] ] }, "language" : "English", "note" : "Nb825\nTimes Cited:27\nCited References Count:7", "page" : "763-774", "title" : "Exact Significance Levels for Multiple Binomial Testing with Application to Carcinogenicity Screens", "type" : "article-journal", "volume" : "37" }, "uris" : [ "http://www.mendeley.com/documents/?uuid=a71b33eb-1c5d-432e-a839-50efa9f42680" ] } ], "mendeley" : { "formattedCitation" : "(2)", "plainTextFormattedCitation" : "(2)", "previouslyFormattedCitation" : "(2)" }, "properties" : { "noteIndex" : 0 }, "schema" : "https://github.com/citation-style-language/schema/raw/master/csl-citation.json" }</w:instrText>
      </w:r>
      <w:r w:rsidR="00305728">
        <w:rPr>
          <w:sz w:val="24"/>
          <w:szCs w:val="24"/>
        </w:rPr>
        <w:fldChar w:fldCharType="separate"/>
      </w:r>
      <w:r w:rsidR="001225E6">
        <w:rPr>
          <w:noProof/>
          <w:sz w:val="24"/>
          <w:szCs w:val="24"/>
        </w:rPr>
        <w:t>[</w:t>
      </w:r>
      <w:r w:rsidR="00305728" w:rsidRPr="00305728">
        <w:rPr>
          <w:noProof/>
          <w:sz w:val="24"/>
          <w:szCs w:val="24"/>
        </w:rPr>
        <w:t>2</w:t>
      </w:r>
      <w:r w:rsidR="001225E6">
        <w:rPr>
          <w:noProof/>
          <w:sz w:val="24"/>
          <w:szCs w:val="24"/>
        </w:rPr>
        <w:t>]</w:t>
      </w:r>
      <w:r w:rsidR="00305728">
        <w:rPr>
          <w:sz w:val="24"/>
          <w:szCs w:val="24"/>
        </w:rPr>
        <w:fldChar w:fldCharType="end"/>
      </w:r>
      <w:r w:rsidRPr="00C20781">
        <w:rPr>
          <w:sz w:val="24"/>
          <w:szCs w:val="24"/>
        </w:rPr>
        <w:t xml:space="preserve">. Fisher’s exact test aims to statistically determine whether there is an association between two groups of observations. For each gene/locus </w:t>
      </w:r>
      <w:proofErr w:type="spellStart"/>
      <w:r w:rsidRPr="00C20781">
        <w:rPr>
          <w:i/>
          <w:sz w:val="24"/>
          <w:szCs w:val="24"/>
        </w:rPr>
        <w:t>i</w:t>
      </w:r>
      <w:proofErr w:type="spellEnd"/>
      <w:r w:rsidRPr="00C20781">
        <w:rPr>
          <w:sz w:val="24"/>
          <w:szCs w:val="24"/>
        </w:rPr>
        <w:t>, we used the EDI group as one group of observation and the copy number aberrations in this gene – either gains or losses – as the other group. The probability of association is thus:</w:t>
      </w:r>
    </w:p>
    <w:p w14:paraId="0BC01FCF" w14:textId="77777777" w:rsidR="00AE5589" w:rsidRPr="00C20781" w:rsidRDefault="00772CB9" w:rsidP="00AE5589">
      <w:pPr>
        <w:spacing w:line="480" w:lineRule="auto"/>
        <w:jc w:val="right"/>
        <w:rPr>
          <w:sz w:val="24"/>
          <w:szCs w:val="24"/>
        </w:rPr>
      </w:pPr>
      <m:oMath>
        <m:sSub>
          <m:sSubPr>
            <m:ctrlPr>
              <w:rPr>
                <w:rFonts w:ascii="Cambria Math" w:hAnsi="Cambria Math" w:cs="Arial"/>
                <w:i/>
                <w:sz w:val="22"/>
                <w:szCs w:val="22"/>
              </w:rPr>
            </m:ctrlPr>
          </m:sSubPr>
          <m:e>
            <m:r>
              <w:rPr>
                <w:rFonts w:ascii="Cambria Math" w:hAnsi="Cambria Math" w:cs="Arial"/>
                <w:sz w:val="22"/>
                <w:szCs w:val="22"/>
              </w:rPr>
              <m:t>p</m:t>
            </m:r>
          </m:e>
          <m:sub>
            <m:r>
              <w:rPr>
                <w:rFonts w:ascii="Cambria Math" w:hAnsi="Cambria Math" w:cs="Arial"/>
                <w:sz w:val="22"/>
                <w:szCs w:val="22"/>
              </w:rPr>
              <m:t>i</m:t>
            </m:r>
          </m:sub>
        </m:sSub>
        <m:r>
          <w:rPr>
            <w:rFonts w:ascii="Cambria Math" w:hAnsi="Cambria Math" w:cs="Arial"/>
            <w:sz w:val="22"/>
            <w:szCs w:val="22"/>
          </w:rPr>
          <m:t>=</m:t>
        </m:r>
        <m:f>
          <m:fPr>
            <m:ctrlPr>
              <w:rPr>
                <w:rFonts w:ascii="Cambria Math" w:hAnsi="Cambria Math" w:cs="Arial"/>
                <w:i/>
                <w:sz w:val="22"/>
                <w:szCs w:val="22"/>
              </w:rPr>
            </m:ctrlPr>
          </m:fPr>
          <m:num>
            <m:d>
              <m:dPr>
                <m:ctrlPr>
                  <w:rPr>
                    <w:rFonts w:ascii="Cambria Math" w:hAnsi="Cambria Math" w:cs="Arial"/>
                    <w:i/>
                    <w:sz w:val="22"/>
                    <w:szCs w:val="22"/>
                  </w:rPr>
                </m:ctrlPr>
              </m:dPr>
              <m:e>
                <m:m>
                  <m:mPr>
                    <m:mcs>
                      <m:mc>
                        <m:mcPr>
                          <m:count m:val="1"/>
                          <m:mcJc m:val="center"/>
                        </m:mcPr>
                      </m:mc>
                    </m:mcs>
                    <m:ctrlPr>
                      <w:rPr>
                        <w:rFonts w:ascii="Cambria Math" w:hAnsi="Cambria Math" w:cs="Arial"/>
                        <w:i/>
                        <w:sz w:val="22"/>
                        <w:szCs w:val="22"/>
                      </w:rPr>
                    </m:ctrlPr>
                  </m:mPr>
                  <m:mr>
                    <m:e>
                      <m:r>
                        <w:rPr>
                          <w:rFonts w:ascii="Cambria Math" w:hAnsi="Cambria Math" w:cs="Arial"/>
                          <w:sz w:val="22"/>
                          <w:szCs w:val="22"/>
                        </w:rPr>
                        <m:t>q</m:t>
                      </m:r>
                    </m:e>
                  </m:mr>
                  <m:mr>
                    <m:e>
                      <m:sSub>
                        <m:sSubPr>
                          <m:ctrlPr>
                            <w:rPr>
                              <w:rFonts w:ascii="Cambria Math" w:hAnsi="Cambria Math" w:cs="Arial"/>
                              <w:i/>
                              <w:sz w:val="22"/>
                              <w:szCs w:val="22"/>
                            </w:rPr>
                          </m:ctrlPr>
                        </m:sSubPr>
                        <m:e>
                          <m:r>
                            <w:rPr>
                              <w:rFonts w:ascii="Cambria Math" w:hAnsi="Cambria Math" w:cs="Arial"/>
                              <w:sz w:val="22"/>
                              <w:szCs w:val="22"/>
                            </w:rPr>
                            <m:t>a</m:t>
                          </m:r>
                        </m:e>
                        <m:sub>
                          <m:r>
                            <w:rPr>
                              <w:rFonts w:ascii="Cambria Math" w:hAnsi="Cambria Math" w:cs="Arial"/>
                              <w:sz w:val="22"/>
                              <w:szCs w:val="22"/>
                            </w:rPr>
                            <m:t>i</m:t>
                          </m:r>
                        </m:sub>
                      </m:sSub>
                    </m:e>
                  </m:mr>
                </m:m>
              </m:e>
            </m:d>
            <m:d>
              <m:dPr>
                <m:ctrlPr>
                  <w:rPr>
                    <w:rFonts w:ascii="Cambria Math" w:hAnsi="Cambria Math" w:cs="Arial"/>
                    <w:i/>
                    <w:sz w:val="22"/>
                    <w:szCs w:val="22"/>
                  </w:rPr>
                </m:ctrlPr>
              </m:dPr>
              <m:e>
                <m:m>
                  <m:mPr>
                    <m:mcs>
                      <m:mc>
                        <m:mcPr>
                          <m:count m:val="1"/>
                          <m:mcJc m:val="center"/>
                        </m:mcPr>
                      </m:mc>
                    </m:mcs>
                    <m:ctrlPr>
                      <w:rPr>
                        <w:rFonts w:ascii="Cambria Math" w:hAnsi="Cambria Math" w:cs="Arial"/>
                        <w:i/>
                        <w:sz w:val="22"/>
                        <w:szCs w:val="22"/>
                      </w:rPr>
                    </m:ctrlPr>
                  </m:mPr>
                  <m:mr>
                    <m:e>
                      <m:r>
                        <w:rPr>
                          <w:rFonts w:ascii="Cambria Math" w:hAnsi="Cambria Math" w:cs="Arial"/>
                          <w:sz w:val="22"/>
                          <w:szCs w:val="22"/>
                        </w:rPr>
                        <m:t>m-q</m:t>
                      </m:r>
                    </m:e>
                  </m:mr>
                  <m:mr>
                    <m:e>
                      <m:sSub>
                        <m:sSubPr>
                          <m:ctrlPr>
                            <w:rPr>
                              <w:rFonts w:ascii="Cambria Math" w:hAnsi="Cambria Math" w:cs="Arial"/>
                              <w:i/>
                              <w:sz w:val="22"/>
                              <w:szCs w:val="22"/>
                            </w:rPr>
                          </m:ctrlPr>
                        </m:sSubPr>
                        <m:e>
                          <m:r>
                            <w:rPr>
                              <w:rFonts w:ascii="Cambria Math" w:hAnsi="Cambria Math" w:cs="Arial"/>
                              <w:sz w:val="22"/>
                              <w:szCs w:val="22"/>
                            </w:rPr>
                            <m:t>b</m:t>
                          </m:r>
                        </m:e>
                        <m:sub>
                          <m:r>
                            <w:rPr>
                              <w:rFonts w:ascii="Cambria Math" w:hAnsi="Cambria Math" w:cs="Arial"/>
                              <w:sz w:val="22"/>
                              <w:szCs w:val="22"/>
                            </w:rPr>
                            <m:t>i</m:t>
                          </m:r>
                        </m:sub>
                      </m:sSub>
                    </m:e>
                  </m:mr>
                </m:m>
              </m:e>
            </m:d>
            <m:r>
              <m:rPr>
                <m:sty m:val="p"/>
              </m:rPr>
              <w:rPr>
                <w:rFonts w:ascii="Cambria Math" w:hAnsi="Cambria Math" w:cs="Arial"/>
                <w:sz w:val="22"/>
                <w:szCs w:val="22"/>
              </w:rPr>
              <m:t xml:space="preserve"> </m:t>
            </m:r>
          </m:num>
          <m:den>
            <m:d>
              <m:dPr>
                <m:ctrlPr>
                  <w:rPr>
                    <w:rFonts w:ascii="Cambria Math" w:hAnsi="Cambria Math" w:cs="Arial"/>
                    <w:i/>
                    <w:sz w:val="22"/>
                    <w:szCs w:val="22"/>
                  </w:rPr>
                </m:ctrlPr>
              </m:dPr>
              <m:e>
                <m:m>
                  <m:mPr>
                    <m:mcs>
                      <m:mc>
                        <m:mcPr>
                          <m:count m:val="1"/>
                          <m:mcJc m:val="center"/>
                        </m:mcPr>
                      </m:mc>
                    </m:mcs>
                    <m:ctrlPr>
                      <w:rPr>
                        <w:rFonts w:ascii="Cambria Math" w:hAnsi="Cambria Math" w:cs="Arial"/>
                        <w:i/>
                        <w:sz w:val="22"/>
                        <w:szCs w:val="22"/>
                      </w:rPr>
                    </m:ctrlPr>
                  </m:mPr>
                  <m:mr>
                    <m:e>
                      <m:r>
                        <w:rPr>
                          <w:rFonts w:ascii="Cambria Math" w:hAnsi="Cambria Math" w:cs="Arial"/>
                          <w:sz w:val="22"/>
                          <w:szCs w:val="22"/>
                        </w:rPr>
                        <m:t>m</m:t>
                      </m:r>
                    </m:e>
                  </m:mr>
                  <m:mr>
                    <m:e>
                      <m:sSub>
                        <m:sSubPr>
                          <m:ctrlPr>
                            <w:rPr>
                              <w:rFonts w:ascii="Cambria Math" w:hAnsi="Cambria Math" w:cs="Arial"/>
                              <w:i/>
                              <w:sz w:val="22"/>
                              <w:szCs w:val="22"/>
                            </w:rPr>
                          </m:ctrlPr>
                        </m:sSubPr>
                        <m:e>
                          <m:r>
                            <w:rPr>
                              <w:rFonts w:ascii="Cambria Math" w:hAnsi="Cambria Math" w:cs="Arial"/>
                              <w:sz w:val="22"/>
                              <w:szCs w:val="22"/>
                            </w:rPr>
                            <m:t>a</m:t>
                          </m:r>
                        </m:e>
                        <m:sub>
                          <m:r>
                            <w:rPr>
                              <w:rFonts w:ascii="Cambria Math" w:hAnsi="Cambria Math" w:cs="Arial"/>
                              <w:sz w:val="22"/>
                              <w:szCs w:val="22"/>
                            </w:rPr>
                            <m:t>i</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b</m:t>
                          </m:r>
                        </m:e>
                        <m:sub>
                          <m:r>
                            <w:rPr>
                              <w:rFonts w:ascii="Cambria Math" w:hAnsi="Cambria Math" w:cs="Arial"/>
                              <w:sz w:val="22"/>
                              <w:szCs w:val="22"/>
                            </w:rPr>
                            <m:t>i</m:t>
                          </m:r>
                        </m:sub>
                      </m:sSub>
                    </m:e>
                  </m:mr>
                </m:m>
              </m:e>
            </m:d>
          </m:den>
        </m:f>
      </m:oMath>
      <w:r w:rsidR="00AE5589" w:rsidRPr="00C20781">
        <w:rPr>
          <w:sz w:val="24"/>
          <w:szCs w:val="24"/>
        </w:rPr>
        <w:t>,                                                        Eq.4</w:t>
      </w:r>
    </w:p>
    <w:p w14:paraId="649110A7" w14:textId="3AF52CDD" w:rsidR="00AE5589" w:rsidRPr="00C20781" w:rsidRDefault="00AE5589" w:rsidP="00AE5589">
      <w:pPr>
        <w:spacing w:line="480" w:lineRule="auto"/>
        <w:rPr>
          <w:sz w:val="24"/>
          <w:szCs w:val="24"/>
        </w:rPr>
      </w:pPr>
      <w:proofErr w:type="gramStart"/>
      <w:r w:rsidRPr="00C20781">
        <w:rPr>
          <w:sz w:val="24"/>
          <w:szCs w:val="24"/>
        </w:rPr>
        <w:t>where</w:t>
      </w:r>
      <w:proofErr w:type="gramEnd"/>
      <w:r w:rsidRPr="00C20781">
        <w:rPr>
          <w:sz w:val="24"/>
          <w:szCs w:val="24"/>
        </w:rPr>
        <w:t xml:space="preserve"> </w:t>
      </w:r>
      <w:r w:rsidRPr="00C20781">
        <w:rPr>
          <w:i/>
          <w:sz w:val="24"/>
          <w:szCs w:val="24"/>
        </w:rPr>
        <w:t>m</w:t>
      </w:r>
      <w:r w:rsidRPr="00C20781">
        <w:rPr>
          <w:sz w:val="24"/>
          <w:szCs w:val="24"/>
        </w:rPr>
        <w:t xml:space="preserve"> is the total number of samples/patients, </w:t>
      </w:r>
      <w:r w:rsidRPr="00C20781">
        <w:rPr>
          <w:i/>
          <w:sz w:val="24"/>
          <w:szCs w:val="24"/>
        </w:rPr>
        <w:t>q</w:t>
      </w:r>
      <w:r w:rsidRPr="00C20781">
        <w:rPr>
          <w:sz w:val="24"/>
          <w:szCs w:val="24"/>
        </w:rPr>
        <w:t xml:space="preserve"> is the number of EDI</w:t>
      </w:r>
      <w:r w:rsidR="007D7B4A" w:rsidRPr="00C20781">
        <w:rPr>
          <w:sz w:val="24"/>
          <w:szCs w:val="24"/>
        </w:rPr>
        <w:t>-high</w:t>
      </w:r>
      <w:r w:rsidRPr="00C20781">
        <w:rPr>
          <w:sz w:val="24"/>
          <w:szCs w:val="24"/>
        </w:rPr>
        <w:t xml:space="preserve"> samples, </w:t>
      </w:r>
      <m:oMath>
        <m:sSub>
          <m:sSubPr>
            <m:ctrlPr>
              <w:rPr>
                <w:rFonts w:ascii="Cambria Math" w:hAnsi="Cambria Math" w:cs="Arial"/>
                <w:i/>
                <w:sz w:val="22"/>
                <w:szCs w:val="22"/>
              </w:rPr>
            </m:ctrlPr>
          </m:sSubPr>
          <m:e>
            <m:r>
              <w:rPr>
                <w:rFonts w:ascii="Cambria Math" w:hAnsi="Cambria Math" w:cs="Arial"/>
                <w:sz w:val="22"/>
                <w:szCs w:val="22"/>
              </w:rPr>
              <m:t>a</m:t>
            </m:r>
          </m:e>
          <m:sub>
            <m:r>
              <w:rPr>
                <w:rFonts w:ascii="Cambria Math" w:hAnsi="Cambria Math" w:cs="Arial"/>
                <w:sz w:val="22"/>
                <w:szCs w:val="22"/>
              </w:rPr>
              <m:t>i</m:t>
            </m:r>
          </m:sub>
        </m:sSub>
      </m:oMath>
      <w:r w:rsidRPr="00C20781">
        <w:rPr>
          <w:sz w:val="22"/>
          <w:szCs w:val="22"/>
        </w:rPr>
        <w:t xml:space="preserve"> </w:t>
      </w:r>
      <w:r w:rsidRPr="00C20781">
        <w:rPr>
          <w:sz w:val="24"/>
          <w:szCs w:val="24"/>
        </w:rPr>
        <w:t xml:space="preserve">is the number of samples with copy number aberrations in gene </w:t>
      </w:r>
      <w:proofErr w:type="spellStart"/>
      <w:r w:rsidRPr="00C20781">
        <w:rPr>
          <w:i/>
          <w:sz w:val="24"/>
          <w:szCs w:val="24"/>
        </w:rPr>
        <w:t>i</w:t>
      </w:r>
      <w:proofErr w:type="spellEnd"/>
      <w:r w:rsidRPr="00C20781">
        <w:rPr>
          <w:sz w:val="24"/>
          <w:szCs w:val="24"/>
        </w:rPr>
        <w:t xml:space="preserve"> within the EDI</w:t>
      </w:r>
      <w:r w:rsidR="007D7B4A" w:rsidRPr="00C20781">
        <w:rPr>
          <w:sz w:val="24"/>
          <w:szCs w:val="24"/>
        </w:rPr>
        <w:t>-high</w:t>
      </w:r>
      <w:r w:rsidRPr="00C20781">
        <w:rPr>
          <w:sz w:val="24"/>
          <w:szCs w:val="24"/>
        </w:rPr>
        <w:t xml:space="preserve"> group, </w:t>
      </w:r>
      <m:oMath>
        <m:sSub>
          <m:sSubPr>
            <m:ctrlPr>
              <w:rPr>
                <w:rFonts w:ascii="Cambria Math" w:hAnsi="Cambria Math" w:cs="Arial"/>
                <w:i/>
                <w:sz w:val="22"/>
                <w:szCs w:val="22"/>
              </w:rPr>
            </m:ctrlPr>
          </m:sSubPr>
          <m:e>
            <m:r>
              <w:rPr>
                <w:rFonts w:ascii="Cambria Math" w:hAnsi="Cambria Math" w:cs="Arial"/>
                <w:sz w:val="22"/>
                <w:szCs w:val="22"/>
              </w:rPr>
              <m:t>b</m:t>
            </m:r>
          </m:e>
          <m:sub>
            <m:r>
              <w:rPr>
                <w:rFonts w:ascii="Cambria Math" w:hAnsi="Cambria Math" w:cs="Arial"/>
                <w:sz w:val="22"/>
                <w:szCs w:val="22"/>
              </w:rPr>
              <m:t>i</m:t>
            </m:r>
          </m:sub>
        </m:sSub>
      </m:oMath>
      <w:r w:rsidRPr="00C20781">
        <w:rPr>
          <w:sz w:val="24"/>
          <w:szCs w:val="24"/>
        </w:rPr>
        <w:t xml:space="preserve"> is the number of samples with copy number aberrations in gene </w:t>
      </w:r>
      <w:proofErr w:type="spellStart"/>
      <w:r w:rsidRPr="00C20781">
        <w:rPr>
          <w:i/>
          <w:sz w:val="24"/>
          <w:szCs w:val="24"/>
        </w:rPr>
        <w:t>i</w:t>
      </w:r>
      <w:proofErr w:type="spellEnd"/>
      <w:r w:rsidRPr="00C20781">
        <w:rPr>
          <w:sz w:val="24"/>
          <w:szCs w:val="24"/>
        </w:rPr>
        <w:t xml:space="preserve"> but not in the EDI</w:t>
      </w:r>
      <w:r w:rsidR="007D7B4A" w:rsidRPr="00C20781">
        <w:rPr>
          <w:sz w:val="24"/>
          <w:szCs w:val="24"/>
        </w:rPr>
        <w:t>-high</w:t>
      </w:r>
      <w:r w:rsidRPr="00C20781">
        <w:rPr>
          <w:sz w:val="24"/>
          <w:szCs w:val="24"/>
        </w:rPr>
        <w:t xml:space="preserve"> group. </w:t>
      </w:r>
    </w:p>
    <w:p w14:paraId="2C38C94F" w14:textId="77777777" w:rsidR="00AE5589" w:rsidRPr="00C20781" w:rsidRDefault="00AE5589" w:rsidP="00AE5589">
      <w:pPr>
        <w:spacing w:line="480" w:lineRule="auto"/>
        <w:rPr>
          <w:sz w:val="24"/>
          <w:szCs w:val="24"/>
        </w:rPr>
      </w:pPr>
    </w:p>
    <w:p w14:paraId="198FB218" w14:textId="4DD222EC" w:rsidR="00AE5589" w:rsidRPr="00C20781" w:rsidRDefault="00AE5589" w:rsidP="00AE5589">
      <w:pPr>
        <w:spacing w:line="480" w:lineRule="auto"/>
        <w:rPr>
          <w:sz w:val="24"/>
          <w:szCs w:val="24"/>
        </w:rPr>
      </w:pPr>
      <w:r w:rsidRPr="00C20781">
        <w:rPr>
          <w:sz w:val="24"/>
          <w:szCs w:val="24"/>
        </w:rPr>
        <w:t xml:space="preserve">For testing the explanatory effect of genome-wide copy number for the EDI subtypes, we used logistic </w:t>
      </w:r>
      <w:r w:rsidRPr="00C20781">
        <w:rPr>
          <w:i/>
          <w:sz w:val="24"/>
          <w:szCs w:val="24"/>
        </w:rPr>
        <w:t>lasso</w:t>
      </w:r>
      <w:r w:rsidRPr="00C20781">
        <w:rPr>
          <w:sz w:val="24"/>
          <w:szCs w:val="24"/>
        </w:rPr>
        <w:t xml:space="preserve"> regression </w:t>
      </w:r>
      <w:r w:rsidR="00305728">
        <w:rPr>
          <w:sz w:val="24"/>
          <w:szCs w:val="24"/>
        </w:rPr>
        <w:fldChar w:fldCharType="begin" w:fldLock="1"/>
      </w:r>
      <w:r w:rsidR="00305728">
        <w:rPr>
          <w:sz w:val="24"/>
          <w:szCs w:val="24"/>
        </w:rPr>
        <w:instrText>ADDIN CSL_CITATION { "citationItems" : [ { "id" : "ITEM-1", "itemData" : { "abstract" : "We propose a new method for estimation in linear models. The &amp;quot;lasso&amp;quot; minimizes the residual sum of squares subject to the sum of the absolute value of the coefficients being less than a constant. Because of the nature of this constraint it tends to produce some coefficients that are exactly zero and hence gives interpretable models. Our simulation studies suggest that the lasso enjoys some of the favourable properties of both subset selection and ridge regression. It produces interpretable...", "author" : [ { "dropping-particle" : "", "family" : "Tibshirani", "given" : "R", "non-dropping-particle" : "", "parse-names" : false, "suffix" : "" } ], "container-title" : "J. Royal. Statist. Soc", "id" : "ITEM-1", "issue" : "1", "issued" : { "date-parts" : [ [ "1994" ] ] }, "page" : "267-288", "title" : "Regression shrinkage and selection via the lasso", "type" : "article-journal", "volume" : "58" }, "uris" : [ "http://www.mendeley.com/documents/?uuid=07457483-df7a-4411-a7ee-d9108b9e033b" ] } ], "mendeley" : { "formattedCitation" : "(3)", "plainTextFormattedCitation" : "(3)", "previouslyFormattedCitation" : "(3)" }, "properties" : { "noteIndex" : 0 }, "schema" : "https://github.com/citation-style-language/schema/raw/master/csl-citation.json" }</w:instrText>
      </w:r>
      <w:r w:rsidR="00305728">
        <w:rPr>
          <w:sz w:val="24"/>
          <w:szCs w:val="24"/>
        </w:rPr>
        <w:fldChar w:fldCharType="separate"/>
      </w:r>
      <w:r w:rsidR="001225E6">
        <w:rPr>
          <w:noProof/>
          <w:sz w:val="24"/>
          <w:szCs w:val="24"/>
        </w:rPr>
        <w:t>[</w:t>
      </w:r>
      <w:r w:rsidR="00305728" w:rsidRPr="00305728">
        <w:rPr>
          <w:noProof/>
          <w:sz w:val="24"/>
          <w:szCs w:val="24"/>
        </w:rPr>
        <w:t>3</w:t>
      </w:r>
      <w:r w:rsidR="001225E6">
        <w:rPr>
          <w:noProof/>
          <w:sz w:val="24"/>
          <w:szCs w:val="24"/>
        </w:rPr>
        <w:t>]</w:t>
      </w:r>
      <w:r w:rsidR="00305728">
        <w:rPr>
          <w:sz w:val="24"/>
          <w:szCs w:val="24"/>
        </w:rPr>
        <w:fldChar w:fldCharType="end"/>
      </w:r>
      <w:r w:rsidRPr="00C20781">
        <w:rPr>
          <w:sz w:val="24"/>
          <w:szCs w:val="24"/>
        </w:rPr>
        <w:t>. Previously we have successfully applied this method to identifying explanatory copy number variables for expression traits</w:t>
      </w:r>
      <w:r w:rsidR="00305728">
        <w:rPr>
          <w:sz w:val="24"/>
          <w:szCs w:val="24"/>
        </w:rPr>
        <w:t xml:space="preserve"> </w:t>
      </w:r>
      <w:r w:rsidR="00305728">
        <w:rPr>
          <w:sz w:val="24"/>
          <w:szCs w:val="24"/>
        </w:rPr>
        <w:fldChar w:fldCharType="begin" w:fldLock="1"/>
      </w:r>
      <w:r w:rsidR="00305728">
        <w:rPr>
          <w:sz w:val="24"/>
          <w:szCs w:val="24"/>
        </w:rPr>
        <w:instrText>ADDIN CSL_CITATION { "citationItems" : [ { "id" : "ITEM-1", "itemData" : { "DOI" : "10.1109/TCBB.2011.105", "ISBN" : "1557-9964 (Electronic)\r1545-5963 (Linking)", "PMID" : "21788678", "abstract" : "Copy number aberrations are recognized to be important in cancer as they may localize to regions harboring oncogenes or tumor suppressors. Such genomic alterations mediate phenotypic changes through their impact on expression. Both cis- and transacting alterations are important since they may help to elucidate putative cancer genes. However, amidst numerous passenger genes, trans-effects are less well studied due to the computational difficulty in detecting weak and sparse signals in the data, and yet may influence multiple genes on a global scale. We propose an integrative approach to learn a sparse interaction network of DNA copy-number regions with their downstream transcriptional targets in breast cancer. With respect to goodness of fit on both simulated and real data, the performance of sparse network inference is no worse than other state-of-the-art models but with the advantage of simultaneous feature selection and efficiency. The DNA-RNA interaction network helps to distinguish copy-number driven expression alterations from those that are copy-number independent. Further, our approach yields a quantitative copy-number dependency score, which distinguishes cis- versus trans-effects. When applied to a breast cancer data set, numerous expression profiles were impacted by cis-acting copy-number alterations, including several known oncogenes such as GRB7, ERBB2, and LSM1. Several trans-acting alterations were also identified, impacting genes such as ADAM2 and BAGE, which warrant further investigation. Availability: An R package named lol is available from www.markowetzlab.org/software/lol.html.", "author" : [ { "dropping-particle" : "", "family" : "Yuan", "given" : "Y", "non-dropping-particle" : "", "parse-names" : false, "suffix" : "" }, { "dropping-particle" : "", "family" : "Curtis", "given" : "C", "non-dropping-particle" : "", "parse-names" : false, "suffix" : "" }, { "dropping-particle" : "", "family" : "Caldas", "given" : "C", "non-dropping-particle" : "", "parse-names" : false, "suffix" : "" }, { "dropping-particle" : "", "family" : "Markowetz", "given" : "F", "non-dropping-particle" : "", "parse-names" : false, "suffix" : "" } ], "container-title" : "IEEE/ACM Trans Comput Biol Bioinform", "edition" : "2011/07/27", "id" : "ITEM-1", "issue" : "4", "issued" : { "date-parts" : [ [ "2012" ] ] }, "language" : "eng", "note" : "Yuan, Yinyin\nCurtis, Christina\nCaldas, Carlos\nMarkowetz, Florian\nCancer Research UK/United Kingdom\nIEEE/ACM Trans Comput Biol Bioinform. 2012 Jul-Aug;9(4):947-54. doi: 10.1109/TCBB.2011.105.", "page" : "947-954", "title" : "A sparse regulatory network of copy-number driven gene expression reveals putative breast cancer oncogenes", "type" : "article-journal", "volume" : "9" }, "uris" : [ "http://www.mendeley.com/documents/?uuid=7b735792-42b0-455e-a2aa-d6491386505d" ] } ], "mendeley" : { "formattedCitation" : "(4)", "plainTextFormattedCitation" : "(4)" }, "properties" : { "noteIndex" : 0 }, "schema" : "https://github.com/citation-style-language/schema/raw/master/csl-citation.json" }</w:instrText>
      </w:r>
      <w:r w:rsidR="00305728">
        <w:rPr>
          <w:sz w:val="24"/>
          <w:szCs w:val="24"/>
        </w:rPr>
        <w:fldChar w:fldCharType="separate"/>
      </w:r>
      <w:r w:rsidR="001225E6">
        <w:rPr>
          <w:noProof/>
          <w:sz w:val="24"/>
          <w:szCs w:val="24"/>
        </w:rPr>
        <w:t>[</w:t>
      </w:r>
      <w:r w:rsidR="00305728" w:rsidRPr="00305728">
        <w:rPr>
          <w:noProof/>
          <w:sz w:val="24"/>
          <w:szCs w:val="24"/>
        </w:rPr>
        <w:t>4</w:t>
      </w:r>
      <w:r w:rsidR="001225E6">
        <w:rPr>
          <w:noProof/>
          <w:sz w:val="24"/>
          <w:szCs w:val="24"/>
        </w:rPr>
        <w:t>]</w:t>
      </w:r>
      <w:r w:rsidR="00305728">
        <w:rPr>
          <w:sz w:val="24"/>
          <w:szCs w:val="24"/>
        </w:rPr>
        <w:fldChar w:fldCharType="end"/>
      </w:r>
      <w:r w:rsidRPr="00C20781">
        <w:rPr>
          <w:sz w:val="24"/>
          <w:szCs w:val="24"/>
        </w:rPr>
        <w:t xml:space="preserve">.  Here EDI is the trait or response </w:t>
      </w:r>
      <w:r w:rsidRPr="00C20781">
        <w:rPr>
          <w:sz w:val="24"/>
          <w:szCs w:val="24"/>
        </w:rPr>
        <w:lastRenderedPageBreak/>
        <w:t xml:space="preserve">variable </w:t>
      </w:r>
      <w:r w:rsidRPr="00C20781">
        <w:rPr>
          <w:i/>
          <w:sz w:val="24"/>
          <w:szCs w:val="24"/>
        </w:rPr>
        <w:t>y</w:t>
      </w:r>
      <w:r w:rsidRPr="00C20781">
        <w:rPr>
          <w:sz w:val="24"/>
          <w:szCs w:val="24"/>
        </w:rPr>
        <w:t xml:space="preserve">, and copy number data as the explanatory variables </w:t>
      </w:r>
      <w:r w:rsidRPr="00C20781">
        <w:rPr>
          <w:i/>
          <w:sz w:val="24"/>
          <w:szCs w:val="24"/>
        </w:rPr>
        <w:t>x</w:t>
      </w:r>
      <w:r w:rsidRPr="00C20781">
        <w:rPr>
          <w:i/>
          <w:sz w:val="24"/>
          <w:szCs w:val="24"/>
          <w:vertAlign w:val="subscript"/>
        </w:rPr>
        <w:t xml:space="preserve">i, </w:t>
      </w:r>
      <w:proofErr w:type="spellStart"/>
      <w:r w:rsidRPr="00C20781">
        <w:rPr>
          <w:i/>
          <w:sz w:val="24"/>
          <w:szCs w:val="24"/>
        </w:rPr>
        <w:t>i</w:t>
      </w:r>
      <w:proofErr w:type="spellEnd"/>
      <w:r w:rsidRPr="00C20781">
        <w:rPr>
          <w:i/>
          <w:sz w:val="24"/>
          <w:szCs w:val="24"/>
        </w:rPr>
        <w:t>=1, 2</w:t>
      </w:r>
      <w:proofErr w:type="gramStart"/>
      <w:r w:rsidRPr="00C20781">
        <w:rPr>
          <w:i/>
          <w:sz w:val="24"/>
          <w:szCs w:val="24"/>
        </w:rPr>
        <w:t>, …,</w:t>
      </w:r>
      <w:proofErr w:type="gramEnd"/>
      <w:r w:rsidRPr="00C20781">
        <w:rPr>
          <w:i/>
          <w:sz w:val="24"/>
          <w:szCs w:val="24"/>
        </w:rPr>
        <w:t xml:space="preserve"> N, N</w:t>
      </w:r>
      <w:r w:rsidRPr="00C20781">
        <w:rPr>
          <w:sz w:val="24"/>
          <w:szCs w:val="24"/>
        </w:rPr>
        <w:t xml:space="preserve"> being the number of copy number loci:</w:t>
      </w:r>
    </w:p>
    <w:p w14:paraId="38B006C1" w14:textId="77777777" w:rsidR="00AE5589" w:rsidRPr="00C20781" w:rsidRDefault="00AE5589" w:rsidP="00AE5589">
      <w:pPr>
        <w:spacing w:line="480" w:lineRule="auto"/>
        <w:jc w:val="right"/>
        <w:rPr>
          <w:sz w:val="24"/>
          <w:szCs w:val="24"/>
        </w:rPr>
      </w:pPr>
      <m:oMath>
        <m:r>
          <w:rPr>
            <w:rFonts w:ascii="Cambria Math" w:hAnsi="Cambria Math" w:cs="Arial"/>
            <w:sz w:val="22"/>
            <w:szCs w:val="22"/>
          </w:rPr>
          <m:t>y=</m:t>
        </m:r>
        <m:nary>
          <m:naryPr>
            <m:chr m:val="∑"/>
            <m:limLoc m:val="subSup"/>
            <m:supHide m:val="1"/>
            <m:ctrlPr>
              <w:rPr>
                <w:rFonts w:ascii="Cambria Math" w:hAnsi="Cambria Math" w:cs="Arial"/>
                <w:i/>
                <w:sz w:val="22"/>
                <w:szCs w:val="22"/>
              </w:rPr>
            </m:ctrlPr>
          </m:naryPr>
          <m:sub>
            <m:r>
              <w:rPr>
                <w:rFonts w:ascii="Cambria Math" w:hAnsi="Cambria Math" w:cs="Arial"/>
                <w:sz w:val="22"/>
                <w:szCs w:val="22"/>
              </w:rPr>
              <m:t>i</m:t>
            </m:r>
          </m:sub>
          <m:sup/>
          <m:e>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i</m:t>
                </m:r>
              </m:sub>
            </m:sSub>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i</m:t>
                </m:r>
              </m:sub>
            </m:sSub>
          </m:e>
        </m:nary>
        <m:r>
          <w:rPr>
            <w:rFonts w:ascii="Cambria Math" w:hAnsi="Cambria Math" w:cs="Arial"/>
            <w:sz w:val="22"/>
            <w:szCs w:val="22"/>
          </w:rPr>
          <m:t>+</m:t>
        </m:r>
        <m:sSup>
          <m:sSupPr>
            <m:ctrlPr>
              <w:rPr>
                <w:rFonts w:ascii="Cambria Math" w:hAnsi="Cambria Math" w:cs="Arial"/>
                <w:i/>
                <w:sz w:val="22"/>
                <w:szCs w:val="22"/>
              </w:rPr>
            </m:ctrlPr>
          </m:sSupPr>
          <m:e>
            <m:r>
              <w:rPr>
                <w:rFonts w:ascii="Cambria Math" w:hAnsi="Cambria Math" w:cs="Arial"/>
                <w:sz w:val="22"/>
                <w:szCs w:val="22"/>
              </w:rPr>
              <m:t>ε</m:t>
            </m:r>
          </m:e>
          <m:sup>
            <m:r>
              <w:rPr>
                <w:rFonts w:ascii="Cambria Math" w:hAnsi="Cambria Math" w:cs="Arial"/>
                <w:sz w:val="22"/>
                <w:szCs w:val="22"/>
              </w:rPr>
              <m:t>2</m:t>
            </m:r>
          </m:sup>
        </m:sSup>
      </m:oMath>
      <w:r w:rsidRPr="00C20781">
        <w:rPr>
          <w:sz w:val="24"/>
          <w:szCs w:val="24"/>
        </w:rPr>
        <w:t>,</w:t>
      </w:r>
      <w:r w:rsidRPr="00C20781">
        <w:rPr>
          <w:sz w:val="24"/>
          <w:szCs w:val="24"/>
        </w:rPr>
        <w:tab/>
      </w:r>
      <w:r w:rsidRPr="00C20781">
        <w:rPr>
          <w:sz w:val="24"/>
          <w:szCs w:val="24"/>
        </w:rPr>
        <w:tab/>
      </w:r>
      <w:r w:rsidRPr="00C20781">
        <w:rPr>
          <w:sz w:val="24"/>
          <w:szCs w:val="24"/>
        </w:rPr>
        <w:tab/>
        <w:t xml:space="preserve">   </w:t>
      </w:r>
      <w:r w:rsidRPr="00C20781">
        <w:rPr>
          <w:sz w:val="24"/>
          <w:szCs w:val="24"/>
        </w:rPr>
        <w:tab/>
        <w:t>Eq.5</w:t>
      </w:r>
    </w:p>
    <w:p w14:paraId="53FFF141" w14:textId="265E89FF" w:rsidR="00AE5589" w:rsidRPr="00C20781" w:rsidRDefault="00AE5589" w:rsidP="00AE5589">
      <w:pPr>
        <w:spacing w:line="480" w:lineRule="auto"/>
        <w:rPr>
          <w:sz w:val="24"/>
          <w:szCs w:val="24"/>
        </w:rPr>
      </w:pPr>
      <w:proofErr w:type="gramStart"/>
      <w:r w:rsidRPr="00C20781">
        <w:rPr>
          <w:sz w:val="24"/>
          <w:szCs w:val="24"/>
        </w:rPr>
        <w:t>where</w:t>
      </w:r>
      <w:proofErr w:type="gramEnd"/>
      <w:r w:rsidRPr="00C20781">
        <w:rPr>
          <w:sz w:val="24"/>
          <w:szCs w:val="24"/>
        </w:rPr>
        <w:t xml:space="preserve"> a non-zero </w:t>
      </w:r>
      <m:oMath>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i</m:t>
            </m:r>
          </m:sub>
        </m:sSub>
      </m:oMath>
      <w:r w:rsidRPr="00C20781">
        <w:rPr>
          <w:sz w:val="24"/>
          <w:szCs w:val="24"/>
        </w:rPr>
        <w:t xml:space="preserve"> indicates that the variable </w:t>
      </w:r>
      <m:oMath>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i</m:t>
            </m:r>
          </m:sub>
        </m:sSub>
      </m:oMath>
      <w:r w:rsidRPr="00C20781">
        <w:rPr>
          <w:sz w:val="24"/>
          <w:szCs w:val="24"/>
        </w:rPr>
        <w:t xml:space="preserve"> contributes towards explaining the variation in </w:t>
      </w:r>
      <w:r w:rsidRPr="00C20781">
        <w:rPr>
          <w:i/>
          <w:sz w:val="24"/>
          <w:szCs w:val="24"/>
        </w:rPr>
        <w:t>y</w:t>
      </w:r>
      <w:r w:rsidRPr="00C20781">
        <w:rPr>
          <w:sz w:val="24"/>
          <w:szCs w:val="24"/>
        </w:rPr>
        <w:t xml:space="preserve">. Only the top ranking copy number loci determined by the pair-wise test described above were used. In our tests, </w:t>
      </w:r>
      <w:r w:rsidRPr="00C20781">
        <w:rPr>
          <w:i/>
          <w:sz w:val="24"/>
          <w:szCs w:val="24"/>
        </w:rPr>
        <w:t>lasso</w:t>
      </w:r>
      <w:r w:rsidRPr="00C20781">
        <w:rPr>
          <w:sz w:val="24"/>
          <w:szCs w:val="24"/>
        </w:rPr>
        <w:t xml:space="preserve"> regression failed to converge with the top 50, 100, 200, 800 variables, indicating that there is no sufficient power to explain </w:t>
      </w:r>
      <w:r w:rsidRPr="00C20781">
        <w:rPr>
          <w:i/>
          <w:sz w:val="24"/>
          <w:szCs w:val="24"/>
        </w:rPr>
        <w:t>y</w:t>
      </w:r>
      <w:r w:rsidR="007D7B4A" w:rsidRPr="00C20781">
        <w:rPr>
          <w:sz w:val="24"/>
          <w:szCs w:val="24"/>
        </w:rPr>
        <w:t>/EDI</w:t>
      </w:r>
      <w:r w:rsidRPr="00C20781">
        <w:rPr>
          <w:sz w:val="24"/>
          <w:szCs w:val="24"/>
        </w:rPr>
        <w:t xml:space="preserve"> with copy number variables.</w:t>
      </w:r>
    </w:p>
    <w:p w14:paraId="1CD72DF8" w14:textId="77777777" w:rsidR="00AE5589" w:rsidRPr="00C20781" w:rsidRDefault="00AE5589" w:rsidP="00AE5589">
      <w:pPr>
        <w:spacing w:line="480" w:lineRule="auto"/>
        <w:rPr>
          <w:sz w:val="24"/>
          <w:szCs w:val="24"/>
        </w:rPr>
      </w:pPr>
    </w:p>
    <w:p w14:paraId="262D04A6" w14:textId="5CFDDF52" w:rsidR="00305728" w:rsidRPr="00305728" w:rsidRDefault="00305728" w:rsidP="00305728">
      <w:pPr>
        <w:spacing w:line="480" w:lineRule="auto"/>
        <w:rPr>
          <w:noProof/>
          <w:sz w:val="24"/>
          <w:szCs w:val="24"/>
        </w:rPr>
      </w:pPr>
      <w:r>
        <w:rPr>
          <w:b/>
          <w:sz w:val="24"/>
          <w:szCs w:val="24"/>
        </w:rPr>
        <w:t>References</w:t>
      </w:r>
      <w:r>
        <w:rPr>
          <w:b/>
          <w:sz w:val="24"/>
          <w:szCs w:val="24"/>
        </w:rPr>
        <w:fldChar w:fldCharType="begin" w:fldLock="1"/>
      </w:r>
      <w:r>
        <w:rPr>
          <w:b/>
          <w:sz w:val="24"/>
          <w:szCs w:val="24"/>
        </w:rPr>
        <w:instrText xml:space="preserve">ADDIN Mendeley Bibliography CSL_BIBLIOGRAPHY </w:instrText>
      </w:r>
      <w:r>
        <w:rPr>
          <w:b/>
          <w:sz w:val="24"/>
          <w:szCs w:val="24"/>
        </w:rPr>
        <w:fldChar w:fldCharType="separate"/>
      </w:r>
    </w:p>
    <w:p w14:paraId="4116E57A" w14:textId="1384A4F1" w:rsidR="00305728" w:rsidRPr="00305728" w:rsidRDefault="00305728" w:rsidP="00305728">
      <w:pPr>
        <w:widowControl w:val="0"/>
        <w:autoSpaceDE w:val="0"/>
        <w:autoSpaceDN w:val="0"/>
        <w:adjustRightInd w:val="0"/>
        <w:ind w:left="640" w:hanging="640"/>
        <w:rPr>
          <w:noProof/>
          <w:sz w:val="24"/>
          <w:szCs w:val="24"/>
        </w:rPr>
      </w:pPr>
      <w:r w:rsidRPr="00305728">
        <w:rPr>
          <w:noProof/>
          <w:sz w:val="24"/>
          <w:szCs w:val="24"/>
        </w:rPr>
        <w:t xml:space="preserve">1. </w:t>
      </w:r>
      <w:r w:rsidRPr="00305728">
        <w:rPr>
          <w:noProof/>
          <w:sz w:val="24"/>
          <w:szCs w:val="24"/>
        </w:rPr>
        <w:tab/>
        <w:t xml:space="preserve">Smyth GK. Limma: linear models for microarray data. Bioinformatics and Computational Biology Solutions using R and Bioconductor. Springer, New York; 2005. p. 397–420. </w:t>
      </w:r>
    </w:p>
    <w:p w14:paraId="72DD8D87" w14:textId="62B86300" w:rsidR="00305728" w:rsidRPr="00305728" w:rsidRDefault="00305728" w:rsidP="00305728">
      <w:pPr>
        <w:widowControl w:val="0"/>
        <w:autoSpaceDE w:val="0"/>
        <w:autoSpaceDN w:val="0"/>
        <w:adjustRightInd w:val="0"/>
        <w:ind w:left="640" w:hanging="640"/>
        <w:rPr>
          <w:noProof/>
          <w:sz w:val="24"/>
          <w:szCs w:val="24"/>
        </w:rPr>
      </w:pPr>
      <w:r w:rsidRPr="00305728">
        <w:rPr>
          <w:noProof/>
          <w:sz w:val="24"/>
          <w:szCs w:val="24"/>
        </w:rPr>
        <w:t xml:space="preserve">2. </w:t>
      </w:r>
      <w:r w:rsidRPr="00305728">
        <w:rPr>
          <w:noProof/>
          <w:sz w:val="24"/>
          <w:szCs w:val="24"/>
        </w:rPr>
        <w:tab/>
        <w:t xml:space="preserve">Brown CC, Fears TR. Exact Significance Levels for Multiple Binomial Testing with Application to Carcinogenicity Screens. Biometrics. 1981;37(4):763–74. </w:t>
      </w:r>
    </w:p>
    <w:p w14:paraId="570EBC9E" w14:textId="56BAF2B5" w:rsidR="00305728" w:rsidRPr="00305728" w:rsidRDefault="00305728" w:rsidP="00305728">
      <w:pPr>
        <w:widowControl w:val="0"/>
        <w:autoSpaceDE w:val="0"/>
        <w:autoSpaceDN w:val="0"/>
        <w:adjustRightInd w:val="0"/>
        <w:ind w:left="640" w:hanging="640"/>
        <w:rPr>
          <w:noProof/>
          <w:sz w:val="24"/>
          <w:szCs w:val="24"/>
        </w:rPr>
      </w:pPr>
      <w:r w:rsidRPr="00305728">
        <w:rPr>
          <w:noProof/>
          <w:sz w:val="24"/>
          <w:szCs w:val="24"/>
        </w:rPr>
        <w:t xml:space="preserve">3. </w:t>
      </w:r>
      <w:r w:rsidRPr="00305728">
        <w:rPr>
          <w:noProof/>
          <w:sz w:val="24"/>
          <w:szCs w:val="24"/>
        </w:rPr>
        <w:tab/>
        <w:t xml:space="preserve">Tibshirani R. Regression shrinkage and selection via the lasso. J R Stat Soc. 1994;58(1):267–88. </w:t>
      </w:r>
    </w:p>
    <w:p w14:paraId="6B66E3CB" w14:textId="77777777" w:rsidR="00305728" w:rsidRPr="00305728" w:rsidRDefault="00305728">
      <w:pPr>
        <w:widowControl w:val="0"/>
        <w:autoSpaceDE w:val="0"/>
        <w:autoSpaceDN w:val="0"/>
        <w:adjustRightInd w:val="0"/>
        <w:ind w:left="640" w:hanging="640"/>
        <w:rPr>
          <w:noProof/>
          <w:sz w:val="24"/>
        </w:rPr>
      </w:pPr>
      <w:r w:rsidRPr="00305728">
        <w:rPr>
          <w:noProof/>
          <w:sz w:val="24"/>
          <w:szCs w:val="24"/>
        </w:rPr>
        <w:t xml:space="preserve">4. </w:t>
      </w:r>
      <w:r w:rsidRPr="00305728">
        <w:rPr>
          <w:noProof/>
          <w:sz w:val="24"/>
          <w:szCs w:val="24"/>
        </w:rPr>
        <w:tab/>
        <w:t xml:space="preserve">Yuan Y, Curtis C, Caldas C, Markowetz F. A sparse regulatory network of copy-number driven gene expression reveals putative breast cancer oncogenes. IEEE/ACM Trans Comput Biol Bioinform. 2011/07/27 ed. 2012;9(4):947–54. </w:t>
      </w:r>
    </w:p>
    <w:p w14:paraId="73453043" w14:textId="59D6E14B" w:rsidR="00305728" w:rsidRPr="00C20781" w:rsidRDefault="00305728" w:rsidP="00305728">
      <w:pPr>
        <w:widowControl w:val="0"/>
        <w:autoSpaceDE w:val="0"/>
        <w:autoSpaceDN w:val="0"/>
        <w:adjustRightInd w:val="0"/>
        <w:spacing w:after="140" w:line="288" w:lineRule="auto"/>
        <w:rPr>
          <w:b/>
          <w:sz w:val="24"/>
          <w:szCs w:val="24"/>
        </w:rPr>
      </w:pPr>
      <w:r>
        <w:rPr>
          <w:b/>
          <w:sz w:val="24"/>
          <w:szCs w:val="24"/>
        </w:rPr>
        <w:fldChar w:fldCharType="end"/>
      </w:r>
    </w:p>
    <w:p w14:paraId="5D467DC1" w14:textId="77777777" w:rsidR="00AE5589" w:rsidRPr="00C20781" w:rsidRDefault="00AE5589" w:rsidP="00D4608B">
      <w:pPr>
        <w:pStyle w:val="Paragraph"/>
        <w:spacing w:line="480" w:lineRule="auto"/>
        <w:ind w:firstLine="0"/>
        <w:rPr>
          <w:b/>
        </w:rPr>
      </w:pPr>
    </w:p>
    <w:p w14:paraId="7D310808" w14:textId="77777777" w:rsidR="009B1A44" w:rsidRPr="00C20781" w:rsidRDefault="009B1A44" w:rsidP="00D4608B">
      <w:pPr>
        <w:pStyle w:val="Paragraph"/>
        <w:spacing w:line="480" w:lineRule="auto"/>
        <w:ind w:firstLine="0"/>
        <w:rPr>
          <w:b/>
        </w:rPr>
      </w:pPr>
    </w:p>
    <w:p w14:paraId="5D0E1D5B" w14:textId="77777777" w:rsidR="009B1A44" w:rsidRPr="00C20781" w:rsidRDefault="009B1A44" w:rsidP="00D4608B">
      <w:pPr>
        <w:pStyle w:val="Paragraph"/>
        <w:spacing w:line="480" w:lineRule="auto"/>
        <w:ind w:firstLine="0"/>
        <w:rPr>
          <w:b/>
        </w:rPr>
      </w:pPr>
    </w:p>
    <w:p w14:paraId="01890F0B" w14:textId="77777777" w:rsidR="009B1A44" w:rsidRPr="00C20781" w:rsidRDefault="009B1A44" w:rsidP="00D4608B">
      <w:pPr>
        <w:pStyle w:val="Paragraph"/>
        <w:spacing w:line="480" w:lineRule="auto"/>
        <w:ind w:firstLine="0"/>
        <w:rPr>
          <w:b/>
        </w:rPr>
      </w:pPr>
    </w:p>
    <w:p w14:paraId="0212CA74" w14:textId="77777777" w:rsidR="009B1A44" w:rsidRPr="00C20781" w:rsidRDefault="009B1A44" w:rsidP="00D4608B">
      <w:pPr>
        <w:pStyle w:val="Paragraph"/>
        <w:spacing w:line="480" w:lineRule="auto"/>
        <w:ind w:firstLine="0"/>
        <w:rPr>
          <w:b/>
        </w:rPr>
      </w:pPr>
    </w:p>
    <w:p w14:paraId="25ED7320" w14:textId="77777777" w:rsidR="009B1A44" w:rsidRPr="00C20781" w:rsidRDefault="009B1A44" w:rsidP="00D4608B">
      <w:pPr>
        <w:pStyle w:val="Paragraph"/>
        <w:spacing w:line="480" w:lineRule="auto"/>
        <w:ind w:firstLine="0"/>
        <w:rPr>
          <w:b/>
        </w:rPr>
      </w:pPr>
    </w:p>
    <w:p w14:paraId="21CBF6A6" w14:textId="77777777" w:rsidR="005574BE" w:rsidRPr="00C20781" w:rsidRDefault="005574BE" w:rsidP="00986BB7">
      <w:pPr>
        <w:pStyle w:val="Paragraph"/>
        <w:spacing w:line="480" w:lineRule="auto"/>
        <w:ind w:firstLine="0"/>
        <w:rPr>
          <w:b/>
        </w:rPr>
      </w:pPr>
    </w:p>
    <w:sectPr w:rsidR="005574BE" w:rsidRPr="00C20781" w:rsidSect="005A4100">
      <w:headerReference w:type="default" r:id="rId6"/>
      <w:footerReference w:type="default" r:id="rId7"/>
      <w:headerReference w:type="first" r:id="rId8"/>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4E6BC" w14:textId="77777777" w:rsidR="00772CB9" w:rsidRDefault="00772CB9">
      <w:r>
        <w:separator/>
      </w:r>
    </w:p>
  </w:endnote>
  <w:endnote w:type="continuationSeparator" w:id="0">
    <w:p w14:paraId="21FA2564" w14:textId="77777777" w:rsidR="00772CB9" w:rsidRDefault="00772CB9">
      <w:r>
        <w:continuationSeparator/>
      </w:r>
    </w:p>
  </w:endnote>
  <w:endnote w:type="continuationNotice" w:id="1">
    <w:p w14:paraId="0650EBFC" w14:textId="77777777" w:rsidR="00772CB9" w:rsidRDefault="00772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20CD" w14:textId="77777777" w:rsidR="001225E6" w:rsidRDefault="00122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8EB19" w14:textId="77777777" w:rsidR="00772CB9" w:rsidRDefault="00772CB9">
      <w:r>
        <w:separator/>
      </w:r>
    </w:p>
  </w:footnote>
  <w:footnote w:type="continuationSeparator" w:id="0">
    <w:p w14:paraId="62F90147" w14:textId="77777777" w:rsidR="00772CB9" w:rsidRDefault="00772CB9">
      <w:r>
        <w:continuationSeparator/>
      </w:r>
    </w:p>
  </w:footnote>
  <w:footnote w:type="continuationNotice" w:id="1">
    <w:p w14:paraId="3E3D13B1" w14:textId="77777777" w:rsidR="00772CB9" w:rsidRDefault="00772C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1271C" w14:textId="77777777" w:rsidR="001225E6" w:rsidRDefault="00122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B7D10" w14:textId="77777777" w:rsidR="008B28AC" w:rsidRDefault="008B28AC" w:rsidP="008962ED">
    <w:pPr>
      <w:pStyle w:val="Header"/>
    </w:pPr>
    <w:r>
      <w:tab/>
    </w:r>
  </w:p>
  <w:p w14:paraId="7CA9BEAD" w14:textId="77777777" w:rsidR="008B28AC" w:rsidRDefault="008B28AC" w:rsidP="008962ED">
    <w:pPr>
      <w:pStyle w:val="Header"/>
    </w:pPr>
  </w:p>
  <w:p w14:paraId="1704FA65" w14:textId="77777777" w:rsidR="008B28AC" w:rsidRPr="00204015" w:rsidRDefault="008B28AC" w:rsidP="008962ED">
    <w:pPr>
      <w:pStyle w:val="Header"/>
    </w:pPr>
    <w:r>
      <w:tab/>
    </w:r>
  </w:p>
  <w:p w14:paraId="3506BECC" w14:textId="77777777" w:rsidR="008B28AC" w:rsidRDefault="008B28AC" w:rsidP="008962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BE"/>
    <w:rsid w:val="0000341D"/>
    <w:rsid w:val="00011E06"/>
    <w:rsid w:val="0001712C"/>
    <w:rsid w:val="00035F26"/>
    <w:rsid w:val="0004077F"/>
    <w:rsid w:val="000467AA"/>
    <w:rsid w:val="000576B7"/>
    <w:rsid w:val="0006455F"/>
    <w:rsid w:val="000653FC"/>
    <w:rsid w:val="0007735B"/>
    <w:rsid w:val="0008443C"/>
    <w:rsid w:val="000B70FE"/>
    <w:rsid w:val="000C02F1"/>
    <w:rsid w:val="000C20B5"/>
    <w:rsid w:val="000C5B67"/>
    <w:rsid w:val="000E2CCA"/>
    <w:rsid w:val="000F3C50"/>
    <w:rsid w:val="000F561E"/>
    <w:rsid w:val="001225E6"/>
    <w:rsid w:val="00165DAD"/>
    <w:rsid w:val="00177D42"/>
    <w:rsid w:val="001A710A"/>
    <w:rsid w:val="001B03B4"/>
    <w:rsid w:val="001C45C1"/>
    <w:rsid w:val="001D04B0"/>
    <w:rsid w:val="001D05B6"/>
    <w:rsid w:val="001D0F61"/>
    <w:rsid w:val="001D7B98"/>
    <w:rsid w:val="001E1FFC"/>
    <w:rsid w:val="001F4FAA"/>
    <w:rsid w:val="00210CC3"/>
    <w:rsid w:val="00212E25"/>
    <w:rsid w:val="002508D4"/>
    <w:rsid w:val="002B09DF"/>
    <w:rsid w:val="002E59C8"/>
    <w:rsid w:val="002F6CA0"/>
    <w:rsid w:val="0030063C"/>
    <w:rsid w:val="003022B6"/>
    <w:rsid w:val="00302D98"/>
    <w:rsid w:val="00305728"/>
    <w:rsid w:val="0036444F"/>
    <w:rsid w:val="003701F3"/>
    <w:rsid w:val="0037285F"/>
    <w:rsid w:val="0039416E"/>
    <w:rsid w:val="003B62CC"/>
    <w:rsid w:val="003C0BB0"/>
    <w:rsid w:val="003C66E9"/>
    <w:rsid w:val="003D396A"/>
    <w:rsid w:val="00434751"/>
    <w:rsid w:val="00470366"/>
    <w:rsid w:val="00481CED"/>
    <w:rsid w:val="004C7A5E"/>
    <w:rsid w:val="00503906"/>
    <w:rsid w:val="005353BD"/>
    <w:rsid w:val="00544CD4"/>
    <w:rsid w:val="00556768"/>
    <w:rsid w:val="005574BE"/>
    <w:rsid w:val="0058028F"/>
    <w:rsid w:val="00596A74"/>
    <w:rsid w:val="005A3248"/>
    <w:rsid w:val="005A4100"/>
    <w:rsid w:val="005C29BF"/>
    <w:rsid w:val="005C6488"/>
    <w:rsid w:val="005C6CB2"/>
    <w:rsid w:val="005E4631"/>
    <w:rsid w:val="005E4EAB"/>
    <w:rsid w:val="0063292B"/>
    <w:rsid w:val="00633C3C"/>
    <w:rsid w:val="0065179D"/>
    <w:rsid w:val="006723EE"/>
    <w:rsid w:val="006E2EC3"/>
    <w:rsid w:val="00703DBA"/>
    <w:rsid w:val="007078E6"/>
    <w:rsid w:val="00772CB9"/>
    <w:rsid w:val="007D7B4A"/>
    <w:rsid w:val="007F52CF"/>
    <w:rsid w:val="00841567"/>
    <w:rsid w:val="008563C9"/>
    <w:rsid w:val="00857DE0"/>
    <w:rsid w:val="00866E37"/>
    <w:rsid w:val="00870C7A"/>
    <w:rsid w:val="00895F39"/>
    <w:rsid w:val="008962ED"/>
    <w:rsid w:val="008A4492"/>
    <w:rsid w:val="008B28AC"/>
    <w:rsid w:val="008E2FB3"/>
    <w:rsid w:val="008E368B"/>
    <w:rsid w:val="0090051D"/>
    <w:rsid w:val="00923507"/>
    <w:rsid w:val="00944FC4"/>
    <w:rsid w:val="00972534"/>
    <w:rsid w:val="00986BB7"/>
    <w:rsid w:val="009B0EB4"/>
    <w:rsid w:val="009B1A44"/>
    <w:rsid w:val="009B1C08"/>
    <w:rsid w:val="009C2019"/>
    <w:rsid w:val="009C5693"/>
    <w:rsid w:val="009C7FAB"/>
    <w:rsid w:val="009E4624"/>
    <w:rsid w:val="009F4E89"/>
    <w:rsid w:val="009F5B3C"/>
    <w:rsid w:val="00A003FA"/>
    <w:rsid w:val="00A20180"/>
    <w:rsid w:val="00A33C62"/>
    <w:rsid w:val="00A56FB1"/>
    <w:rsid w:val="00A616DC"/>
    <w:rsid w:val="00A82E02"/>
    <w:rsid w:val="00A94B90"/>
    <w:rsid w:val="00A96EE3"/>
    <w:rsid w:val="00AC2268"/>
    <w:rsid w:val="00AE5589"/>
    <w:rsid w:val="00AF4D7C"/>
    <w:rsid w:val="00B11C5B"/>
    <w:rsid w:val="00B224D1"/>
    <w:rsid w:val="00B37CD3"/>
    <w:rsid w:val="00B400D4"/>
    <w:rsid w:val="00BA098A"/>
    <w:rsid w:val="00BC4C6E"/>
    <w:rsid w:val="00BE6A83"/>
    <w:rsid w:val="00C005AD"/>
    <w:rsid w:val="00C02A33"/>
    <w:rsid w:val="00C0336D"/>
    <w:rsid w:val="00C20717"/>
    <w:rsid w:val="00C20781"/>
    <w:rsid w:val="00C237AF"/>
    <w:rsid w:val="00C24677"/>
    <w:rsid w:val="00C260C5"/>
    <w:rsid w:val="00C565DA"/>
    <w:rsid w:val="00C577F7"/>
    <w:rsid w:val="00C57F30"/>
    <w:rsid w:val="00C74969"/>
    <w:rsid w:val="00C771BA"/>
    <w:rsid w:val="00C7723C"/>
    <w:rsid w:val="00CC4058"/>
    <w:rsid w:val="00CF2F99"/>
    <w:rsid w:val="00D35BD0"/>
    <w:rsid w:val="00D4608B"/>
    <w:rsid w:val="00D76560"/>
    <w:rsid w:val="00D966FE"/>
    <w:rsid w:val="00E13F0F"/>
    <w:rsid w:val="00E2442E"/>
    <w:rsid w:val="00E46A39"/>
    <w:rsid w:val="00E61315"/>
    <w:rsid w:val="00E61D56"/>
    <w:rsid w:val="00E93AAE"/>
    <w:rsid w:val="00E95587"/>
    <w:rsid w:val="00EB6AF5"/>
    <w:rsid w:val="00EC6F6B"/>
    <w:rsid w:val="00EE667F"/>
    <w:rsid w:val="00EF6238"/>
    <w:rsid w:val="00F3438F"/>
    <w:rsid w:val="00F44624"/>
    <w:rsid w:val="00F5708B"/>
    <w:rsid w:val="00F658A1"/>
    <w:rsid w:val="00F81C32"/>
    <w:rsid w:val="00FC2462"/>
    <w:rsid w:val="00FC4E5F"/>
    <w:rsid w:val="00FD07F9"/>
    <w:rsid w:val="00FD27B9"/>
    <w:rsid w:val="00FE6952"/>
    <w:rsid w:val="00FE72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AF83E"/>
  <w14:defaultImageDpi w14:val="300"/>
  <w15:docId w15:val="{9358481D-F230-4BC9-9E38-50E898C8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4BE"/>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knowledgement">
    <w:name w:val="Acknowledgement"/>
    <w:basedOn w:val="Normal"/>
    <w:rsid w:val="005574BE"/>
    <w:pPr>
      <w:spacing w:before="120"/>
      <w:ind w:left="720" w:hanging="720"/>
    </w:pPr>
    <w:rPr>
      <w:rFonts w:eastAsia="Times New Roman"/>
      <w:sz w:val="24"/>
      <w:szCs w:val="24"/>
    </w:rPr>
  </w:style>
  <w:style w:type="paragraph" w:customStyle="1" w:styleId="Paragraph">
    <w:name w:val="Paragraph"/>
    <w:basedOn w:val="Normal"/>
    <w:rsid w:val="005574BE"/>
    <w:pPr>
      <w:spacing w:before="120"/>
      <w:ind w:firstLine="720"/>
    </w:pPr>
    <w:rPr>
      <w:rFonts w:eastAsia="Times New Roman"/>
      <w:sz w:val="24"/>
      <w:szCs w:val="24"/>
    </w:rPr>
  </w:style>
  <w:style w:type="paragraph" w:customStyle="1" w:styleId="Legend">
    <w:name w:val="Legend"/>
    <w:basedOn w:val="Normal"/>
    <w:rsid w:val="005574BE"/>
    <w:pPr>
      <w:keepNext/>
      <w:spacing w:before="240"/>
      <w:outlineLvl w:val="0"/>
    </w:pPr>
    <w:rPr>
      <w:rFonts w:eastAsia="Times New Roman"/>
      <w:kern w:val="28"/>
      <w:sz w:val="24"/>
      <w:szCs w:val="24"/>
    </w:rPr>
  </w:style>
  <w:style w:type="paragraph" w:styleId="Header">
    <w:name w:val="header"/>
    <w:basedOn w:val="Normal"/>
    <w:link w:val="HeaderChar"/>
    <w:rsid w:val="005574BE"/>
    <w:pPr>
      <w:tabs>
        <w:tab w:val="center" w:pos="4320"/>
        <w:tab w:val="right" w:pos="8640"/>
      </w:tabs>
    </w:pPr>
    <w:rPr>
      <w:rFonts w:eastAsia="Times New Roman"/>
    </w:rPr>
  </w:style>
  <w:style w:type="character" w:customStyle="1" w:styleId="HeaderChar">
    <w:name w:val="Header Char"/>
    <w:basedOn w:val="DefaultParagraphFont"/>
    <w:link w:val="Header"/>
    <w:rsid w:val="005574BE"/>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5574BE"/>
    <w:pPr>
      <w:ind w:left="720"/>
      <w:contextualSpacing/>
    </w:pPr>
    <w:rPr>
      <w:rFonts w:ascii="Cambria" w:eastAsia="MS Mincho" w:hAnsi="Cambria"/>
      <w:sz w:val="24"/>
      <w:szCs w:val="24"/>
    </w:rPr>
  </w:style>
  <w:style w:type="paragraph" w:customStyle="1" w:styleId="FreeFormA">
    <w:name w:val="Free Form A"/>
    <w:rsid w:val="005574BE"/>
    <w:rPr>
      <w:rFonts w:ascii="Helvetica" w:eastAsia="ヒラギノ角ゴ Pro W3" w:hAnsi="Helvetica" w:cs="Times New Roman"/>
      <w:color w:val="000000"/>
      <w:szCs w:val="20"/>
      <w:lang w:val="en-US"/>
    </w:rPr>
  </w:style>
  <w:style w:type="paragraph" w:styleId="Caption">
    <w:name w:val="caption"/>
    <w:basedOn w:val="Normal"/>
    <w:next w:val="Normal"/>
    <w:uiPriority w:val="35"/>
    <w:unhideWhenUsed/>
    <w:qFormat/>
    <w:rsid w:val="005574BE"/>
    <w:pPr>
      <w:spacing w:after="200"/>
    </w:pPr>
    <w:rPr>
      <w:rFonts w:asciiTheme="minorHAnsi" w:eastAsiaTheme="minorEastAsia" w:hAnsiTheme="minorHAnsi" w:cstheme="minorBidi"/>
      <w:b/>
      <w:bCs/>
      <w:color w:val="4F81BD" w:themeColor="accent1"/>
      <w:sz w:val="18"/>
      <w:szCs w:val="18"/>
      <w:lang w:val="en-GB"/>
    </w:rPr>
  </w:style>
  <w:style w:type="paragraph" w:styleId="BalloonText">
    <w:name w:val="Balloon Text"/>
    <w:basedOn w:val="Normal"/>
    <w:link w:val="BalloonTextChar"/>
    <w:uiPriority w:val="99"/>
    <w:semiHidden/>
    <w:unhideWhenUsed/>
    <w:rsid w:val="005574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4BE"/>
    <w:rPr>
      <w:rFonts w:ascii="Lucida Grande" w:eastAsia="Calibri" w:hAnsi="Lucida Grande" w:cs="Lucida Grande"/>
      <w:sz w:val="18"/>
      <w:szCs w:val="18"/>
      <w:lang w:val="en-US"/>
    </w:rPr>
  </w:style>
  <w:style w:type="paragraph" w:customStyle="1" w:styleId="Head">
    <w:name w:val="Head"/>
    <w:basedOn w:val="Normal"/>
    <w:rsid w:val="000C02F1"/>
    <w:pPr>
      <w:keepNext/>
      <w:spacing w:before="120" w:after="120"/>
      <w:jc w:val="center"/>
      <w:outlineLvl w:val="0"/>
    </w:pPr>
    <w:rPr>
      <w:rFonts w:eastAsia="Times New Roman"/>
      <w:b/>
      <w:bCs/>
      <w:kern w:val="28"/>
      <w:sz w:val="28"/>
      <w:szCs w:val="28"/>
    </w:rPr>
  </w:style>
  <w:style w:type="paragraph" w:customStyle="1" w:styleId="Teaser">
    <w:name w:val="Teaser"/>
    <w:basedOn w:val="Normal"/>
    <w:rsid w:val="000C02F1"/>
    <w:pPr>
      <w:spacing w:before="120"/>
    </w:pPr>
    <w:rPr>
      <w:rFonts w:eastAsia="Times New Roman"/>
      <w:sz w:val="24"/>
      <w:szCs w:val="24"/>
    </w:rPr>
  </w:style>
  <w:style w:type="character" w:customStyle="1" w:styleId="apple-converted-space">
    <w:name w:val="apple-converted-space"/>
    <w:rsid w:val="00AE5589"/>
  </w:style>
  <w:style w:type="paragraph" w:styleId="Footer">
    <w:name w:val="footer"/>
    <w:basedOn w:val="Normal"/>
    <w:link w:val="FooterChar"/>
    <w:uiPriority w:val="99"/>
    <w:unhideWhenUsed/>
    <w:rsid w:val="001225E6"/>
    <w:pPr>
      <w:tabs>
        <w:tab w:val="center" w:pos="4680"/>
        <w:tab w:val="right" w:pos="9360"/>
      </w:tabs>
    </w:pPr>
  </w:style>
  <w:style w:type="character" w:customStyle="1" w:styleId="FooterChar">
    <w:name w:val="Footer Char"/>
    <w:basedOn w:val="DefaultParagraphFont"/>
    <w:link w:val="Footer"/>
    <w:uiPriority w:val="99"/>
    <w:rsid w:val="001225E6"/>
    <w:rPr>
      <w:rFonts w:ascii="Times New Roman" w:eastAsia="Calibri"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1615">
      <w:bodyDiv w:val="1"/>
      <w:marLeft w:val="0"/>
      <w:marRight w:val="0"/>
      <w:marTop w:val="0"/>
      <w:marBottom w:val="0"/>
      <w:divBdr>
        <w:top w:val="none" w:sz="0" w:space="0" w:color="auto"/>
        <w:left w:val="none" w:sz="0" w:space="0" w:color="auto"/>
        <w:bottom w:val="none" w:sz="0" w:space="0" w:color="auto"/>
        <w:right w:val="none" w:sz="0" w:space="0" w:color="auto"/>
      </w:divBdr>
    </w:div>
    <w:div w:id="689262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ICR</Company>
  <LinksUpToDate>false</LinksUpToDate>
  <CharactersWithSpaces>13329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Yinyin Yuan</dc:creator>
  <cp:keywords/>
  <dc:description/>
  <cp:lastModifiedBy>Carrie Wright</cp:lastModifiedBy>
  <cp:revision>2</cp:revision>
  <dcterms:created xsi:type="dcterms:W3CDTF">2015-02-19T20:03:00Z</dcterms:created>
  <dcterms:modified xsi:type="dcterms:W3CDTF">2016-01-25T20:08:00Z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yinyin.yuan@icr.ac.uk@www.mendeley.com</vt:lpwstr>
  </property>
  <property fmtid="{D5CDD505-2E9C-101B-9397-08002B2CF9AE}" pid="4" name="Mendeley Citation Style_1">
    <vt:lpwstr>http://csl.mendeley.com/styles/75605291/vancouver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http://csl.mendeley.com/styles/75605291/vancouver</vt:lpwstr>
  </property>
  <property fmtid="{D5CDD505-2E9C-101B-9397-08002B2CF9AE}" pid="24" name="Mendeley Recent Style Name 9_1">
    <vt:lpwstr>Vancouver - Yinyin Yuan</vt:lpwstr>
  </property>
</Properties>
</file>