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43" w:rsidRPr="003D4810" w:rsidRDefault="00C364E3" w:rsidP="00BC1343">
      <w:pPr>
        <w:spacing w:after="0" w:line="240" w:lineRule="auto"/>
        <w:rPr>
          <w:sz w:val="22"/>
          <w:szCs w:val="22"/>
        </w:rPr>
      </w:pPr>
      <w:bookmarkStart w:id="0" w:name="_GoBack"/>
      <w:bookmarkEnd w:id="0"/>
      <w:r w:rsidRPr="003D4810">
        <w:rPr>
          <w:b/>
          <w:sz w:val="22"/>
          <w:szCs w:val="22"/>
        </w:rPr>
        <w:t>S3</w:t>
      </w:r>
      <w:r>
        <w:rPr>
          <w:b/>
          <w:sz w:val="22"/>
          <w:szCs w:val="22"/>
        </w:rPr>
        <w:t xml:space="preserve"> </w:t>
      </w:r>
      <w:r w:rsidR="00BC1343" w:rsidRPr="003D4810">
        <w:rPr>
          <w:b/>
          <w:sz w:val="22"/>
          <w:szCs w:val="22"/>
        </w:rPr>
        <w:t xml:space="preserve">Table. </w:t>
      </w:r>
      <w:r w:rsidR="00BC1343" w:rsidRPr="003D4810">
        <w:rPr>
          <w:sz w:val="22"/>
          <w:szCs w:val="22"/>
        </w:rPr>
        <w:t xml:space="preserve">Sensitivity </w:t>
      </w:r>
      <w:r w:rsidR="001A4E58" w:rsidRPr="003D4810">
        <w:rPr>
          <w:sz w:val="22"/>
          <w:szCs w:val="22"/>
        </w:rPr>
        <w:t xml:space="preserve">and imputation </w:t>
      </w:r>
      <w:r w:rsidR="00BC1343" w:rsidRPr="003D4810">
        <w:rPr>
          <w:sz w:val="22"/>
          <w:szCs w:val="22"/>
        </w:rPr>
        <w:t>analyses for the association between Healthy Eating Index (HEI)-2010 and total disease mortality in the Southern Community Cohort Study, 2002-2011</w:t>
      </w:r>
    </w:p>
    <w:p w:rsidR="00BC1343" w:rsidRPr="003D4810" w:rsidRDefault="00BC1343" w:rsidP="00BC1343">
      <w:pPr>
        <w:spacing w:after="0" w:line="240" w:lineRule="auto"/>
        <w:rPr>
          <w:sz w:val="22"/>
          <w:szCs w:val="22"/>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1961"/>
        <w:gridCol w:w="2790"/>
        <w:gridCol w:w="3152"/>
        <w:gridCol w:w="1366"/>
      </w:tblGrid>
      <w:tr w:rsidR="003D4810" w:rsidRPr="003D4810" w:rsidTr="000215D7">
        <w:tc>
          <w:tcPr>
            <w:tcW w:w="1184" w:type="pct"/>
            <w:gridSpan w:val="2"/>
            <w:vMerge w:val="restart"/>
          </w:tcPr>
          <w:p w:rsidR="00BC1343" w:rsidRPr="003D4810" w:rsidRDefault="00BC1343" w:rsidP="005C7BED">
            <w:pPr>
              <w:rPr>
                <w:b/>
                <w:sz w:val="22"/>
                <w:szCs w:val="22"/>
              </w:rPr>
            </w:pPr>
            <w:r w:rsidRPr="003D4810">
              <w:rPr>
                <w:b/>
                <w:sz w:val="22"/>
                <w:szCs w:val="22"/>
              </w:rPr>
              <w:t>Populations</w:t>
            </w:r>
          </w:p>
        </w:tc>
        <w:tc>
          <w:tcPr>
            <w:tcW w:w="1457" w:type="pct"/>
            <w:vMerge w:val="restart"/>
            <w:vAlign w:val="center"/>
          </w:tcPr>
          <w:p w:rsidR="00BC1343" w:rsidRPr="003D4810" w:rsidRDefault="00BC1343" w:rsidP="000215D7">
            <w:pPr>
              <w:rPr>
                <w:b/>
                <w:sz w:val="22"/>
                <w:szCs w:val="22"/>
              </w:rPr>
            </w:pPr>
            <w:r w:rsidRPr="003D4810">
              <w:rPr>
                <w:b/>
                <w:sz w:val="22"/>
                <w:szCs w:val="22"/>
              </w:rPr>
              <w:t>No. of participants (deaths)</w:t>
            </w:r>
          </w:p>
        </w:tc>
        <w:tc>
          <w:tcPr>
            <w:tcW w:w="2359" w:type="pct"/>
            <w:gridSpan w:val="2"/>
            <w:tcBorders>
              <w:top w:val="single" w:sz="4" w:space="0" w:color="auto"/>
              <w:bottom w:val="single" w:sz="4" w:space="0" w:color="auto"/>
            </w:tcBorders>
            <w:vAlign w:val="center"/>
          </w:tcPr>
          <w:p w:rsidR="00BC1343" w:rsidRPr="003D4810" w:rsidRDefault="00BC1343" w:rsidP="000215D7">
            <w:pPr>
              <w:rPr>
                <w:b/>
                <w:sz w:val="22"/>
                <w:szCs w:val="22"/>
              </w:rPr>
            </w:pPr>
            <w:r w:rsidRPr="003D4810">
              <w:rPr>
                <w:b/>
                <w:sz w:val="22"/>
                <w:szCs w:val="22"/>
              </w:rPr>
              <w:t>Multivariate HR (95% CI) by HEI-2010</w:t>
            </w:r>
          </w:p>
        </w:tc>
      </w:tr>
      <w:tr w:rsidR="003D4810" w:rsidRPr="003D4810" w:rsidTr="000215D7">
        <w:tc>
          <w:tcPr>
            <w:tcW w:w="1184" w:type="pct"/>
            <w:gridSpan w:val="2"/>
            <w:vMerge/>
            <w:tcBorders>
              <w:bottom w:val="single" w:sz="4" w:space="0" w:color="auto"/>
            </w:tcBorders>
          </w:tcPr>
          <w:p w:rsidR="00BC1343" w:rsidRPr="003D4810" w:rsidRDefault="00BC1343" w:rsidP="005C7BED">
            <w:pPr>
              <w:rPr>
                <w:sz w:val="22"/>
                <w:szCs w:val="22"/>
              </w:rPr>
            </w:pPr>
          </w:p>
        </w:tc>
        <w:tc>
          <w:tcPr>
            <w:tcW w:w="1457" w:type="pct"/>
            <w:vMerge/>
            <w:tcBorders>
              <w:bottom w:val="single" w:sz="4" w:space="0" w:color="auto"/>
            </w:tcBorders>
            <w:vAlign w:val="center"/>
          </w:tcPr>
          <w:p w:rsidR="00BC1343" w:rsidRPr="003D4810" w:rsidRDefault="00BC1343" w:rsidP="000215D7">
            <w:pPr>
              <w:rPr>
                <w:b/>
                <w:sz w:val="22"/>
                <w:szCs w:val="22"/>
              </w:rPr>
            </w:pPr>
          </w:p>
        </w:tc>
        <w:tc>
          <w:tcPr>
            <w:tcW w:w="1646" w:type="pct"/>
            <w:tcBorders>
              <w:top w:val="single" w:sz="4" w:space="0" w:color="auto"/>
              <w:bottom w:val="single" w:sz="4" w:space="0" w:color="auto"/>
            </w:tcBorders>
            <w:vAlign w:val="center"/>
          </w:tcPr>
          <w:p w:rsidR="00BC1343" w:rsidRPr="003D4810" w:rsidRDefault="00BC1343" w:rsidP="000215D7">
            <w:pPr>
              <w:rPr>
                <w:b/>
                <w:sz w:val="22"/>
                <w:szCs w:val="22"/>
              </w:rPr>
            </w:pPr>
            <w:r w:rsidRPr="003D4810">
              <w:rPr>
                <w:b/>
                <w:sz w:val="22"/>
                <w:szCs w:val="22"/>
              </w:rPr>
              <w:t>Quintile 5 vs. Quintile 1</w:t>
            </w:r>
          </w:p>
        </w:tc>
        <w:tc>
          <w:tcPr>
            <w:tcW w:w="713" w:type="pct"/>
            <w:tcBorders>
              <w:top w:val="single" w:sz="4" w:space="0" w:color="auto"/>
              <w:bottom w:val="single" w:sz="4" w:space="0" w:color="auto"/>
            </w:tcBorders>
            <w:vAlign w:val="center"/>
          </w:tcPr>
          <w:p w:rsidR="00BC1343" w:rsidRPr="003D4810" w:rsidRDefault="00BC1343" w:rsidP="000215D7">
            <w:pPr>
              <w:rPr>
                <w:b/>
                <w:sz w:val="22"/>
                <w:szCs w:val="22"/>
              </w:rPr>
            </w:pPr>
            <w:r w:rsidRPr="003D4810">
              <w:rPr>
                <w:b/>
                <w:sz w:val="22"/>
                <w:szCs w:val="22"/>
              </w:rPr>
              <w:t>P for trend</w:t>
            </w:r>
          </w:p>
        </w:tc>
      </w:tr>
      <w:tr w:rsidR="003D4810" w:rsidRPr="003D4810" w:rsidTr="000215D7">
        <w:tc>
          <w:tcPr>
            <w:tcW w:w="5000" w:type="pct"/>
            <w:gridSpan w:val="5"/>
            <w:tcBorders>
              <w:top w:val="single" w:sz="4" w:space="0" w:color="auto"/>
              <w:bottom w:val="nil"/>
            </w:tcBorders>
          </w:tcPr>
          <w:p w:rsidR="00BC1343" w:rsidRPr="003D4810" w:rsidRDefault="00BC1343" w:rsidP="000215D7">
            <w:pPr>
              <w:rPr>
                <w:sz w:val="22"/>
                <w:szCs w:val="22"/>
              </w:rPr>
            </w:pPr>
            <w:r w:rsidRPr="003D4810">
              <w:rPr>
                <w:sz w:val="22"/>
                <w:szCs w:val="22"/>
              </w:rPr>
              <w:t>Excluding participants died in the first 2 years of follow-up</w:t>
            </w:r>
          </w:p>
        </w:tc>
      </w:tr>
      <w:tr w:rsidR="003D4810" w:rsidRPr="003D4810" w:rsidTr="000215D7">
        <w:tc>
          <w:tcPr>
            <w:tcW w:w="160" w:type="pct"/>
            <w:tcBorders>
              <w:top w:val="nil"/>
            </w:tcBorders>
          </w:tcPr>
          <w:p w:rsidR="00BC1343" w:rsidRPr="003D4810" w:rsidRDefault="00BC1343" w:rsidP="005C7BED">
            <w:pPr>
              <w:ind w:firstLine="180"/>
              <w:rPr>
                <w:sz w:val="22"/>
                <w:szCs w:val="22"/>
              </w:rPr>
            </w:pPr>
          </w:p>
        </w:tc>
        <w:tc>
          <w:tcPr>
            <w:tcW w:w="1024" w:type="pct"/>
            <w:tcBorders>
              <w:top w:val="nil"/>
            </w:tcBorders>
            <w:vAlign w:val="center"/>
          </w:tcPr>
          <w:p w:rsidR="00BC1343" w:rsidRPr="003D4810" w:rsidRDefault="00BC1343" w:rsidP="005C7BED">
            <w:pPr>
              <w:rPr>
                <w:sz w:val="22"/>
                <w:szCs w:val="22"/>
              </w:rPr>
            </w:pPr>
            <w:r w:rsidRPr="003D4810">
              <w:rPr>
                <w:sz w:val="22"/>
                <w:szCs w:val="22"/>
              </w:rPr>
              <w:t>Men</w:t>
            </w:r>
          </w:p>
        </w:tc>
        <w:tc>
          <w:tcPr>
            <w:tcW w:w="1457" w:type="pct"/>
            <w:tcBorders>
              <w:top w:val="nil"/>
            </w:tcBorders>
            <w:vAlign w:val="center"/>
          </w:tcPr>
          <w:p w:rsidR="00BC1343" w:rsidRPr="003D4810" w:rsidRDefault="00BC1343" w:rsidP="000215D7">
            <w:pPr>
              <w:rPr>
                <w:sz w:val="22"/>
                <w:szCs w:val="22"/>
              </w:rPr>
            </w:pPr>
            <w:r w:rsidRPr="003D4810">
              <w:rPr>
                <w:sz w:val="22"/>
                <w:szCs w:val="22"/>
              </w:rPr>
              <w:t>30,239 (2,826)</w:t>
            </w:r>
          </w:p>
        </w:tc>
        <w:tc>
          <w:tcPr>
            <w:tcW w:w="1646" w:type="pct"/>
            <w:tcBorders>
              <w:top w:val="nil"/>
            </w:tcBorders>
            <w:vAlign w:val="center"/>
          </w:tcPr>
          <w:p w:rsidR="00BC1343" w:rsidRPr="003D4810" w:rsidRDefault="00BC1343" w:rsidP="000215D7">
            <w:pPr>
              <w:rPr>
                <w:sz w:val="22"/>
                <w:szCs w:val="22"/>
              </w:rPr>
            </w:pPr>
            <w:r w:rsidRPr="003D4810">
              <w:rPr>
                <w:sz w:val="22"/>
                <w:szCs w:val="22"/>
              </w:rPr>
              <w:t>0.78 (0.69, 0.88)</w:t>
            </w:r>
          </w:p>
        </w:tc>
        <w:tc>
          <w:tcPr>
            <w:tcW w:w="713" w:type="pct"/>
            <w:tcBorders>
              <w:top w:val="nil"/>
            </w:tcBorders>
            <w:vAlign w:val="center"/>
          </w:tcPr>
          <w:p w:rsidR="00BC1343" w:rsidRPr="003D4810" w:rsidRDefault="00BC1343" w:rsidP="000215D7">
            <w:pPr>
              <w:rPr>
                <w:sz w:val="22"/>
                <w:szCs w:val="22"/>
              </w:rPr>
            </w:pPr>
            <w:r w:rsidRPr="003D4810">
              <w:rPr>
                <w:sz w:val="22"/>
                <w:szCs w:val="22"/>
              </w:rPr>
              <w:t>&lt;0.001</w:t>
            </w:r>
          </w:p>
        </w:tc>
      </w:tr>
      <w:tr w:rsidR="003D4810" w:rsidRPr="003D4810" w:rsidTr="000215D7">
        <w:tc>
          <w:tcPr>
            <w:tcW w:w="160" w:type="pct"/>
          </w:tcPr>
          <w:p w:rsidR="00BC1343" w:rsidRPr="003D4810" w:rsidRDefault="00BC1343" w:rsidP="005C7BED">
            <w:pPr>
              <w:ind w:firstLine="180"/>
              <w:rPr>
                <w:sz w:val="22"/>
                <w:szCs w:val="22"/>
              </w:rPr>
            </w:pPr>
          </w:p>
        </w:tc>
        <w:tc>
          <w:tcPr>
            <w:tcW w:w="1024" w:type="pct"/>
            <w:vAlign w:val="center"/>
          </w:tcPr>
          <w:p w:rsidR="00BC1343" w:rsidRPr="003D4810" w:rsidRDefault="00BC1343" w:rsidP="005C7BED">
            <w:pPr>
              <w:rPr>
                <w:sz w:val="22"/>
                <w:szCs w:val="22"/>
              </w:rPr>
            </w:pPr>
            <w:r w:rsidRPr="003D4810">
              <w:rPr>
                <w:sz w:val="22"/>
                <w:szCs w:val="22"/>
              </w:rPr>
              <w:t>Women</w:t>
            </w:r>
          </w:p>
        </w:tc>
        <w:tc>
          <w:tcPr>
            <w:tcW w:w="1457" w:type="pct"/>
            <w:vAlign w:val="center"/>
          </w:tcPr>
          <w:p w:rsidR="00BC1343" w:rsidRPr="003D4810" w:rsidRDefault="00BC1343" w:rsidP="000215D7">
            <w:pPr>
              <w:rPr>
                <w:sz w:val="22"/>
                <w:szCs w:val="22"/>
              </w:rPr>
            </w:pPr>
            <w:r w:rsidRPr="003D4810">
              <w:rPr>
                <w:sz w:val="22"/>
                <w:szCs w:val="22"/>
              </w:rPr>
              <w:t>45,611 (2,520)</w:t>
            </w:r>
          </w:p>
        </w:tc>
        <w:tc>
          <w:tcPr>
            <w:tcW w:w="1646" w:type="pct"/>
            <w:vAlign w:val="center"/>
          </w:tcPr>
          <w:p w:rsidR="00BC1343" w:rsidRPr="003D4810" w:rsidRDefault="00BC1343" w:rsidP="000215D7">
            <w:pPr>
              <w:rPr>
                <w:sz w:val="22"/>
                <w:szCs w:val="22"/>
              </w:rPr>
            </w:pPr>
            <w:r w:rsidRPr="003D4810">
              <w:rPr>
                <w:sz w:val="22"/>
                <w:szCs w:val="22"/>
              </w:rPr>
              <w:t>0.78 (0.68, 0.89)</w:t>
            </w:r>
          </w:p>
        </w:tc>
        <w:tc>
          <w:tcPr>
            <w:tcW w:w="713" w:type="pct"/>
            <w:vAlign w:val="center"/>
          </w:tcPr>
          <w:p w:rsidR="00BC1343" w:rsidRPr="003D4810" w:rsidRDefault="00BC1343" w:rsidP="000215D7">
            <w:pPr>
              <w:rPr>
                <w:sz w:val="22"/>
                <w:szCs w:val="22"/>
              </w:rPr>
            </w:pPr>
            <w:r w:rsidRPr="003D4810">
              <w:rPr>
                <w:sz w:val="22"/>
                <w:szCs w:val="22"/>
              </w:rPr>
              <w:t>&lt;0.001</w:t>
            </w:r>
          </w:p>
        </w:tc>
      </w:tr>
      <w:tr w:rsidR="003D4810" w:rsidRPr="003D4810" w:rsidTr="000215D7">
        <w:tc>
          <w:tcPr>
            <w:tcW w:w="5000" w:type="pct"/>
            <w:gridSpan w:val="5"/>
          </w:tcPr>
          <w:p w:rsidR="00BC1343" w:rsidRPr="003D4810" w:rsidRDefault="00BC1343" w:rsidP="000215D7">
            <w:pPr>
              <w:rPr>
                <w:sz w:val="22"/>
                <w:szCs w:val="22"/>
              </w:rPr>
            </w:pPr>
            <w:r w:rsidRPr="003D4810">
              <w:rPr>
                <w:sz w:val="22"/>
                <w:szCs w:val="22"/>
              </w:rPr>
              <w:t>Excluding participants not recruited from CHCs</w:t>
            </w:r>
          </w:p>
        </w:tc>
      </w:tr>
      <w:tr w:rsidR="003D4810" w:rsidRPr="003D4810" w:rsidTr="000215D7">
        <w:tc>
          <w:tcPr>
            <w:tcW w:w="160" w:type="pct"/>
          </w:tcPr>
          <w:p w:rsidR="00BC1343" w:rsidRPr="003D4810" w:rsidRDefault="00BC1343" w:rsidP="005C7BED">
            <w:pPr>
              <w:ind w:firstLine="180"/>
              <w:rPr>
                <w:sz w:val="22"/>
                <w:szCs w:val="22"/>
              </w:rPr>
            </w:pPr>
          </w:p>
        </w:tc>
        <w:tc>
          <w:tcPr>
            <w:tcW w:w="1024" w:type="pct"/>
            <w:vAlign w:val="center"/>
          </w:tcPr>
          <w:p w:rsidR="00BC1343" w:rsidRPr="003D4810" w:rsidRDefault="00BC1343" w:rsidP="005C7BED">
            <w:pPr>
              <w:rPr>
                <w:sz w:val="22"/>
                <w:szCs w:val="22"/>
              </w:rPr>
            </w:pPr>
            <w:r w:rsidRPr="003D4810">
              <w:rPr>
                <w:sz w:val="22"/>
                <w:szCs w:val="22"/>
              </w:rPr>
              <w:t>Men</w:t>
            </w:r>
          </w:p>
        </w:tc>
        <w:tc>
          <w:tcPr>
            <w:tcW w:w="1457" w:type="pct"/>
            <w:vAlign w:val="center"/>
          </w:tcPr>
          <w:p w:rsidR="00BC1343" w:rsidRPr="003D4810" w:rsidRDefault="007D0AB4" w:rsidP="000215D7">
            <w:pPr>
              <w:rPr>
                <w:sz w:val="22"/>
                <w:szCs w:val="22"/>
              </w:rPr>
            </w:pPr>
            <w:r w:rsidRPr="003D4810">
              <w:rPr>
                <w:sz w:val="22"/>
                <w:szCs w:val="22"/>
              </w:rPr>
              <w:t>26,135 (3,304)</w:t>
            </w:r>
          </w:p>
        </w:tc>
        <w:tc>
          <w:tcPr>
            <w:tcW w:w="1646" w:type="pct"/>
            <w:vAlign w:val="center"/>
          </w:tcPr>
          <w:p w:rsidR="00BC1343" w:rsidRPr="003D4810" w:rsidRDefault="007D0AB4" w:rsidP="000215D7">
            <w:pPr>
              <w:rPr>
                <w:sz w:val="22"/>
                <w:szCs w:val="22"/>
              </w:rPr>
            </w:pPr>
            <w:r w:rsidRPr="003D4810">
              <w:rPr>
                <w:sz w:val="22"/>
                <w:szCs w:val="22"/>
              </w:rPr>
              <w:t>0.83 (0.74, 0.93)</w:t>
            </w:r>
          </w:p>
        </w:tc>
        <w:tc>
          <w:tcPr>
            <w:tcW w:w="713" w:type="pct"/>
            <w:vAlign w:val="center"/>
          </w:tcPr>
          <w:p w:rsidR="00BC1343" w:rsidRPr="003D4810" w:rsidRDefault="007D0AB4" w:rsidP="000215D7">
            <w:pPr>
              <w:rPr>
                <w:sz w:val="22"/>
                <w:szCs w:val="22"/>
              </w:rPr>
            </w:pPr>
            <w:r w:rsidRPr="003D4810">
              <w:rPr>
                <w:sz w:val="22"/>
                <w:szCs w:val="22"/>
              </w:rPr>
              <w:t>0.002</w:t>
            </w:r>
          </w:p>
        </w:tc>
      </w:tr>
      <w:tr w:rsidR="003D4810" w:rsidRPr="003D4810" w:rsidTr="000215D7">
        <w:tc>
          <w:tcPr>
            <w:tcW w:w="160" w:type="pct"/>
          </w:tcPr>
          <w:p w:rsidR="00BC1343" w:rsidRPr="003D4810" w:rsidRDefault="00BC1343" w:rsidP="005C7BED">
            <w:pPr>
              <w:ind w:firstLine="180"/>
              <w:rPr>
                <w:sz w:val="22"/>
                <w:szCs w:val="22"/>
              </w:rPr>
            </w:pPr>
          </w:p>
        </w:tc>
        <w:tc>
          <w:tcPr>
            <w:tcW w:w="1024" w:type="pct"/>
            <w:vAlign w:val="center"/>
          </w:tcPr>
          <w:p w:rsidR="00BC1343" w:rsidRPr="003D4810" w:rsidRDefault="00BC1343" w:rsidP="005C7BED">
            <w:pPr>
              <w:rPr>
                <w:sz w:val="22"/>
                <w:szCs w:val="22"/>
              </w:rPr>
            </w:pPr>
            <w:r w:rsidRPr="003D4810">
              <w:rPr>
                <w:sz w:val="22"/>
                <w:szCs w:val="22"/>
              </w:rPr>
              <w:t>Women</w:t>
            </w:r>
          </w:p>
        </w:tc>
        <w:tc>
          <w:tcPr>
            <w:tcW w:w="1457" w:type="pct"/>
            <w:vAlign w:val="center"/>
          </w:tcPr>
          <w:p w:rsidR="00BC1343" w:rsidRPr="003D4810" w:rsidRDefault="007D0AB4" w:rsidP="000215D7">
            <w:pPr>
              <w:rPr>
                <w:sz w:val="22"/>
                <w:szCs w:val="22"/>
              </w:rPr>
            </w:pPr>
            <w:r w:rsidRPr="003D4810">
              <w:rPr>
                <w:sz w:val="22"/>
                <w:szCs w:val="22"/>
              </w:rPr>
              <w:t>40,846 (2,976)</w:t>
            </w:r>
          </w:p>
        </w:tc>
        <w:tc>
          <w:tcPr>
            <w:tcW w:w="1646" w:type="pct"/>
            <w:vAlign w:val="center"/>
          </w:tcPr>
          <w:p w:rsidR="00BC1343" w:rsidRPr="003D4810" w:rsidRDefault="007D0AB4" w:rsidP="000215D7">
            <w:pPr>
              <w:rPr>
                <w:sz w:val="22"/>
                <w:szCs w:val="22"/>
              </w:rPr>
            </w:pPr>
            <w:r w:rsidRPr="003D4810">
              <w:rPr>
                <w:sz w:val="22"/>
                <w:szCs w:val="22"/>
              </w:rPr>
              <w:t>0.79 (0.69, 0.89)</w:t>
            </w:r>
          </w:p>
        </w:tc>
        <w:tc>
          <w:tcPr>
            <w:tcW w:w="713" w:type="pct"/>
            <w:vAlign w:val="center"/>
          </w:tcPr>
          <w:p w:rsidR="00BC1343" w:rsidRPr="003D4810" w:rsidRDefault="007D0AB4" w:rsidP="000215D7">
            <w:pPr>
              <w:rPr>
                <w:sz w:val="22"/>
                <w:szCs w:val="22"/>
              </w:rPr>
            </w:pPr>
            <w:r w:rsidRPr="003D4810">
              <w:rPr>
                <w:sz w:val="22"/>
                <w:szCs w:val="22"/>
              </w:rPr>
              <w:t>&lt;0.001</w:t>
            </w:r>
          </w:p>
        </w:tc>
      </w:tr>
      <w:tr w:rsidR="003D4810" w:rsidRPr="003D4810" w:rsidTr="000215D7">
        <w:tc>
          <w:tcPr>
            <w:tcW w:w="5000" w:type="pct"/>
            <w:gridSpan w:val="5"/>
          </w:tcPr>
          <w:p w:rsidR="00BC1343" w:rsidRPr="003D4810" w:rsidRDefault="00BC1343" w:rsidP="000215D7">
            <w:pPr>
              <w:rPr>
                <w:sz w:val="22"/>
                <w:szCs w:val="22"/>
              </w:rPr>
            </w:pPr>
            <w:r w:rsidRPr="003D4810">
              <w:rPr>
                <w:sz w:val="22"/>
                <w:szCs w:val="22"/>
              </w:rPr>
              <w:t>Excluding participants with uncertain causes of death</w:t>
            </w:r>
          </w:p>
        </w:tc>
      </w:tr>
      <w:tr w:rsidR="003D4810" w:rsidRPr="003D4810" w:rsidTr="000215D7">
        <w:tc>
          <w:tcPr>
            <w:tcW w:w="160" w:type="pct"/>
          </w:tcPr>
          <w:p w:rsidR="00BC1343" w:rsidRPr="003D4810" w:rsidRDefault="00BC1343" w:rsidP="005C7BED">
            <w:pPr>
              <w:ind w:left="180"/>
              <w:rPr>
                <w:sz w:val="22"/>
                <w:szCs w:val="22"/>
              </w:rPr>
            </w:pPr>
          </w:p>
        </w:tc>
        <w:tc>
          <w:tcPr>
            <w:tcW w:w="1024" w:type="pct"/>
            <w:vAlign w:val="center"/>
          </w:tcPr>
          <w:p w:rsidR="00BC1343" w:rsidRPr="003D4810" w:rsidRDefault="00BC1343" w:rsidP="005C7BED">
            <w:pPr>
              <w:rPr>
                <w:sz w:val="22"/>
                <w:szCs w:val="22"/>
              </w:rPr>
            </w:pPr>
            <w:r w:rsidRPr="003D4810">
              <w:rPr>
                <w:sz w:val="22"/>
                <w:szCs w:val="22"/>
              </w:rPr>
              <w:t>Men</w:t>
            </w:r>
          </w:p>
        </w:tc>
        <w:tc>
          <w:tcPr>
            <w:tcW w:w="1457" w:type="pct"/>
            <w:vAlign w:val="center"/>
          </w:tcPr>
          <w:p w:rsidR="00BC1343" w:rsidRPr="003D4810" w:rsidRDefault="007D0AB4" w:rsidP="000215D7">
            <w:pPr>
              <w:rPr>
                <w:sz w:val="22"/>
                <w:szCs w:val="22"/>
              </w:rPr>
            </w:pPr>
            <w:r w:rsidRPr="003D4810">
              <w:rPr>
                <w:sz w:val="22"/>
                <w:szCs w:val="22"/>
              </w:rPr>
              <w:t>31,036 (3,520)</w:t>
            </w:r>
          </w:p>
        </w:tc>
        <w:tc>
          <w:tcPr>
            <w:tcW w:w="1646" w:type="pct"/>
            <w:vAlign w:val="center"/>
          </w:tcPr>
          <w:p w:rsidR="00BC1343" w:rsidRPr="003D4810" w:rsidRDefault="007D0AB4" w:rsidP="000215D7">
            <w:pPr>
              <w:rPr>
                <w:sz w:val="22"/>
                <w:szCs w:val="22"/>
              </w:rPr>
            </w:pPr>
            <w:r w:rsidRPr="003D4810">
              <w:rPr>
                <w:sz w:val="22"/>
                <w:szCs w:val="22"/>
              </w:rPr>
              <w:t>0.81 (0.72, 0.90)</w:t>
            </w:r>
          </w:p>
        </w:tc>
        <w:tc>
          <w:tcPr>
            <w:tcW w:w="713" w:type="pct"/>
            <w:vAlign w:val="center"/>
          </w:tcPr>
          <w:p w:rsidR="00BC1343" w:rsidRPr="003D4810" w:rsidRDefault="007D0AB4" w:rsidP="000215D7">
            <w:pPr>
              <w:rPr>
                <w:sz w:val="22"/>
                <w:szCs w:val="22"/>
              </w:rPr>
            </w:pPr>
            <w:r w:rsidRPr="003D4810">
              <w:rPr>
                <w:sz w:val="22"/>
                <w:szCs w:val="22"/>
              </w:rPr>
              <w:t>&lt;0.001</w:t>
            </w:r>
          </w:p>
        </w:tc>
      </w:tr>
      <w:tr w:rsidR="003D4810" w:rsidRPr="003D4810" w:rsidTr="000215D7">
        <w:tc>
          <w:tcPr>
            <w:tcW w:w="160" w:type="pct"/>
          </w:tcPr>
          <w:p w:rsidR="00BC1343" w:rsidRPr="003D4810" w:rsidRDefault="00BC1343" w:rsidP="005C7BED">
            <w:pPr>
              <w:ind w:left="180"/>
              <w:rPr>
                <w:sz w:val="22"/>
                <w:szCs w:val="22"/>
              </w:rPr>
            </w:pPr>
          </w:p>
        </w:tc>
        <w:tc>
          <w:tcPr>
            <w:tcW w:w="1024" w:type="pct"/>
            <w:vAlign w:val="center"/>
          </w:tcPr>
          <w:p w:rsidR="00BC1343" w:rsidRPr="003D4810" w:rsidRDefault="00BC1343" w:rsidP="005C7BED">
            <w:pPr>
              <w:rPr>
                <w:sz w:val="22"/>
                <w:szCs w:val="22"/>
              </w:rPr>
            </w:pPr>
            <w:r w:rsidRPr="003D4810">
              <w:rPr>
                <w:sz w:val="22"/>
                <w:szCs w:val="22"/>
              </w:rPr>
              <w:t>Women</w:t>
            </w:r>
          </w:p>
        </w:tc>
        <w:tc>
          <w:tcPr>
            <w:tcW w:w="1457" w:type="pct"/>
            <w:vAlign w:val="center"/>
          </w:tcPr>
          <w:p w:rsidR="00BC1343" w:rsidRPr="003D4810" w:rsidRDefault="007D0AB4" w:rsidP="000215D7">
            <w:pPr>
              <w:rPr>
                <w:sz w:val="22"/>
                <w:szCs w:val="22"/>
              </w:rPr>
            </w:pPr>
            <w:r w:rsidRPr="003D4810">
              <w:rPr>
                <w:sz w:val="22"/>
                <w:szCs w:val="22"/>
              </w:rPr>
              <w:t>46,218 (3,068)</w:t>
            </w:r>
          </w:p>
        </w:tc>
        <w:tc>
          <w:tcPr>
            <w:tcW w:w="1646" w:type="pct"/>
            <w:vAlign w:val="center"/>
          </w:tcPr>
          <w:p w:rsidR="00BC1343" w:rsidRPr="003D4810" w:rsidRDefault="007D0AB4" w:rsidP="000215D7">
            <w:pPr>
              <w:rPr>
                <w:sz w:val="22"/>
                <w:szCs w:val="22"/>
              </w:rPr>
            </w:pPr>
            <w:r w:rsidRPr="003D4810">
              <w:rPr>
                <w:sz w:val="22"/>
                <w:szCs w:val="22"/>
              </w:rPr>
              <w:t>0.78 (0.68, 0.88)</w:t>
            </w:r>
          </w:p>
        </w:tc>
        <w:tc>
          <w:tcPr>
            <w:tcW w:w="713" w:type="pct"/>
            <w:vAlign w:val="center"/>
          </w:tcPr>
          <w:p w:rsidR="00BC1343" w:rsidRPr="003D4810" w:rsidRDefault="007D0AB4" w:rsidP="000215D7">
            <w:pPr>
              <w:rPr>
                <w:sz w:val="22"/>
                <w:szCs w:val="22"/>
              </w:rPr>
            </w:pPr>
            <w:r w:rsidRPr="003D4810">
              <w:rPr>
                <w:sz w:val="22"/>
                <w:szCs w:val="22"/>
              </w:rPr>
              <w:t>&lt;0.001</w:t>
            </w:r>
          </w:p>
        </w:tc>
      </w:tr>
      <w:tr w:rsidR="003D4810" w:rsidRPr="003D4810" w:rsidTr="000215D7">
        <w:tc>
          <w:tcPr>
            <w:tcW w:w="5000" w:type="pct"/>
            <w:gridSpan w:val="5"/>
          </w:tcPr>
          <w:p w:rsidR="00BC1343" w:rsidRPr="003D4810" w:rsidRDefault="00BC1343" w:rsidP="000215D7">
            <w:pPr>
              <w:rPr>
                <w:sz w:val="22"/>
                <w:szCs w:val="22"/>
              </w:rPr>
            </w:pPr>
            <w:r w:rsidRPr="003D4810">
              <w:rPr>
                <w:sz w:val="22"/>
                <w:szCs w:val="22"/>
              </w:rPr>
              <w:t>Excluding participants with any missing information</w:t>
            </w:r>
          </w:p>
        </w:tc>
      </w:tr>
      <w:tr w:rsidR="003D4810" w:rsidRPr="003D4810" w:rsidTr="000215D7">
        <w:tc>
          <w:tcPr>
            <w:tcW w:w="160" w:type="pct"/>
          </w:tcPr>
          <w:p w:rsidR="00BC1343" w:rsidRPr="003D4810" w:rsidRDefault="00BC1343" w:rsidP="005C7BED">
            <w:pPr>
              <w:ind w:left="180"/>
              <w:rPr>
                <w:sz w:val="22"/>
                <w:szCs w:val="22"/>
              </w:rPr>
            </w:pPr>
          </w:p>
        </w:tc>
        <w:tc>
          <w:tcPr>
            <w:tcW w:w="1024" w:type="pct"/>
            <w:vAlign w:val="center"/>
          </w:tcPr>
          <w:p w:rsidR="00BC1343" w:rsidRPr="003D4810" w:rsidRDefault="00BC1343" w:rsidP="005C7BED">
            <w:pPr>
              <w:rPr>
                <w:sz w:val="22"/>
                <w:szCs w:val="22"/>
              </w:rPr>
            </w:pPr>
            <w:r w:rsidRPr="003D4810">
              <w:rPr>
                <w:sz w:val="22"/>
                <w:szCs w:val="22"/>
              </w:rPr>
              <w:t>Men</w:t>
            </w:r>
          </w:p>
        </w:tc>
        <w:tc>
          <w:tcPr>
            <w:tcW w:w="1457" w:type="pct"/>
            <w:vAlign w:val="center"/>
          </w:tcPr>
          <w:p w:rsidR="00BC1343" w:rsidRPr="003D4810" w:rsidRDefault="00897F2B" w:rsidP="000215D7">
            <w:pPr>
              <w:rPr>
                <w:sz w:val="22"/>
                <w:szCs w:val="22"/>
              </w:rPr>
            </w:pPr>
            <w:r w:rsidRPr="003D4810">
              <w:rPr>
                <w:sz w:val="22"/>
                <w:szCs w:val="22"/>
              </w:rPr>
              <w:t>28,851 (3,400)</w:t>
            </w:r>
          </w:p>
        </w:tc>
        <w:tc>
          <w:tcPr>
            <w:tcW w:w="1646" w:type="pct"/>
            <w:vAlign w:val="center"/>
          </w:tcPr>
          <w:p w:rsidR="00BC1343" w:rsidRPr="003D4810" w:rsidRDefault="00897F2B" w:rsidP="000215D7">
            <w:pPr>
              <w:rPr>
                <w:sz w:val="22"/>
                <w:szCs w:val="22"/>
              </w:rPr>
            </w:pPr>
            <w:r w:rsidRPr="003D4810">
              <w:rPr>
                <w:sz w:val="22"/>
                <w:szCs w:val="22"/>
              </w:rPr>
              <w:t>0.80 (0.72, 0.90)</w:t>
            </w:r>
          </w:p>
        </w:tc>
        <w:tc>
          <w:tcPr>
            <w:tcW w:w="713" w:type="pct"/>
            <w:vAlign w:val="center"/>
          </w:tcPr>
          <w:p w:rsidR="00BC1343" w:rsidRPr="003D4810" w:rsidRDefault="00897F2B" w:rsidP="000215D7">
            <w:pPr>
              <w:rPr>
                <w:sz w:val="22"/>
                <w:szCs w:val="22"/>
              </w:rPr>
            </w:pPr>
            <w:r w:rsidRPr="003D4810">
              <w:rPr>
                <w:sz w:val="22"/>
                <w:szCs w:val="22"/>
              </w:rPr>
              <w:t>&lt;0.001</w:t>
            </w:r>
          </w:p>
        </w:tc>
      </w:tr>
      <w:tr w:rsidR="003D4810" w:rsidRPr="003D4810" w:rsidTr="000215D7">
        <w:tc>
          <w:tcPr>
            <w:tcW w:w="160" w:type="pct"/>
          </w:tcPr>
          <w:p w:rsidR="00BC1343" w:rsidRPr="003D4810" w:rsidRDefault="00BC1343" w:rsidP="005C7BED">
            <w:pPr>
              <w:ind w:left="180"/>
              <w:rPr>
                <w:sz w:val="22"/>
                <w:szCs w:val="22"/>
              </w:rPr>
            </w:pPr>
          </w:p>
        </w:tc>
        <w:tc>
          <w:tcPr>
            <w:tcW w:w="1024" w:type="pct"/>
            <w:vAlign w:val="center"/>
          </w:tcPr>
          <w:p w:rsidR="00BC1343" w:rsidRPr="003D4810" w:rsidRDefault="00BC1343" w:rsidP="005C7BED">
            <w:pPr>
              <w:rPr>
                <w:sz w:val="22"/>
                <w:szCs w:val="22"/>
              </w:rPr>
            </w:pPr>
            <w:r w:rsidRPr="003D4810">
              <w:rPr>
                <w:sz w:val="22"/>
                <w:szCs w:val="22"/>
              </w:rPr>
              <w:t>Women</w:t>
            </w:r>
          </w:p>
        </w:tc>
        <w:tc>
          <w:tcPr>
            <w:tcW w:w="1457" w:type="pct"/>
            <w:vAlign w:val="center"/>
          </w:tcPr>
          <w:p w:rsidR="00BC1343" w:rsidRPr="003D4810" w:rsidRDefault="00897F2B" w:rsidP="000215D7">
            <w:pPr>
              <w:rPr>
                <w:sz w:val="22"/>
                <w:szCs w:val="22"/>
              </w:rPr>
            </w:pPr>
            <w:r w:rsidRPr="003D4810">
              <w:rPr>
                <w:sz w:val="22"/>
                <w:szCs w:val="22"/>
              </w:rPr>
              <w:t>42,805 (2,961)</w:t>
            </w:r>
          </w:p>
        </w:tc>
        <w:tc>
          <w:tcPr>
            <w:tcW w:w="1646" w:type="pct"/>
            <w:vAlign w:val="center"/>
          </w:tcPr>
          <w:p w:rsidR="00BC1343" w:rsidRPr="003D4810" w:rsidRDefault="00897F2B" w:rsidP="000215D7">
            <w:pPr>
              <w:rPr>
                <w:sz w:val="22"/>
                <w:szCs w:val="22"/>
              </w:rPr>
            </w:pPr>
            <w:r w:rsidRPr="003D4810">
              <w:rPr>
                <w:sz w:val="22"/>
                <w:szCs w:val="22"/>
              </w:rPr>
              <w:t>0.78 (0.68, 0.88)</w:t>
            </w:r>
          </w:p>
        </w:tc>
        <w:tc>
          <w:tcPr>
            <w:tcW w:w="713" w:type="pct"/>
            <w:vAlign w:val="center"/>
          </w:tcPr>
          <w:p w:rsidR="00BC1343" w:rsidRPr="003D4810" w:rsidRDefault="00897F2B" w:rsidP="000215D7">
            <w:pPr>
              <w:rPr>
                <w:sz w:val="22"/>
                <w:szCs w:val="22"/>
              </w:rPr>
            </w:pPr>
            <w:r w:rsidRPr="003D4810">
              <w:rPr>
                <w:sz w:val="22"/>
                <w:szCs w:val="22"/>
              </w:rPr>
              <w:t>&lt;0.001</w:t>
            </w:r>
          </w:p>
        </w:tc>
      </w:tr>
      <w:tr w:rsidR="003D4810" w:rsidRPr="003D4810" w:rsidTr="000215D7">
        <w:tc>
          <w:tcPr>
            <w:tcW w:w="5000" w:type="pct"/>
            <w:gridSpan w:val="5"/>
          </w:tcPr>
          <w:p w:rsidR="007137B0" w:rsidRPr="003D4810" w:rsidRDefault="007137B0" w:rsidP="000215D7">
            <w:pPr>
              <w:rPr>
                <w:sz w:val="22"/>
                <w:szCs w:val="22"/>
              </w:rPr>
            </w:pPr>
            <w:r w:rsidRPr="003D4810">
              <w:rPr>
                <w:sz w:val="22"/>
                <w:szCs w:val="22"/>
              </w:rPr>
              <w:t xml:space="preserve">Conducting multiple imputation </w:t>
            </w:r>
            <w:r w:rsidR="001A4E58" w:rsidRPr="003D4810">
              <w:rPr>
                <w:sz w:val="22"/>
                <w:szCs w:val="22"/>
              </w:rPr>
              <w:t>for</w:t>
            </w:r>
            <w:r w:rsidR="003D343D" w:rsidRPr="003D4810">
              <w:rPr>
                <w:sz w:val="22"/>
                <w:szCs w:val="22"/>
              </w:rPr>
              <w:t xml:space="preserve"> unreliable dietary data</w:t>
            </w:r>
            <w:r w:rsidR="0096389B" w:rsidRPr="003D4810">
              <w:rPr>
                <w:sz w:val="22"/>
                <w:szCs w:val="22"/>
              </w:rPr>
              <w:t xml:space="preserve"> and other missing variables </w:t>
            </w:r>
          </w:p>
        </w:tc>
      </w:tr>
      <w:tr w:rsidR="003D4810" w:rsidRPr="003D4810" w:rsidTr="000215D7">
        <w:tc>
          <w:tcPr>
            <w:tcW w:w="160" w:type="pct"/>
          </w:tcPr>
          <w:p w:rsidR="007137B0" w:rsidRPr="003D4810" w:rsidRDefault="007137B0" w:rsidP="005C7BED">
            <w:pPr>
              <w:ind w:left="180"/>
              <w:rPr>
                <w:sz w:val="22"/>
                <w:szCs w:val="22"/>
              </w:rPr>
            </w:pPr>
          </w:p>
        </w:tc>
        <w:tc>
          <w:tcPr>
            <w:tcW w:w="1024" w:type="pct"/>
            <w:vAlign w:val="center"/>
          </w:tcPr>
          <w:p w:rsidR="007137B0" w:rsidRPr="003D4810" w:rsidRDefault="007137B0" w:rsidP="00564753">
            <w:pPr>
              <w:rPr>
                <w:sz w:val="22"/>
                <w:szCs w:val="22"/>
              </w:rPr>
            </w:pPr>
            <w:r w:rsidRPr="003D4810">
              <w:rPr>
                <w:sz w:val="22"/>
                <w:szCs w:val="22"/>
              </w:rPr>
              <w:t>Men</w:t>
            </w:r>
          </w:p>
        </w:tc>
        <w:tc>
          <w:tcPr>
            <w:tcW w:w="1457" w:type="pct"/>
            <w:vAlign w:val="center"/>
          </w:tcPr>
          <w:p w:rsidR="007137B0" w:rsidRPr="003D4810" w:rsidRDefault="007137B0" w:rsidP="000215D7">
            <w:pPr>
              <w:rPr>
                <w:sz w:val="22"/>
                <w:szCs w:val="22"/>
              </w:rPr>
            </w:pPr>
            <w:r w:rsidRPr="003D4810">
              <w:rPr>
                <w:sz w:val="22"/>
                <w:szCs w:val="22"/>
              </w:rPr>
              <w:t>33,944 (3,983)</w:t>
            </w:r>
          </w:p>
        </w:tc>
        <w:tc>
          <w:tcPr>
            <w:tcW w:w="1646" w:type="pct"/>
            <w:vAlign w:val="center"/>
          </w:tcPr>
          <w:p w:rsidR="007137B0" w:rsidRPr="003D4810" w:rsidRDefault="007137B0" w:rsidP="000215D7">
            <w:pPr>
              <w:rPr>
                <w:sz w:val="22"/>
                <w:szCs w:val="22"/>
              </w:rPr>
            </w:pPr>
            <w:r w:rsidRPr="003D4810">
              <w:rPr>
                <w:sz w:val="22"/>
                <w:szCs w:val="22"/>
              </w:rPr>
              <w:t>0.80 (0.76, 0.84)</w:t>
            </w:r>
          </w:p>
        </w:tc>
        <w:tc>
          <w:tcPr>
            <w:tcW w:w="713" w:type="pct"/>
            <w:vAlign w:val="center"/>
          </w:tcPr>
          <w:p w:rsidR="007137B0" w:rsidRPr="003D4810" w:rsidRDefault="007137B0" w:rsidP="000215D7">
            <w:pPr>
              <w:rPr>
                <w:sz w:val="22"/>
                <w:szCs w:val="22"/>
              </w:rPr>
            </w:pPr>
            <w:r w:rsidRPr="003D4810">
              <w:rPr>
                <w:sz w:val="22"/>
                <w:szCs w:val="22"/>
              </w:rPr>
              <w:t>&lt;0.001</w:t>
            </w:r>
          </w:p>
        </w:tc>
      </w:tr>
      <w:tr w:rsidR="003D4810" w:rsidRPr="003D4810" w:rsidTr="000215D7">
        <w:tc>
          <w:tcPr>
            <w:tcW w:w="160" w:type="pct"/>
          </w:tcPr>
          <w:p w:rsidR="007137B0" w:rsidRPr="003D4810" w:rsidRDefault="007137B0" w:rsidP="005C7BED">
            <w:pPr>
              <w:ind w:left="180"/>
              <w:rPr>
                <w:sz w:val="22"/>
                <w:szCs w:val="22"/>
              </w:rPr>
            </w:pPr>
          </w:p>
        </w:tc>
        <w:tc>
          <w:tcPr>
            <w:tcW w:w="1024" w:type="pct"/>
            <w:vAlign w:val="center"/>
          </w:tcPr>
          <w:p w:rsidR="007137B0" w:rsidRPr="003D4810" w:rsidRDefault="007137B0" w:rsidP="00564753">
            <w:pPr>
              <w:rPr>
                <w:sz w:val="22"/>
                <w:szCs w:val="22"/>
              </w:rPr>
            </w:pPr>
            <w:r w:rsidRPr="003D4810">
              <w:rPr>
                <w:sz w:val="22"/>
                <w:szCs w:val="22"/>
              </w:rPr>
              <w:t>Women</w:t>
            </w:r>
          </w:p>
        </w:tc>
        <w:tc>
          <w:tcPr>
            <w:tcW w:w="1457" w:type="pct"/>
            <w:vAlign w:val="center"/>
          </w:tcPr>
          <w:p w:rsidR="007137B0" w:rsidRPr="003D4810" w:rsidRDefault="007137B0" w:rsidP="000215D7">
            <w:pPr>
              <w:rPr>
                <w:sz w:val="22"/>
                <w:szCs w:val="22"/>
              </w:rPr>
            </w:pPr>
            <w:r w:rsidRPr="003D4810">
              <w:rPr>
                <w:sz w:val="22"/>
                <w:szCs w:val="22"/>
              </w:rPr>
              <w:t>49,967 (3,518)</w:t>
            </w:r>
          </w:p>
        </w:tc>
        <w:tc>
          <w:tcPr>
            <w:tcW w:w="1646" w:type="pct"/>
            <w:vAlign w:val="center"/>
          </w:tcPr>
          <w:p w:rsidR="007137B0" w:rsidRPr="003D4810" w:rsidRDefault="007137B0" w:rsidP="000215D7">
            <w:pPr>
              <w:rPr>
                <w:sz w:val="22"/>
                <w:szCs w:val="22"/>
              </w:rPr>
            </w:pPr>
            <w:r w:rsidRPr="003D4810">
              <w:rPr>
                <w:sz w:val="22"/>
                <w:szCs w:val="22"/>
              </w:rPr>
              <w:t>0.79 (0.74, 0.83)</w:t>
            </w:r>
          </w:p>
        </w:tc>
        <w:tc>
          <w:tcPr>
            <w:tcW w:w="713" w:type="pct"/>
            <w:vAlign w:val="center"/>
          </w:tcPr>
          <w:p w:rsidR="007137B0" w:rsidRPr="003D4810" w:rsidRDefault="007137B0" w:rsidP="000215D7">
            <w:pPr>
              <w:rPr>
                <w:sz w:val="22"/>
                <w:szCs w:val="22"/>
              </w:rPr>
            </w:pPr>
            <w:r w:rsidRPr="003D4810">
              <w:rPr>
                <w:sz w:val="22"/>
                <w:szCs w:val="22"/>
              </w:rPr>
              <w:t>&lt;0.001</w:t>
            </w:r>
          </w:p>
        </w:tc>
      </w:tr>
    </w:tbl>
    <w:p w:rsidR="00BC1343" w:rsidRPr="003D4810" w:rsidRDefault="0035230B" w:rsidP="008618C9">
      <w:pPr>
        <w:spacing w:before="120" w:after="0" w:line="240" w:lineRule="auto"/>
        <w:rPr>
          <w:b/>
          <w:sz w:val="22"/>
          <w:szCs w:val="22"/>
        </w:rPr>
      </w:pPr>
      <w:r w:rsidRPr="003D4810">
        <w:rPr>
          <w:sz w:val="22"/>
          <w:szCs w:val="22"/>
          <w:vertAlign w:val="superscript"/>
        </w:rPr>
        <w:t>1</w:t>
      </w:r>
      <w:r w:rsidRPr="003D4810">
        <w:rPr>
          <w:sz w:val="22"/>
          <w:szCs w:val="22"/>
        </w:rPr>
        <w:t xml:space="preserve">Age as the underlying timescale and </w:t>
      </w:r>
      <w:r w:rsidR="00C364E3" w:rsidRPr="00C364E3">
        <w:rPr>
          <w:sz w:val="22"/>
          <w:szCs w:val="22"/>
        </w:rPr>
        <w:t xml:space="preserve">wherever applicable, </w:t>
      </w:r>
      <w:r w:rsidRPr="003D4810">
        <w:rPr>
          <w:sz w:val="22"/>
          <w:szCs w:val="22"/>
        </w:rPr>
        <w:t>adjusted for race, enrollment source, education, income, marital status, medical insurance, cigarette smoking, body mass index, physical activity, sitting time, total energy intake, and menopausal status and hormone therapy in women, and baseline diseases.</w:t>
      </w:r>
    </w:p>
    <w:sectPr w:rsidR="00BC1343" w:rsidRPr="003D4810" w:rsidSect="00861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D3" w:rsidRDefault="008354D3" w:rsidP="00625AAE">
      <w:pPr>
        <w:spacing w:after="0" w:line="240" w:lineRule="auto"/>
      </w:pPr>
      <w:r>
        <w:separator/>
      </w:r>
    </w:p>
  </w:endnote>
  <w:endnote w:type="continuationSeparator" w:id="0">
    <w:p w:rsidR="008354D3" w:rsidRDefault="008354D3" w:rsidP="0062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D3" w:rsidRDefault="008354D3" w:rsidP="00625AAE">
      <w:pPr>
        <w:spacing w:after="0" w:line="240" w:lineRule="auto"/>
      </w:pPr>
      <w:r>
        <w:separator/>
      </w:r>
    </w:p>
  </w:footnote>
  <w:footnote w:type="continuationSeparator" w:id="0">
    <w:p w:rsidR="008354D3" w:rsidRDefault="008354D3" w:rsidP="00625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1C07"/>
    <w:multiLevelType w:val="hybridMultilevel"/>
    <w:tmpl w:val="DB724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C0180"/>
    <w:multiLevelType w:val="hybridMultilevel"/>
    <w:tmpl w:val="69C6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D4C06"/>
    <w:multiLevelType w:val="hybridMultilevel"/>
    <w:tmpl w:val="69DC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C351F"/>
    <w:multiLevelType w:val="hybridMultilevel"/>
    <w:tmpl w:val="A55C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C29EC"/>
    <w:multiLevelType w:val="hybridMultilevel"/>
    <w:tmpl w:val="F05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CF"/>
    <w:rsid w:val="0000406E"/>
    <w:rsid w:val="000215D7"/>
    <w:rsid w:val="00030C46"/>
    <w:rsid w:val="00042BCB"/>
    <w:rsid w:val="00046DC8"/>
    <w:rsid w:val="00061BEB"/>
    <w:rsid w:val="000A0035"/>
    <w:rsid w:val="000A476B"/>
    <w:rsid w:val="000A6371"/>
    <w:rsid w:val="000A79D9"/>
    <w:rsid w:val="000B4D71"/>
    <w:rsid w:val="000B586A"/>
    <w:rsid w:val="000D036A"/>
    <w:rsid w:val="000D328F"/>
    <w:rsid w:val="000D55C6"/>
    <w:rsid w:val="000E7DB4"/>
    <w:rsid w:val="001024ED"/>
    <w:rsid w:val="0011063C"/>
    <w:rsid w:val="001117BE"/>
    <w:rsid w:val="00114253"/>
    <w:rsid w:val="001309E2"/>
    <w:rsid w:val="001418B9"/>
    <w:rsid w:val="00162116"/>
    <w:rsid w:val="0016447F"/>
    <w:rsid w:val="0018176B"/>
    <w:rsid w:val="0018572B"/>
    <w:rsid w:val="00187813"/>
    <w:rsid w:val="0019034C"/>
    <w:rsid w:val="00192EE6"/>
    <w:rsid w:val="001937DF"/>
    <w:rsid w:val="001A4E58"/>
    <w:rsid w:val="001B30ED"/>
    <w:rsid w:val="001D3ADB"/>
    <w:rsid w:val="001E51F2"/>
    <w:rsid w:val="002119D0"/>
    <w:rsid w:val="00214AF0"/>
    <w:rsid w:val="00220159"/>
    <w:rsid w:val="00230066"/>
    <w:rsid w:val="00231970"/>
    <w:rsid w:val="002566D2"/>
    <w:rsid w:val="00266989"/>
    <w:rsid w:val="00274F6A"/>
    <w:rsid w:val="0028193E"/>
    <w:rsid w:val="002A2943"/>
    <w:rsid w:val="002A4320"/>
    <w:rsid w:val="002C2FB4"/>
    <w:rsid w:val="002F4B70"/>
    <w:rsid w:val="002F4CDF"/>
    <w:rsid w:val="00301FEA"/>
    <w:rsid w:val="00310341"/>
    <w:rsid w:val="00327D90"/>
    <w:rsid w:val="003445CF"/>
    <w:rsid w:val="003454D1"/>
    <w:rsid w:val="0035230B"/>
    <w:rsid w:val="00354EFA"/>
    <w:rsid w:val="00365623"/>
    <w:rsid w:val="0037571D"/>
    <w:rsid w:val="00382111"/>
    <w:rsid w:val="00393E55"/>
    <w:rsid w:val="003A00D4"/>
    <w:rsid w:val="003A6C42"/>
    <w:rsid w:val="003B0CF5"/>
    <w:rsid w:val="003B1018"/>
    <w:rsid w:val="003C2AB1"/>
    <w:rsid w:val="003D343D"/>
    <w:rsid w:val="003D4810"/>
    <w:rsid w:val="003E15FE"/>
    <w:rsid w:val="003E52AD"/>
    <w:rsid w:val="003F07E8"/>
    <w:rsid w:val="003F1FB6"/>
    <w:rsid w:val="003F5862"/>
    <w:rsid w:val="00432F1F"/>
    <w:rsid w:val="0043752A"/>
    <w:rsid w:val="00440B7F"/>
    <w:rsid w:val="004412FB"/>
    <w:rsid w:val="004479FF"/>
    <w:rsid w:val="00452FA4"/>
    <w:rsid w:val="004551F3"/>
    <w:rsid w:val="004733C9"/>
    <w:rsid w:val="004906BE"/>
    <w:rsid w:val="004B1DA2"/>
    <w:rsid w:val="004B2203"/>
    <w:rsid w:val="004F1446"/>
    <w:rsid w:val="00500E07"/>
    <w:rsid w:val="00526748"/>
    <w:rsid w:val="00530277"/>
    <w:rsid w:val="00532CDE"/>
    <w:rsid w:val="00564753"/>
    <w:rsid w:val="00571AAB"/>
    <w:rsid w:val="005940DC"/>
    <w:rsid w:val="005964D3"/>
    <w:rsid w:val="005A51E1"/>
    <w:rsid w:val="005A6225"/>
    <w:rsid w:val="005B287E"/>
    <w:rsid w:val="005B76D9"/>
    <w:rsid w:val="005C7BED"/>
    <w:rsid w:val="005D7FF6"/>
    <w:rsid w:val="005F4D04"/>
    <w:rsid w:val="00601EFF"/>
    <w:rsid w:val="0060335B"/>
    <w:rsid w:val="00614A29"/>
    <w:rsid w:val="0062205A"/>
    <w:rsid w:val="00624769"/>
    <w:rsid w:val="00625AAE"/>
    <w:rsid w:val="00633AEC"/>
    <w:rsid w:val="00646F50"/>
    <w:rsid w:val="00665E8B"/>
    <w:rsid w:val="00670536"/>
    <w:rsid w:val="00670D1F"/>
    <w:rsid w:val="00671456"/>
    <w:rsid w:val="00690763"/>
    <w:rsid w:val="006A1610"/>
    <w:rsid w:val="006B0303"/>
    <w:rsid w:val="006B04A2"/>
    <w:rsid w:val="006B5488"/>
    <w:rsid w:val="006B6AEA"/>
    <w:rsid w:val="006C1EDC"/>
    <w:rsid w:val="006E3E98"/>
    <w:rsid w:val="006E50D8"/>
    <w:rsid w:val="006E6B96"/>
    <w:rsid w:val="006F143C"/>
    <w:rsid w:val="006F2F85"/>
    <w:rsid w:val="00712D51"/>
    <w:rsid w:val="007137B0"/>
    <w:rsid w:val="00714A02"/>
    <w:rsid w:val="00717DFD"/>
    <w:rsid w:val="007276CC"/>
    <w:rsid w:val="00730361"/>
    <w:rsid w:val="007474AF"/>
    <w:rsid w:val="007812EE"/>
    <w:rsid w:val="00785D51"/>
    <w:rsid w:val="00792797"/>
    <w:rsid w:val="007937D3"/>
    <w:rsid w:val="00796209"/>
    <w:rsid w:val="007B28F9"/>
    <w:rsid w:val="007B5366"/>
    <w:rsid w:val="007B6742"/>
    <w:rsid w:val="007D0AB4"/>
    <w:rsid w:val="007D3C67"/>
    <w:rsid w:val="007D422E"/>
    <w:rsid w:val="007D78D2"/>
    <w:rsid w:val="007E175E"/>
    <w:rsid w:val="007E3D7B"/>
    <w:rsid w:val="007F4B2A"/>
    <w:rsid w:val="007F63E3"/>
    <w:rsid w:val="00817DA9"/>
    <w:rsid w:val="00823F86"/>
    <w:rsid w:val="00831635"/>
    <w:rsid w:val="008354D3"/>
    <w:rsid w:val="008361D4"/>
    <w:rsid w:val="00844809"/>
    <w:rsid w:val="008552C0"/>
    <w:rsid w:val="00856D1B"/>
    <w:rsid w:val="008618C9"/>
    <w:rsid w:val="0087130E"/>
    <w:rsid w:val="00876252"/>
    <w:rsid w:val="0089261F"/>
    <w:rsid w:val="00892EB0"/>
    <w:rsid w:val="00895D81"/>
    <w:rsid w:val="00897F2B"/>
    <w:rsid w:val="008A719C"/>
    <w:rsid w:val="008E53A1"/>
    <w:rsid w:val="009129E2"/>
    <w:rsid w:val="009356C4"/>
    <w:rsid w:val="009570D0"/>
    <w:rsid w:val="0096389B"/>
    <w:rsid w:val="0097090B"/>
    <w:rsid w:val="00977A75"/>
    <w:rsid w:val="00991521"/>
    <w:rsid w:val="009A3A91"/>
    <w:rsid w:val="009B17D6"/>
    <w:rsid w:val="009D4216"/>
    <w:rsid w:val="009E33CF"/>
    <w:rsid w:val="009E4E7F"/>
    <w:rsid w:val="009E603D"/>
    <w:rsid w:val="009E7A95"/>
    <w:rsid w:val="009F1A8A"/>
    <w:rsid w:val="009F2924"/>
    <w:rsid w:val="009F663F"/>
    <w:rsid w:val="00A14A2C"/>
    <w:rsid w:val="00A2230E"/>
    <w:rsid w:val="00A223DA"/>
    <w:rsid w:val="00A35936"/>
    <w:rsid w:val="00A37F17"/>
    <w:rsid w:val="00A41900"/>
    <w:rsid w:val="00A50A90"/>
    <w:rsid w:val="00A537BA"/>
    <w:rsid w:val="00A71D1E"/>
    <w:rsid w:val="00AA3BAA"/>
    <w:rsid w:val="00AB5F74"/>
    <w:rsid w:val="00AB69CD"/>
    <w:rsid w:val="00AC5A27"/>
    <w:rsid w:val="00AD5F1D"/>
    <w:rsid w:val="00AE2449"/>
    <w:rsid w:val="00AE650C"/>
    <w:rsid w:val="00B02B4C"/>
    <w:rsid w:val="00B037A5"/>
    <w:rsid w:val="00B0745C"/>
    <w:rsid w:val="00B10F1A"/>
    <w:rsid w:val="00B11B62"/>
    <w:rsid w:val="00B2141D"/>
    <w:rsid w:val="00B2226C"/>
    <w:rsid w:val="00B22CA9"/>
    <w:rsid w:val="00B34B79"/>
    <w:rsid w:val="00B36912"/>
    <w:rsid w:val="00B4290C"/>
    <w:rsid w:val="00B45459"/>
    <w:rsid w:val="00B63294"/>
    <w:rsid w:val="00B67852"/>
    <w:rsid w:val="00B67A00"/>
    <w:rsid w:val="00B876D6"/>
    <w:rsid w:val="00B91815"/>
    <w:rsid w:val="00B95000"/>
    <w:rsid w:val="00BA102C"/>
    <w:rsid w:val="00BA4BC5"/>
    <w:rsid w:val="00BC1343"/>
    <w:rsid w:val="00BC26E9"/>
    <w:rsid w:val="00BC2864"/>
    <w:rsid w:val="00BD04AF"/>
    <w:rsid w:val="00BD1090"/>
    <w:rsid w:val="00BE3A20"/>
    <w:rsid w:val="00BE3F7B"/>
    <w:rsid w:val="00BF1E95"/>
    <w:rsid w:val="00BF576F"/>
    <w:rsid w:val="00C03DEA"/>
    <w:rsid w:val="00C06D60"/>
    <w:rsid w:val="00C118C7"/>
    <w:rsid w:val="00C216EF"/>
    <w:rsid w:val="00C25B12"/>
    <w:rsid w:val="00C3044C"/>
    <w:rsid w:val="00C3614F"/>
    <w:rsid w:val="00C364E3"/>
    <w:rsid w:val="00C47307"/>
    <w:rsid w:val="00C52C79"/>
    <w:rsid w:val="00C56342"/>
    <w:rsid w:val="00C64162"/>
    <w:rsid w:val="00C6797E"/>
    <w:rsid w:val="00C767D6"/>
    <w:rsid w:val="00CA78C5"/>
    <w:rsid w:val="00CB646A"/>
    <w:rsid w:val="00CC13D5"/>
    <w:rsid w:val="00CC5A0C"/>
    <w:rsid w:val="00CF5151"/>
    <w:rsid w:val="00CF603B"/>
    <w:rsid w:val="00CF6351"/>
    <w:rsid w:val="00D032DD"/>
    <w:rsid w:val="00D20406"/>
    <w:rsid w:val="00D32D2E"/>
    <w:rsid w:val="00D351A5"/>
    <w:rsid w:val="00D37917"/>
    <w:rsid w:val="00D37BF0"/>
    <w:rsid w:val="00D41B3E"/>
    <w:rsid w:val="00D42FC8"/>
    <w:rsid w:val="00D56D00"/>
    <w:rsid w:val="00D615CD"/>
    <w:rsid w:val="00D61BD0"/>
    <w:rsid w:val="00D62E48"/>
    <w:rsid w:val="00D66334"/>
    <w:rsid w:val="00D70785"/>
    <w:rsid w:val="00D74B06"/>
    <w:rsid w:val="00DA0657"/>
    <w:rsid w:val="00DA44D0"/>
    <w:rsid w:val="00DE6ADC"/>
    <w:rsid w:val="00DF0CEF"/>
    <w:rsid w:val="00E07B5F"/>
    <w:rsid w:val="00E159E4"/>
    <w:rsid w:val="00E17ECD"/>
    <w:rsid w:val="00E227F8"/>
    <w:rsid w:val="00E22FC0"/>
    <w:rsid w:val="00E31578"/>
    <w:rsid w:val="00E34F3D"/>
    <w:rsid w:val="00E71B39"/>
    <w:rsid w:val="00E73388"/>
    <w:rsid w:val="00E740D2"/>
    <w:rsid w:val="00E8555A"/>
    <w:rsid w:val="00E9456F"/>
    <w:rsid w:val="00E9726E"/>
    <w:rsid w:val="00E97E96"/>
    <w:rsid w:val="00EC5409"/>
    <w:rsid w:val="00F07541"/>
    <w:rsid w:val="00F27E2F"/>
    <w:rsid w:val="00F27FEA"/>
    <w:rsid w:val="00F3200F"/>
    <w:rsid w:val="00F52F9E"/>
    <w:rsid w:val="00F53184"/>
    <w:rsid w:val="00F534B9"/>
    <w:rsid w:val="00F55AD0"/>
    <w:rsid w:val="00F62079"/>
    <w:rsid w:val="00F82C56"/>
    <w:rsid w:val="00F92278"/>
    <w:rsid w:val="00FB1AED"/>
    <w:rsid w:val="00FB74CC"/>
    <w:rsid w:val="00FC128B"/>
    <w:rsid w:val="00FC26F3"/>
    <w:rsid w:val="00FC5834"/>
    <w:rsid w:val="00FD1E95"/>
    <w:rsid w:val="00FD71B4"/>
    <w:rsid w:val="00FF1C48"/>
    <w:rsid w:val="00FF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4F"/>
    <w:pPr>
      <w:ind w:left="720"/>
      <w:contextualSpacing/>
    </w:pPr>
  </w:style>
  <w:style w:type="table" w:styleId="TableGrid">
    <w:name w:val="Table Grid"/>
    <w:basedOn w:val="TableNormal"/>
    <w:uiPriority w:val="59"/>
    <w:rsid w:val="00C3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CDE"/>
    <w:rPr>
      <w:sz w:val="16"/>
      <w:szCs w:val="16"/>
    </w:rPr>
  </w:style>
  <w:style w:type="paragraph" w:styleId="CommentText">
    <w:name w:val="annotation text"/>
    <w:basedOn w:val="Normal"/>
    <w:link w:val="CommentTextChar"/>
    <w:uiPriority w:val="99"/>
    <w:semiHidden/>
    <w:unhideWhenUsed/>
    <w:rsid w:val="00532CDE"/>
    <w:pPr>
      <w:spacing w:line="240" w:lineRule="auto"/>
    </w:pPr>
    <w:rPr>
      <w:sz w:val="20"/>
      <w:szCs w:val="20"/>
    </w:rPr>
  </w:style>
  <w:style w:type="character" w:customStyle="1" w:styleId="CommentTextChar">
    <w:name w:val="Comment Text Char"/>
    <w:basedOn w:val="DefaultParagraphFont"/>
    <w:link w:val="CommentText"/>
    <w:uiPriority w:val="99"/>
    <w:semiHidden/>
    <w:rsid w:val="00532CDE"/>
    <w:rPr>
      <w:sz w:val="20"/>
      <w:szCs w:val="20"/>
    </w:rPr>
  </w:style>
  <w:style w:type="paragraph" w:styleId="CommentSubject">
    <w:name w:val="annotation subject"/>
    <w:basedOn w:val="CommentText"/>
    <w:next w:val="CommentText"/>
    <w:link w:val="CommentSubjectChar"/>
    <w:uiPriority w:val="99"/>
    <w:semiHidden/>
    <w:unhideWhenUsed/>
    <w:rsid w:val="00532CDE"/>
    <w:rPr>
      <w:b/>
      <w:bCs/>
    </w:rPr>
  </w:style>
  <w:style w:type="character" w:customStyle="1" w:styleId="CommentSubjectChar">
    <w:name w:val="Comment Subject Char"/>
    <w:basedOn w:val="CommentTextChar"/>
    <w:link w:val="CommentSubject"/>
    <w:uiPriority w:val="99"/>
    <w:semiHidden/>
    <w:rsid w:val="00532CDE"/>
    <w:rPr>
      <w:b/>
      <w:bCs/>
      <w:sz w:val="20"/>
      <w:szCs w:val="20"/>
    </w:rPr>
  </w:style>
  <w:style w:type="paragraph" w:styleId="BalloonText">
    <w:name w:val="Balloon Text"/>
    <w:basedOn w:val="Normal"/>
    <w:link w:val="BalloonTextChar"/>
    <w:uiPriority w:val="99"/>
    <w:semiHidden/>
    <w:unhideWhenUsed/>
    <w:rsid w:val="0053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DE"/>
    <w:rPr>
      <w:rFonts w:ascii="Tahoma" w:hAnsi="Tahoma" w:cs="Tahoma"/>
      <w:sz w:val="16"/>
      <w:szCs w:val="16"/>
    </w:rPr>
  </w:style>
  <w:style w:type="paragraph" w:styleId="Revision">
    <w:name w:val="Revision"/>
    <w:hidden/>
    <w:uiPriority w:val="99"/>
    <w:semiHidden/>
    <w:rsid w:val="00665E8B"/>
    <w:pPr>
      <w:spacing w:after="0" w:line="240" w:lineRule="auto"/>
    </w:pPr>
  </w:style>
  <w:style w:type="paragraph" w:styleId="Header">
    <w:name w:val="header"/>
    <w:basedOn w:val="Normal"/>
    <w:link w:val="HeaderChar"/>
    <w:uiPriority w:val="99"/>
    <w:unhideWhenUsed/>
    <w:rsid w:val="0062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AE"/>
  </w:style>
  <w:style w:type="paragraph" w:styleId="Footer">
    <w:name w:val="footer"/>
    <w:basedOn w:val="Normal"/>
    <w:link w:val="FooterChar"/>
    <w:uiPriority w:val="99"/>
    <w:unhideWhenUsed/>
    <w:rsid w:val="0062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4F"/>
    <w:pPr>
      <w:ind w:left="720"/>
      <w:contextualSpacing/>
    </w:pPr>
  </w:style>
  <w:style w:type="table" w:styleId="TableGrid">
    <w:name w:val="Table Grid"/>
    <w:basedOn w:val="TableNormal"/>
    <w:uiPriority w:val="59"/>
    <w:rsid w:val="00C3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CDE"/>
    <w:rPr>
      <w:sz w:val="16"/>
      <w:szCs w:val="16"/>
    </w:rPr>
  </w:style>
  <w:style w:type="paragraph" w:styleId="CommentText">
    <w:name w:val="annotation text"/>
    <w:basedOn w:val="Normal"/>
    <w:link w:val="CommentTextChar"/>
    <w:uiPriority w:val="99"/>
    <w:semiHidden/>
    <w:unhideWhenUsed/>
    <w:rsid w:val="00532CDE"/>
    <w:pPr>
      <w:spacing w:line="240" w:lineRule="auto"/>
    </w:pPr>
    <w:rPr>
      <w:sz w:val="20"/>
      <w:szCs w:val="20"/>
    </w:rPr>
  </w:style>
  <w:style w:type="character" w:customStyle="1" w:styleId="CommentTextChar">
    <w:name w:val="Comment Text Char"/>
    <w:basedOn w:val="DefaultParagraphFont"/>
    <w:link w:val="CommentText"/>
    <w:uiPriority w:val="99"/>
    <w:semiHidden/>
    <w:rsid w:val="00532CDE"/>
    <w:rPr>
      <w:sz w:val="20"/>
      <w:szCs w:val="20"/>
    </w:rPr>
  </w:style>
  <w:style w:type="paragraph" w:styleId="CommentSubject">
    <w:name w:val="annotation subject"/>
    <w:basedOn w:val="CommentText"/>
    <w:next w:val="CommentText"/>
    <w:link w:val="CommentSubjectChar"/>
    <w:uiPriority w:val="99"/>
    <w:semiHidden/>
    <w:unhideWhenUsed/>
    <w:rsid w:val="00532CDE"/>
    <w:rPr>
      <w:b/>
      <w:bCs/>
    </w:rPr>
  </w:style>
  <w:style w:type="character" w:customStyle="1" w:styleId="CommentSubjectChar">
    <w:name w:val="Comment Subject Char"/>
    <w:basedOn w:val="CommentTextChar"/>
    <w:link w:val="CommentSubject"/>
    <w:uiPriority w:val="99"/>
    <w:semiHidden/>
    <w:rsid w:val="00532CDE"/>
    <w:rPr>
      <w:b/>
      <w:bCs/>
      <w:sz w:val="20"/>
      <w:szCs w:val="20"/>
    </w:rPr>
  </w:style>
  <w:style w:type="paragraph" w:styleId="BalloonText">
    <w:name w:val="Balloon Text"/>
    <w:basedOn w:val="Normal"/>
    <w:link w:val="BalloonTextChar"/>
    <w:uiPriority w:val="99"/>
    <w:semiHidden/>
    <w:unhideWhenUsed/>
    <w:rsid w:val="0053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DE"/>
    <w:rPr>
      <w:rFonts w:ascii="Tahoma" w:hAnsi="Tahoma" w:cs="Tahoma"/>
      <w:sz w:val="16"/>
      <w:szCs w:val="16"/>
    </w:rPr>
  </w:style>
  <w:style w:type="paragraph" w:styleId="Revision">
    <w:name w:val="Revision"/>
    <w:hidden/>
    <w:uiPriority w:val="99"/>
    <w:semiHidden/>
    <w:rsid w:val="00665E8B"/>
    <w:pPr>
      <w:spacing w:after="0" w:line="240" w:lineRule="auto"/>
    </w:pPr>
  </w:style>
  <w:style w:type="paragraph" w:styleId="Header">
    <w:name w:val="header"/>
    <w:basedOn w:val="Normal"/>
    <w:link w:val="HeaderChar"/>
    <w:uiPriority w:val="99"/>
    <w:unhideWhenUsed/>
    <w:rsid w:val="0062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AE"/>
  </w:style>
  <w:style w:type="paragraph" w:styleId="Footer">
    <w:name w:val="footer"/>
    <w:basedOn w:val="Normal"/>
    <w:link w:val="FooterChar"/>
    <w:uiPriority w:val="99"/>
    <w:unhideWhenUsed/>
    <w:rsid w:val="0062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2015-04-02T14:50:00Z</dcterms:created>
  <dcterms:modified xsi:type="dcterms:W3CDTF">2015-04-02T14:50:00Z</dcterms:modified>
</cp:coreProperties>
</file>