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A" w:rsidRDefault="001F49DA" w:rsidP="001F49D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Supporting</w:t>
      </w:r>
      <w:r w:rsidRPr="00C330FA">
        <w:rPr>
          <w:rFonts w:asciiTheme="minorHAnsi" w:hAnsiTheme="minorHAnsi" w:cstheme="minorHAnsi"/>
          <w:b/>
          <w:szCs w:val="24"/>
        </w:rPr>
        <w:t xml:space="preserve"> Figure </w:t>
      </w:r>
      <w:r>
        <w:rPr>
          <w:rFonts w:asciiTheme="minorHAnsi" w:hAnsiTheme="minorHAnsi" w:cstheme="minorHAnsi"/>
          <w:b/>
          <w:szCs w:val="24"/>
        </w:rPr>
        <w:t>S</w:t>
      </w:r>
      <w:r w:rsidRPr="00C330FA">
        <w:rPr>
          <w:rFonts w:asciiTheme="minorHAnsi" w:hAnsiTheme="minorHAnsi" w:cstheme="minorHAnsi"/>
          <w:b/>
          <w:szCs w:val="24"/>
        </w:rPr>
        <w:t xml:space="preserve">2: </w:t>
      </w:r>
      <w:r>
        <w:rPr>
          <w:rFonts w:asciiTheme="minorHAnsi" w:hAnsiTheme="minorHAnsi" w:cstheme="minorHAnsi"/>
          <w:b/>
          <w:szCs w:val="24"/>
        </w:rPr>
        <w:t xml:space="preserve">Discovery of kSORT </w:t>
      </w:r>
    </w:p>
    <w:p w:rsidR="001F49DA" w:rsidRDefault="001F49DA" w:rsidP="001F49DA">
      <w:pPr>
        <w:jc w:val="both"/>
        <w:rPr>
          <w:rFonts w:asciiTheme="minorHAnsi" w:hAnsiTheme="minorHAnsi" w:cstheme="minorHAnsi"/>
          <w:b/>
          <w:szCs w:val="24"/>
        </w:rPr>
      </w:pPr>
    </w:p>
    <w:p w:rsidR="001F49DA" w:rsidRDefault="001F49DA" w:rsidP="001F49DA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Discovery of the final 17 AR genes for kSORT was done in gene expression data from 267 adult and pediatric blood samples (Cohort 1 AART143, Cohort 2 AART124) from the microfluidic h</w:t>
      </w:r>
      <w:r w:rsidRPr="00C330FA">
        <w:rPr>
          <w:rFonts w:asciiTheme="minorHAnsi" w:hAnsiTheme="minorHAnsi" w:cstheme="minorHAnsi"/>
          <w:szCs w:val="24"/>
        </w:rPr>
        <w:t xml:space="preserve">igh throughput </w:t>
      </w:r>
      <w:r>
        <w:rPr>
          <w:rFonts w:asciiTheme="minorHAnsi" w:hAnsiTheme="minorHAnsi" w:cstheme="minorHAnsi"/>
          <w:szCs w:val="24"/>
        </w:rPr>
        <w:t xml:space="preserve">Fluidigm </w:t>
      </w:r>
      <w:r w:rsidRPr="00C330FA">
        <w:rPr>
          <w:rFonts w:asciiTheme="minorHAnsi" w:hAnsiTheme="minorHAnsi" w:cstheme="minorHAnsi"/>
          <w:szCs w:val="24"/>
        </w:rPr>
        <w:t xml:space="preserve">QPCR </w:t>
      </w:r>
      <w:r>
        <w:rPr>
          <w:rFonts w:asciiTheme="minorHAnsi" w:hAnsiTheme="minorHAnsi" w:cstheme="minorHAnsi"/>
          <w:szCs w:val="24"/>
        </w:rPr>
        <w:t xml:space="preserve">performed for a total of </w:t>
      </w:r>
      <w:r w:rsidRPr="00C330FA">
        <w:rPr>
          <w:rFonts w:asciiTheme="minorHAnsi" w:hAnsiTheme="minorHAnsi" w:cstheme="minorHAnsi"/>
          <w:szCs w:val="24"/>
        </w:rPr>
        <w:t>43 genes</w:t>
      </w:r>
      <w:r>
        <w:rPr>
          <w:rFonts w:asciiTheme="minorHAnsi" w:hAnsiTheme="minorHAnsi" w:cstheme="minorHAnsi"/>
          <w:szCs w:val="24"/>
        </w:rPr>
        <w:t xml:space="preserve">: </w:t>
      </w:r>
      <w:r w:rsidRPr="00C330FA">
        <w:rPr>
          <w:rFonts w:asciiTheme="minorHAnsi" w:hAnsiTheme="minorHAnsi" w:cstheme="minorHAnsi"/>
          <w:szCs w:val="24"/>
        </w:rPr>
        <w:t xml:space="preserve">10 pediatric </w:t>
      </w:r>
      <w:r>
        <w:rPr>
          <w:rFonts w:asciiTheme="minorHAnsi" w:hAnsiTheme="minorHAnsi" w:cstheme="minorHAnsi"/>
          <w:szCs w:val="24"/>
        </w:rPr>
        <w:t>AR</w:t>
      </w:r>
      <w:r w:rsidRPr="00C330FA">
        <w:rPr>
          <w:rFonts w:asciiTheme="minorHAnsi" w:hAnsiTheme="minorHAnsi" w:cstheme="minorHAnsi"/>
          <w:szCs w:val="24"/>
        </w:rPr>
        <w:t xml:space="preserve"> genes </w:t>
      </w:r>
      <w:r>
        <w:rPr>
          <w:rFonts w:asciiTheme="minorHAnsi" w:hAnsiTheme="minorHAnsi" w:cstheme="minorHAnsi"/>
          <w:szCs w:val="24"/>
        </w:rPr>
        <w:t xml:space="preserve">previously identified by us </w:t>
      </w:r>
      <w:r>
        <w:rPr>
          <w:rFonts w:asciiTheme="minorHAnsi" w:hAnsiTheme="minorHAnsi" w:cstheme="minorHAnsi"/>
          <w:szCs w:val="24"/>
        </w:rPr>
        <w:fldChar w:fldCharType="begin">
          <w:fldData xml:space="preserve">PEVuZE5vdGU+PENpdGU+PEF1dGhvcj5MaTwvQXV0aG9yPjxZZWFyPjIwMTI8L1llYXI+PFJlY051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IEFtZXJpY2FuIFNvY2lldHkgb2YgVHJhbnNwbGFudCBTdXJnZW9uczwvYWJici0xPjwvYWx0LXBl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</w:fldData>
        </w:fldChar>
      </w:r>
      <w:r>
        <w:rPr>
          <w:rFonts w:asciiTheme="minorHAnsi" w:hAnsiTheme="minorHAnsi" w:cstheme="minorHAnsi"/>
          <w:szCs w:val="24"/>
        </w:rPr>
        <w:instrText xml:space="preserve"> ADDIN EN.CITE </w:instrText>
      </w:r>
      <w:r>
        <w:rPr>
          <w:rFonts w:asciiTheme="minorHAnsi" w:hAnsiTheme="minorHAnsi" w:cstheme="minorHAnsi"/>
          <w:szCs w:val="24"/>
        </w:rPr>
        <w:fldChar w:fldCharType="begin">
          <w:fldData xml:space="preserve">PEVuZE5vdGU+PENpdGU+PEF1dGhvcj5MaTwvQXV0aG9yPjxZZWFyPjIwMTI8L1llYXI+PFJlY051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IEFtZXJpY2FuIFNvY2lldHkgb2YgVHJhbnNwbGFudCBTdXJnZW9uczwvYWJici0xPjwvYWx0LXBl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</w:fldData>
        </w:fldChar>
      </w:r>
      <w:r>
        <w:rPr>
          <w:rFonts w:asciiTheme="minorHAnsi" w:hAnsiTheme="minorHAnsi" w:cstheme="minorHAnsi"/>
          <w:szCs w:val="24"/>
        </w:rPr>
        <w:instrText xml:space="preserve"> ADDIN EN.CITE.DATA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[</w:t>
      </w:r>
      <w:hyperlink w:anchor="_ENREF_1" w:tooltip="Li, 2012 #4" w:history="1">
        <w:r>
          <w:rPr>
            <w:rFonts w:asciiTheme="minorHAnsi" w:hAnsiTheme="minorHAnsi" w:cstheme="minorHAnsi"/>
            <w:noProof/>
            <w:szCs w:val="24"/>
          </w:rPr>
          <w:t>1</w:t>
        </w:r>
      </w:hyperlink>
      <w:r>
        <w:rPr>
          <w:rFonts w:asciiTheme="minorHAnsi" w:hAnsiTheme="minorHAnsi" w:cstheme="minorHAnsi"/>
          <w:noProof/>
          <w:szCs w:val="24"/>
        </w:rPr>
        <w:t>]</w:t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; </w:t>
      </w:r>
      <w:r w:rsidRPr="00C330FA">
        <w:rPr>
          <w:rFonts w:asciiTheme="minorHAnsi" w:hAnsiTheme="minorHAnsi" w:cstheme="minorHAnsi"/>
          <w:szCs w:val="24"/>
        </w:rPr>
        <w:t xml:space="preserve">33 </w:t>
      </w:r>
      <w:r>
        <w:rPr>
          <w:rFonts w:asciiTheme="minorHAnsi" w:hAnsiTheme="minorHAnsi" w:cstheme="minorHAnsi"/>
          <w:szCs w:val="24"/>
        </w:rPr>
        <w:t xml:space="preserve">candidate </w:t>
      </w:r>
      <w:r w:rsidRPr="00C330FA">
        <w:rPr>
          <w:rFonts w:asciiTheme="minorHAnsi" w:hAnsiTheme="minorHAnsi" w:cstheme="minorHAnsi"/>
          <w:szCs w:val="24"/>
        </w:rPr>
        <w:t xml:space="preserve">genes for novel discovery in adult and pediatric transplant rejection. Confirming the pediatric 10 genes in the adult set of 143 AR and </w:t>
      </w:r>
      <w:r>
        <w:rPr>
          <w:rFonts w:asciiTheme="minorHAnsi" w:hAnsiTheme="minorHAnsi" w:cstheme="minorHAnsi"/>
          <w:szCs w:val="24"/>
        </w:rPr>
        <w:t>No-AR</w:t>
      </w:r>
      <w:r w:rsidRPr="00C330FA">
        <w:rPr>
          <w:rFonts w:asciiTheme="minorHAnsi" w:hAnsiTheme="minorHAnsi" w:cstheme="minorHAnsi"/>
          <w:szCs w:val="24"/>
        </w:rPr>
        <w:t xml:space="preserve"> sampl</w:t>
      </w:r>
      <w:r>
        <w:rPr>
          <w:rFonts w:asciiTheme="minorHAnsi" w:hAnsiTheme="minorHAnsi" w:cstheme="minorHAnsi"/>
          <w:szCs w:val="24"/>
        </w:rPr>
        <w:t>e</w:t>
      </w:r>
      <w:r w:rsidRPr="00C330FA">
        <w:rPr>
          <w:rFonts w:asciiTheme="minorHAnsi" w:hAnsiTheme="minorHAnsi" w:cstheme="minorHAnsi"/>
          <w:szCs w:val="24"/>
        </w:rPr>
        <w:t xml:space="preserve">s correctly predicted AR with 87.4%. Novel discovery </w:t>
      </w:r>
      <w:r>
        <w:rPr>
          <w:rFonts w:asciiTheme="minorHAnsi" w:hAnsiTheme="minorHAnsi" w:cstheme="minorHAnsi"/>
          <w:szCs w:val="24"/>
        </w:rPr>
        <w:t xml:space="preserve">and validation </w:t>
      </w:r>
      <w:r w:rsidRPr="00C330FA">
        <w:rPr>
          <w:rFonts w:asciiTheme="minorHAnsi" w:hAnsiTheme="minorHAnsi" w:cstheme="minorHAnsi"/>
          <w:szCs w:val="24"/>
        </w:rPr>
        <w:t>was performed in the combined adu</w:t>
      </w:r>
      <w:r>
        <w:rPr>
          <w:rFonts w:asciiTheme="minorHAnsi" w:hAnsiTheme="minorHAnsi" w:cstheme="minorHAnsi"/>
          <w:szCs w:val="24"/>
        </w:rPr>
        <w:t>lt and pediat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ric data set of 267</w:t>
      </w:r>
      <w:r w:rsidRPr="00C330FA">
        <w:rPr>
          <w:rFonts w:asciiTheme="minorHAnsi" w:hAnsiTheme="minorHAnsi" w:cstheme="minorHAnsi"/>
          <w:szCs w:val="24"/>
        </w:rPr>
        <w:t xml:space="preserve"> AR and </w:t>
      </w:r>
      <w:r>
        <w:rPr>
          <w:rFonts w:asciiTheme="minorHAnsi" w:hAnsiTheme="minorHAnsi" w:cstheme="minorHAnsi"/>
          <w:szCs w:val="24"/>
        </w:rPr>
        <w:t>No-AR</w:t>
      </w:r>
      <w:r w:rsidRPr="00C330FA">
        <w:rPr>
          <w:rFonts w:asciiTheme="minorHAnsi" w:hAnsiTheme="minorHAnsi" w:cstheme="minorHAnsi"/>
          <w:szCs w:val="24"/>
        </w:rPr>
        <w:t xml:space="preserve"> samples</w:t>
      </w:r>
      <w:r>
        <w:rPr>
          <w:rFonts w:asciiTheme="minorHAnsi" w:hAnsiTheme="minorHAnsi" w:cstheme="minorHAnsi"/>
          <w:szCs w:val="24"/>
        </w:rPr>
        <w:t xml:space="preserve"> (Cohort 1, Cohort 2)</w:t>
      </w:r>
      <w:r w:rsidRPr="00C330FA">
        <w:rPr>
          <w:rFonts w:asciiTheme="minorHAnsi" w:hAnsiTheme="minorHAnsi" w:cstheme="minorHAnsi"/>
          <w:szCs w:val="24"/>
        </w:rPr>
        <w:t xml:space="preserve">. Student T-test, ANOVA and penalized logistic regression resulting in the definition of 7 additional genes which together with the 10 rejection set defined the final selection of 17 genes for </w:t>
      </w:r>
      <w:r>
        <w:rPr>
          <w:rFonts w:asciiTheme="minorHAnsi" w:hAnsiTheme="minorHAnsi" w:cstheme="minorHAnsi"/>
          <w:szCs w:val="24"/>
        </w:rPr>
        <w:t>kSORT</w:t>
      </w:r>
      <w:r w:rsidRPr="00C330FA">
        <w:rPr>
          <w:rFonts w:asciiTheme="minorHAnsi" w:hAnsiTheme="minorHAnsi" w:cstheme="minorHAnsi"/>
          <w:szCs w:val="24"/>
        </w:rPr>
        <w:t>. By partial least square discriminant analysis with equal prior probabilities the 17 genes predicted AR with high sensitivity and specifi</w:t>
      </w:r>
      <w:r>
        <w:rPr>
          <w:rFonts w:asciiTheme="minorHAnsi" w:hAnsiTheme="minorHAnsi" w:cstheme="minorHAnsi"/>
          <w:szCs w:val="24"/>
        </w:rPr>
        <w:t xml:space="preserve">city in the training set of 143 Samples </w:t>
      </w:r>
      <w:r w:rsidRPr="00C330FA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 xml:space="preserve">Cohort 1; AART143, </w:t>
      </w:r>
      <w:r w:rsidRPr="00C330FA">
        <w:rPr>
          <w:rFonts w:asciiTheme="minorHAnsi" w:hAnsiTheme="minorHAnsi" w:cstheme="minorHAnsi"/>
          <w:szCs w:val="24"/>
        </w:rPr>
        <w:t xml:space="preserve">AUC=0.944) as well as in </w:t>
      </w:r>
      <w:r>
        <w:rPr>
          <w:rFonts w:asciiTheme="minorHAnsi" w:hAnsiTheme="minorHAnsi" w:cstheme="minorHAnsi"/>
          <w:szCs w:val="24"/>
        </w:rPr>
        <w:t xml:space="preserve">the </w:t>
      </w:r>
      <w:r w:rsidRPr="00C330FA">
        <w:rPr>
          <w:rFonts w:asciiTheme="minorHAnsi" w:hAnsiTheme="minorHAnsi" w:cstheme="minorHAnsi"/>
          <w:szCs w:val="24"/>
        </w:rPr>
        <w:t>independent Validation set of 124</w:t>
      </w:r>
      <w:r>
        <w:rPr>
          <w:rFonts w:asciiTheme="minorHAnsi" w:hAnsiTheme="minorHAnsi" w:cstheme="minorHAnsi"/>
          <w:szCs w:val="24"/>
        </w:rPr>
        <w:t xml:space="preserve"> samples (Cohort 2; AART124) </w:t>
      </w:r>
      <w:r w:rsidRPr="00C330FA">
        <w:rPr>
          <w:rFonts w:asciiTheme="minorHAnsi" w:hAnsiTheme="minorHAnsi" w:cstheme="minorHAnsi"/>
          <w:szCs w:val="24"/>
        </w:rPr>
        <w:t xml:space="preserve">not included in any previous analysis (AUC=0.948). Gene expression data used in the analysis represented </w:t>
      </w:r>
      <w:proofErr w:type="spellStart"/>
      <w:r>
        <w:rPr>
          <w:rFonts w:asciiTheme="minorHAnsi" w:hAnsiTheme="minorHAnsi" w:cstheme="minorHAnsi"/>
          <w:szCs w:val="24"/>
        </w:rPr>
        <w:t>d</w:t>
      </w:r>
      <w:r w:rsidRPr="00C330FA">
        <w:rPr>
          <w:rFonts w:asciiTheme="minorHAnsi" w:hAnsiTheme="minorHAnsi" w:cstheme="minorHAnsi"/>
          <w:szCs w:val="24"/>
        </w:rPr>
        <w:t>Ct</w:t>
      </w:r>
      <w:proofErr w:type="spellEnd"/>
      <w:r w:rsidRPr="00C330FA">
        <w:rPr>
          <w:rFonts w:asciiTheme="minorHAnsi" w:hAnsiTheme="minorHAnsi" w:cstheme="minorHAnsi"/>
          <w:szCs w:val="24"/>
        </w:rPr>
        <w:t xml:space="preserve"> values against 18S from the Fluidigm QPCR platform additionally normalized for sample collection site</w:t>
      </w:r>
      <w:r>
        <w:rPr>
          <w:rFonts w:asciiTheme="minorHAnsi" w:hAnsiTheme="minorHAnsi" w:cstheme="minorHAnsi"/>
          <w:szCs w:val="24"/>
        </w:rPr>
        <w:t xml:space="preserve">, </w:t>
      </w:r>
      <w:r w:rsidRPr="00C330FA">
        <w:rPr>
          <w:rFonts w:asciiTheme="minorHAnsi" w:hAnsiTheme="minorHAnsi" w:cstheme="minorHAnsi"/>
          <w:szCs w:val="24"/>
        </w:rPr>
        <w:t>RNA source</w:t>
      </w:r>
      <w:r>
        <w:rPr>
          <w:rFonts w:asciiTheme="minorHAnsi" w:hAnsiTheme="minorHAnsi" w:cstheme="minorHAnsi"/>
          <w:szCs w:val="24"/>
        </w:rPr>
        <w:t>, and run</w:t>
      </w:r>
      <w:r w:rsidRPr="00C330FA">
        <w:rPr>
          <w:rFonts w:asciiTheme="minorHAnsi" w:hAnsiTheme="minorHAnsi" w:cstheme="minorHAnsi"/>
          <w:szCs w:val="24"/>
        </w:rPr>
        <w:t xml:space="preserve"> using a mixed ANOVA model</w:t>
      </w:r>
      <w:r>
        <w:rPr>
          <w:rFonts w:asciiTheme="minorHAnsi" w:hAnsiTheme="minorHAnsi" w:cstheme="minorHAnsi"/>
          <w:szCs w:val="24"/>
        </w:rPr>
        <w:t>.</w:t>
      </w:r>
    </w:p>
    <w:p w:rsidR="001F49DA" w:rsidRDefault="001F49DA" w:rsidP="001F49DA">
      <w:pPr>
        <w:jc w:val="both"/>
        <w:rPr>
          <w:rFonts w:asciiTheme="minorHAnsi" w:hAnsiTheme="minorHAnsi" w:cstheme="minorHAnsi"/>
          <w:szCs w:val="24"/>
        </w:rPr>
      </w:pPr>
    </w:p>
    <w:p w:rsidR="001F49DA" w:rsidRPr="002D63B0" w:rsidRDefault="001F49DA" w:rsidP="001F49DA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de-DE" w:eastAsia="de-DE"/>
        </w:rPr>
        <w:drawing>
          <wp:inline distT="0" distB="0" distL="0" distR="0">
            <wp:extent cx="5200182" cy="5447980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_Supporting Informat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707" cy="54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DA" w:rsidRPr="00AD5CE3" w:rsidRDefault="001F49DA" w:rsidP="001F49DA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References</w:t>
      </w:r>
    </w:p>
    <w:p w:rsidR="001F49DA" w:rsidRPr="005D23F9" w:rsidRDefault="001F49DA" w:rsidP="001F49DA">
      <w:pPr>
        <w:ind w:left="720" w:hanging="720"/>
        <w:rPr>
          <w:rFonts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5D23F9">
        <w:rPr>
          <w:rFonts w:cs="Times New Roman"/>
          <w:noProof/>
        </w:rPr>
        <w:t>1.</w:t>
      </w:r>
      <w:r w:rsidRPr="005D23F9">
        <w:rPr>
          <w:rFonts w:cs="Times New Roman"/>
          <w:noProof/>
        </w:rPr>
        <w:tab/>
        <w:t xml:space="preserve">Li, L., et al., </w:t>
      </w:r>
      <w:r w:rsidRPr="005D23F9">
        <w:rPr>
          <w:rFonts w:cs="Times New Roman"/>
          <w:i/>
          <w:noProof/>
        </w:rPr>
        <w:t>A peripheral blood diagnostic test for acute rejection in renal transplantation.</w:t>
      </w:r>
      <w:r w:rsidRPr="005D23F9">
        <w:rPr>
          <w:rFonts w:cs="Times New Roman"/>
          <w:noProof/>
        </w:rPr>
        <w:t xml:space="preserve"> Am J Transplant, 2012. </w:t>
      </w:r>
      <w:r w:rsidRPr="005D23F9">
        <w:rPr>
          <w:rFonts w:cs="Times New Roman"/>
          <w:b/>
          <w:noProof/>
        </w:rPr>
        <w:t>12</w:t>
      </w:r>
      <w:r w:rsidRPr="005D23F9">
        <w:rPr>
          <w:rFonts w:cs="Times New Roman"/>
          <w:noProof/>
        </w:rPr>
        <w:t>(10): p. 2710-8.</w:t>
      </w:r>
      <w:bookmarkEnd w:id="1"/>
    </w:p>
    <w:p w:rsidR="001F49DA" w:rsidRDefault="001F49DA" w:rsidP="001F49DA">
      <w:pPr>
        <w:rPr>
          <w:noProof/>
        </w:rPr>
      </w:pPr>
    </w:p>
    <w:p w:rsidR="001F49DA" w:rsidRDefault="001F49DA" w:rsidP="001F49DA">
      <w:pPr>
        <w:spacing w:line="480" w:lineRule="auto"/>
        <w:rPr>
          <w:rFonts w:asciiTheme="minorHAnsi" w:hAnsiTheme="minorHAnsi" w:cstheme="minorHAnsi"/>
          <w:b/>
          <w:szCs w:val="24"/>
        </w:rPr>
      </w:pPr>
      <w:r>
        <w:fldChar w:fldCharType="end"/>
      </w:r>
    </w:p>
    <w:p w:rsidR="001F49DA" w:rsidRDefault="001F49DA" w:rsidP="001F49DA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A24BC8" w:rsidRDefault="00A24BC8"/>
    <w:sectPr w:rsidR="00A24BC8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9F" w:rsidRDefault="0004349F">
      <w:r>
        <w:separator/>
      </w:r>
    </w:p>
  </w:endnote>
  <w:endnote w:type="continuationSeparator" w:id="0">
    <w:p w:rsidR="0004349F" w:rsidRDefault="000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9F" w:rsidRDefault="0004349F">
      <w:r>
        <w:separator/>
      </w:r>
    </w:p>
  </w:footnote>
  <w:footnote w:type="continuationSeparator" w:id="0">
    <w:p w:rsidR="0004349F" w:rsidRDefault="0004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A"/>
    <w:rsid w:val="0001657E"/>
    <w:rsid w:val="0004349F"/>
    <w:rsid w:val="0015532B"/>
    <w:rsid w:val="00174B0E"/>
    <w:rsid w:val="001F49DA"/>
    <w:rsid w:val="0021739E"/>
    <w:rsid w:val="003851CF"/>
    <w:rsid w:val="00691F2F"/>
    <w:rsid w:val="00693EFD"/>
    <w:rsid w:val="007213CE"/>
    <w:rsid w:val="00772632"/>
    <w:rsid w:val="00842623"/>
    <w:rsid w:val="00904106"/>
    <w:rsid w:val="00927084"/>
    <w:rsid w:val="00952456"/>
    <w:rsid w:val="00977BCF"/>
    <w:rsid w:val="00A24BC8"/>
    <w:rsid w:val="00C83EF2"/>
    <w:rsid w:val="00CB2527"/>
    <w:rsid w:val="00EC20F4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49DA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1F4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49DA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49DA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1F4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49DA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1429</Characters>
  <Application>Microsoft Office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2</cp:revision>
  <cp:lastPrinted>2007-01-26T10:32:00Z</cp:lastPrinted>
  <dcterms:created xsi:type="dcterms:W3CDTF">2014-09-22T15:10:00Z</dcterms:created>
  <dcterms:modified xsi:type="dcterms:W3CDTF">2014-09-22T15:13:00Z</dcterms:modified>
</cp:coreProperties>
</file>