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A50" w:rsidRDefault="00171D56" w:rsidP="006D6A50">
      <w:pPr>
        <w:pStyle w:val="1"/>
        <w:spacing w:line="0" w:lineRule="atLeast"/>
        <w:rPr>
          <w:rFonts w:eastAsiaTheme="minorEastAsia"/>
          <w:color w:val="000000"/>
          <w:sz w:val="24"/>
          <w:lang w:eastAsia="zh-TW"/>
        </w:rPr>
      </w:pPr>
      <w:r w:rsidRPr="00171D56">
        <w:rPr>
          <w:rFonts w:eastAsia="SimSun"/>
          <w:color w:val="000000"/>
          <w:sz w:val="24"/>
          <w:lang w:eastAsia="zh-CN"/>
        </w:rPr>
        <w:t xml:space="preserve">Translation of the Abstract into Simplified Chinese by </w:t>
      </w:r>
      <w:proofErr w:type="spellStart"/>
      <w:r w:rsidRPr="00171D56">
        <w:rPr>
          <w:rFonts w:eastAsia="SimSun"/>
          <w:color w:val="000000"/>
          <w:sz w:val="24"/>
          <w:lang w:eastAsia="zh-CN"/>
        </w:rPr>
        <w:t>Shu-Sen</w:t>
      </w:r>
      <w:proofErr w:type="spellEnd"/>
      <w:r w:rsidRPr="00171D56">
        <w:rPr>
          <w:rFonts w:eastAsia="SimSun"/>
          <w:color w:val="000000"/>
          <w:sz w:val="24"/>
          <w:lang w:eastAsia="zh-CN"/>
        </w:rPr>
        <w:t xml:space="preserve"> Chang</w:t>
      </w:r>
    </w:p>
    <w:p w:rsidR="006D6A50" w:rsidRPr="00EA7540" w:rsidRDefault="006D6A50" w:rsidP="006D6A50">
      <w:pPr>
        <w:pStyle w:val="1"/>
        <w:spacing w:line="0" w:lineRule="atLeast"/>
        <w:rPr>
          <w:rFonts w:eastAsiaTheme="minorEastAsia"/>
          <w:color w:val="000000"/>
          <w:sz w:val="24"/>
          <w:lang w:eastAsia="zh-TW"/>
        </w:rPr>
      </w:pPr>
    </w:p>
    <w:p w:rsidR="006D6A50" w:rsidRDefault="00171D56" w:rsidP="006D6A50">
      <w:pPr>
        <w:pStyle w:val="1"/>
        <w:spacing w:line="0" w:lineRule="atLeast"/>
        <w:rPr>
          <w:rFonts w:eastAsiaTheme="minorEastAsia"/>
          <w:color w:val="000000"/>
          <w:sz w:val="24"/>
          <w:lang w:eastAsia="zh-CN"/>
        </w:rPr>
      </w:pPr>
      <w:r w:rsidRPr="00171D56">
        <w:rPr>
          <w:rFonts w:eastAsia="SimSun" w:hint="eastAsia"/>
          <w:color w:val="000000"/>
          <w:sz w:val="24"/>
          <w:lang w:eastAsia="zh-CN"/>
        </w:rPr>
        <w:t>标题：东亚与东南亚国家</w:t>
      </w:r>
      <w:r w:rsidRPr="00171D56">
        <w:rPr>
          <w:rFonts w:eastAsia="SimSun"/>
          <w:color w:val="000000"/>
          <w:sz w:val="24"/>
          <w:lang w:eastAsia="zh-CN"/>
        </w:rPr>
        <w:t>1995-2011</w:t>
      </w:r>
      <w:r w:rsidRPr="00171D56">
        <w:rPr>
          <w:rFonts w:eastAsia="SimSun" w:hint="eastAsia"/>
          <w:color w:val="000000"/>
          <w:sz w:val="24"/>
          <w:lang w:eastAsia="zh-CN"/>
        </w:rPr>
        <w:t>年间的烧炭自杀率变化：时间趋势分析</w:t>
      </w:r>
    </w:p>
    <w:p w:rsidR="00BF62E7" w:rsidRDefault="00BF62E7" w:rsidP="006D6A50">
      <w:pPr>
        <w:pStyle w:val="1"/>
        <w:rPr>
          <w:rFonts w:eastAsia="新細明體"/>
          <w:color w:val="000000"/>
          <w:lang w:eastAsia="zh-CN"/>
        </w:rPr>
      </w:pPr>
    </w:p>
    <w:p w:rsidR="006D6A50" w:rsidRPr="00A8475B" w:rsidRDefault="00171D56" w:rsidP="00BF62E7">
      <w:pPr>
        <w:rPr>
          <w:color w:val="000000"/>
        </w:rPr>
      </w:pPr>
      <w:r w:rsidRPr="00171D56">
        <w:rPr>
          <w:rFonts w:eastAsia="SimSun" w:hint="eastAsia"/>
          <w:color w:val="000000"/>
          <w:lang w:eastAsia="zh-CN"/>
        </w:rPr>
        <w:t>摘要（</w:t>
      </w:r>
      <w:r w:rsidRPr="00171D56">
        <w:rPr>
          <w:rFonts w:eastAsia="SimSun"/>
          <w:color w:val="000000"/>
          <w:lang w:eastAsia="zh-CN"/>
        </w:rPr>
        <w:t>Abstract</w:t>
      </w:r>
      <w:r w:rsidRPr="00171D56">
        <w:rPr>
          <w:rFonts w:eastAsia="SimSun" w:hint="eastAsia"/>
          <w:color w:val="000000"/>
          <w:lang w:eastAsia="zh-CN"/>
        </w:rPr>
        <w:t>）</w:t>
      </w:r>
    </w:p>
    <w:p w:rsidR="006D6A50" w:rsidRPr="00A8475B" w:rsidRDefault="00171D56" w:rsidP="006D6A50">
      <w:pPr>
        <w:rPr>
          <w:b/>
          <w:color w:val="000000"/>
        </w:rPr>
      </w:pPr>
      <w:r w:rsidRPr="00171D56">
        <w:rPr>
          <w:rFonts w:eastAsia="SimSun" w:hint="eastAsia"/>
          <w:color w:val="000000"/>
          <w:lang w:eastAsia="zh-CN"/>
        </w:rPr>
        <w:t>背景（</w:t>
      </w:r>
      <w:r w:rsidRPr="00171D56">
        <w:rPr>
          <w:rFonts w:eastAsia="SimSun"/>
          <w:color w:val="000000"/>
          <w:lang w:eastAsia="zh-CN"/>
        </w:rPr>
        <w:t>Backgro</w:t>
      </w:r>
      <w:bookmarkStart w:id="0" w:name="_GoBack"/>
      <w:bookmarkEnd w:id="0"/>
      <w:r w:rsidRPr="00171D56">
        <w:rPr>
          <w:rFonts w:eastAsia="SimSun"/>
          <w:color w:val="000000"/>
          <w:lang w:eastAsia="zh-CN"/>
        </w:rPr>
        <w:t>und</w:t>
      </w:r>
      <w:r w:rsidRPr="00171D56">
        <w:rPr>
          <w:rFonts w:eastAsia="SimSun" w:hint="eastAsia"/>
          <w:color w:val="000000"/>
          <w:lang w:eastAsia="zh-CN"/>
        </w:rPr>
        <w:t>）</w:t>
      </w:r>
      <w:r w:rsidR="006D6A50" w:rsidRPr="00A8475B">
        <w:rPr>
          <w:b/>
          <w:color w:val="000000"/>
        </w:rPr>
        <w:t xml:space="preserve"> </w:t>
      </w:r>
    </w:p>
    <w:p w:rsidR="00ED424E" w:rsidRDefault="00171D56" w:rsidP="006D6A50">
      <w:pPr>
        <w:ind w:firstLine="480"/>
        <w:rPr>
          <w:color w:val="000000"/>
          <w:lang w:eastAsia="zh-CN"/>
        </w:rPr>
      </w:pPr>
      <w:r w:rsidRPr="00171D56">
        <w:rPr>
          <w:rFonts w:eastAsia="SimSun" w:hint="eastAsia"/>
          <w:color w:val="000000"/>
          <w:lang w:eastAsia="zh-CN"/>
        </w:rPr>
        <w:t>在二十一世纪初期，烧木炭导致一氧化碳中毒而自杀身亡的首例个案发生后的短短五年间，以同样方法自杀身亡的个案在香港与台湾快速增加。本研究分析：（</w:t>
      </w:r>
      <w:r w:rsidRPr="00171D56">
        <w:rPr>
          <w:rFonts w:eastAsia="SimSun"/>
          <w:color w:val="000000"/>
          <w:lang w:eastAsia="zh-CN"/>
        </w:rPr>
        <w:t>1</w:t>
      </w:r>
      <w:r w:rsidRPr="00171D56">
        <w:rPr>
          <w:rFonts w:eastAsia="SimSun" w:hint="eastAsia"/>
          <w:color w:val="000000"/>
          <w:lang w:eastAsia="zh-CN"/>
        </w:rPr>
        <w:t>）</w:t>
      </w:r>
      <w:r w:rsidRPr="00171D56">
        <w:rPr>
          <w:rFonts w:eastAsia="SimSun"/>
          <w:color w:val="000000"/>
          <w:lang w:eastAsia="zh-CN"/>
        </w:rPr>
        <w:t>1995-2011</w:t>
      </w:r>
      <w:r w:rsidRPr="00171D56">
        <w:rPr>
          <w:rFonts w:eastAsia="SimSun" w:hint="eastAsia"/>
          <w:color w:val="000000"/>
          <w:lang w:eastAsia="zh-CN"/>
        </w:rPr>
        <w:t>年间东亚与东南亚国家烧炭自杀率的趋势变化；（</w:t>
      </w:r>
      <w:r w:rsidRPr="00171D56">
        <w:rPr>
          <w:rFonts w:eastAsia="SimSun"/>
          <w:color w:val="000000"/>
          <w:lang w:eastAsia="zh-CN"/>
        </w:rPr>
        <w:t>2</w:t>
      </w:r>
      <w:r w:rsidRPr="00171D56">
        <w:rPr>
          <w:rFonts w:eastAsia="SimSun" w:hint="eastAsia"/>
          <w:color w:val="000000"/>
          <w:lang w:eastAsia="zh-CN"/>
        </w:rPr>
        <w:t>）是否烧炭自杀率的增加伴随着总体自杀率的增加。我们同时也分析不同性别</w:t>
      </w:r>
      <w:r w:rsidRPr="00171D56">
        <w:rPr>
          <w:rFonts w:eastAsia="SimSun"/>
          <w:color w:val="000000"/>
          <w:lang w:eastAsia="zh-CN"/>
        </w:rPr>
        <w:t>/</w:t>
      </w:r>
      <w:r w:rsidRPr="00171D56">
        <w:rPr>
          <w:rFonts w:eastAsia="SimSun" w:hint="eastAsia"/>
          <w:color w:val="000000"/>
          <w:lang w:eastAsia="zh-CN"/>
        </w:rPr>
        <w:t>年龄的趋势变化，找出在不同国家烧炭自杀率增加最显著的族群。</w:t>
      </w:r>
    </w:p>
    <w:p w:rsidR="007B677D" w:rsidRDefault="007B677D" w:rsidP="006D6A50">
      <w:pPr>
        <w:rPr>
          <w:color w:val="000000"/>
          <w:lang w:eastAsia="zh-CN"/>
        </w:rPr>
      </w:pPr>
    </w:p>
    <w:p w:rsidR="006D6A50" w:rsidRPr="00A8475B" w:rsidRDefault="00171D56" w:rsidP="006D6A50">
      <w:pPr>
        <w:rPr>
          <w:color w:val="000000"/>
        </w:rPr>
      </w:pPr>
      <w:r w:rsidRPr="00171D56">
        <w:rPr>
          <w:rFonts w:eastAsia="SimSun" w:hint="eastAsia"/>
          <w:color w:val="000000"/>
          <w:lang w:eastAsia="zh-CN"/>
        </w:rPr>
        <w:t>研究方法与发现（</w:t>
      </w:r>
      <w:r w:rsidRPr="00171D56">
        <w:rPr>
          <w:rFonts w:eastAsia="SimSun"/>
          <w:color w:val="000000"/>
          <w:lang w:eastAsia="zh-CN"/>
        </w:rPr>
        <w:t>Methods and Findings</w:t>
      </w:r>
      <w:r w:rsidRPr="00171D56">
        <w:rPr>
          <w:rFonts w:eastAsia="SimSun" w:hint="eastAsia"/>
          <w:color w:val="000000"/>
          <w:lang w:eastAsia="zh-CN"/>
        </w:rPr>
        <w:t>）</w:t>
      </w:r>
    </w:p>
    <w:p w:rsidR="00D905CA" w:rsidRDefault="00171D56" w:rsidP="00D905CA">
      <w:pPr>
        <w:rPr>
          <w:color w:val="000000"/>
          <w:lang w:eastAsia="zh-CN"/>
        </w:rPr>
      </w:pPr>
      <w:r w:rsidRPr="00171D56">
        <w:rPr>
          <w:rFonts w:eastAsia="SimSun" w:hint="eastAsia"/>
          <w:color w:val="000000"/>
          <w:lang w:eastAsia="zh-CN"/>
        </w:rPr>
        <w:t>我们分析香港、日本、南韩、台湾和新加坡（主要研究国家）在</w:t>
      </w:r>
      <w:r w:rsidRPr="00171D56">
        <w:rPr>
          <w:rFonts w:eastAsia="SimSun"/>
          <w:color w:val="000000"/>
          <w:lang w:eastAsia="zh-CN"/>
        </w:rPr>
        <w:t>1995/1996</w:t>
      </w:r>
      <w:r w:rsidRPr="00171D56">
        <w:rPr>
          <w:rFonts w:eastAsia="SimSun" w:hint="eastAsia"/>
          <w:color w:val="000000"/>
          <w:lang w:eastAsia="zh-CN"/>
        </w:rPr>
        <w:t>到</w:t>
      </w:r>
      <w:r w:rsidRPr="00171D56">
        <w:rPr>
          <w:rFonts w:eastAsia="SimSun"/>
          <w:color w:val="000000"/>
          <w:lang w:eastAsia="zh-CN"/>
        </w:rPr>
        <w:t>2011</w:t>
      </w:r>
      <w:r w:rsidRPr="00171D56">
        <w:rPr>
          <w:rFonts w:eastAsia="SimSun" w:hint="eastAsia"/>
          <w:color w:val="000000"/>
          <w:lang w:eastAsia="zh-CN"/>
        </w:rPr>
        <w:t>年间，使用非家用瓦斯而自杀身亡个案的资料，相较下，马来西亚、菲律宾和泰国的数据年份较不完整。我们使用趋势图和转折点回归分析，分析自杀率的时间趋势，并用负二项回归模型研究不同性别</w:t>
      </w:r>
      <w:r w:rsidRPr="00171D56">
        <w:rPr>
          <w:rFonts w:eastAsia="SimSun"/>
          <w:color w:val="000000"/>
          <w:lang w:eastAsia="zh-CN"/>
        </w:rPr>
        <w:t>/</w:t>
      </w:r>
      <w:r w:rsidRPr="00171D56">
        <w:rPr>
          <w:rFonts w:eastAsia="SimSun" w:hint="eastAsia"/>
          <w:color w:val="000000"/>
          <w:lang w:eastAsia="zh-CN"/>
        </w:rPr>
        <w:t>年龄的差异。在</w:t>
      </w:r>
      <w:r w:rsidRPr="00171D56">
        <w:rPr>
          <w:rFonts w:eastAsia="SimSun"/>
          <w:color w:val="000000"/>
          <w:lang w:eastAsia="zh-CN"/>
        </w:rPr>
        <w:t>1995/1996</w:t>
      </w:r>
      <w:r w:rsidRPr="00171D56">
        <w:rPr>
          <w:rFonts w:eastAsia="SimSun" w:hint="eastAsia"/>
          <w:color w:val="000000"/>
          <w:lang w:eastAsia="zh-CN"/>
        </w:rPr>
        <w:t>年，在主要研究国家烧炭自杀仅占所有自杀少于百分之一，除了日本之外（百分之五），然而，在</w:t>
      </w:r>
      <w:r w:rsidRPr="00171D56">
        <w:rPr>
          <w:rFonts w:eastAsia="SimSun"/>
          <w:color w:val="000000"/>
          <w:lang w:eastAsia="zh-CN"/>
        </w:rPr>
        <w:t>2011</w:t>
      </w:r>
      <w:r w:rsidRPr="00171D56">
        <w:rPr>
          <w:rFonts w:eastAsia="SimSun" w:hint="eastAsia"/>
          <w:color w:val="000000"/>
          <w:lang w:eastAsia="zh-CN"/>
        </w:rPr>
        <w:t>年在香港、台湾、日本、南韩和新加坡分别增加到百分之十三、二十四、十、七和五。烧炭自杀之增加，首见于香港（</w:t>
      </w:r>
      <w:r w:rsidRPr="00171D56">
        <w:rPr>
          <w:rFonts w:eastAsia="SimSun"/>
          <w:color w:val="000000"/>
          <w:lang w:eastAsia="zh-CN"/>
        </w:rPr>
        <w:t>1998</w:t>
      </w:r>
      <w:r w:rsidRPr="00171D56">
        <w:rPr>
          <w:rFonts w:eastAsia="SimSun" w:hint="eastAsia"/>
          <w:color w:val="000000"/>
          <w:lang w:eastAsia="zh-CN"/>
        </w:rPr>
        <w:t>年后，百分之九十五信赖区间为</w:t>
      </w:r>
      <w:r w:rsidRPr="00171D56">
        <w:rPr>
          <w:rFonts w:eastAsia="SimSun"/>
          <w:color w:val="000000"/>
          <w:lang w:eastAsia="zh-CN"/>
        </w:rPr>
        <w:t>1997-1999</w:t>
      </w:r>
      <w:r w:rsidRPr="00171D56">
        <w:rPr>
          <w:rFonts w:eastAsia="SimSun" w:hint="eastAsia"/>
          <w:color w:val="000000"/>
          <w:lang w:eastAsia="zh-CN"/>
        </w:rPr>
        <w:t>年），接续为新加坡（</w:t>
      </w:r>
      <w:r w:rsidRPr="00171D56">
        <w:rPr>
          <w:rFonts w:eastAsia="SimSun"/>
          <w:color w:val="000000"/>
          <w:lang w:eastAsia="zh-CN"/>
        </w:rPr>
        <w:t>1999</w:t>
      </w:r>
      <w:r w:rsidRPr="00171D56">
        <w:rPr>
          <w:rFonts w:eastAsia="SimSun" w:hint="eastAsia"/>
          <w:color w:val="000000"/>
          <w:lang w:eastAsia="zh-CN"/>
        </w:rPr>
        <w:t>年后，</w:t>
      </w:r>
      <w:r w:rsidRPr="00171D56">
        <w:rPr>
          <w:rFonts w:eastAsia="SimSun"/>
          <w:color w:val="000000"/>
          <w:lang w:eastAsia="zh-CN"/>
        </w:rPr>
        <w:t>1998-2001</w:t>
      </w:r>
      <w:r w:rsidRPr="00171D56">
        <w:rPr>
          <w:rFonts w:eastAsia="SimSun" w:hint="eastAsia"/>
          <w:color w:val="000000"/>
          <w:lang w:eastAsia="zh-CN"/>
        </w:rPr>
        <w:t>年）、台湾（</w:t>
      </w:r>
      <w:r w:rsidRPr="00171D56">
        <w:rPr>
          <w:rFonts w:eastAsia="SimSun"/>
          <w:color w:val="000000"/>
          <w:lang w:eastAsia="zh-CN"/>
        </w:rPr>
        <w:t>2000</w:t>
      </w:r>
      <w:r w:rsidRPr="00171D56">
        <w:rPr>
          <w:rFonts w:eastAsia="SimSun" w:hint="eastAsia"/>
          <w:color w:val="000000"/>
          <w:lang w:eastAsia="zh-CN"/>
        </w:rPr>
        <w:lastRenderedPageBreak/>
        <w:t>年后，</w:t>
      </w:r>
      <w:r w:rsidRPr="00171D56">
        <w:rPr>
          <w:rFonts w:eastAsia="SimSun"/>
          <w:color w:val="000000"/>
          <w:lang w:eastAsia="zh-CN"/>
        </w:rPr>
        <w:t>1999-2001</w:t>
      </w:r>
      <w:r w:rsidRPr="00171D56">
        <w:rPr>
          <w:rFonts w:eastAsia="SimSun" w:hint="eastAsia"/>
          <w:color w:val="000000"/>
          <w:lang w:eastAsia="zh-CN"/>
        </w:rPr>
        <w:t>年）、日本（</w:t>
      </w:r>
      <w:r w:rsidRPr="00171D56">
        <w:rPr>
          <w:rFonts w:eastAsia="SimSun"/>
          <w:color w:val="000000"/>
          <w:lang w:eastAsia="zh-CN"/>
        </w:rPr>
        <w:t>2002</w:t>
      </w:r>
      <w:r w:rsidRPr="00171D56">
        <w:rPr>
          <w:rFonts w:eastAsia="SimSun" w:hint="eastAsia"/>
          <w:color w:val="000000"/>
          <w:lang w:eastAsia="zh-CN"/>
        </w:rPr>
        <w:t>年后，</w:t>
      </w:r>
      <w:r w:rsidRPr="00171D56">
        <w:rPr>
          <w:rFonts w:eastAsia="SimSun"/>
          <w:color w:val="000000"/>
          <w:lang w:eastAsia="zh-CN"/>
        </w:rPr>
        <w:t>1999-2003</w:t>
      </w:r>
      <w:r w:rsidRPr="00171D56">
        <w:rPr>
          <w:rFonts w:eastAsia="SimSun" w:hint="eastAsia"/>
          <w:color w:val="000000"/>
          <w:lang w:eastAsia="zh-CN"/>
        </w:rPr>
        <w:t>年）、与南韩（</w:t>
      </w:r>
      <w:r w:rsidRPr="00171D56">
        <w:rPr>
          <w:rFonts w:eastAsia="SimSun"/>
          <w:color w:val="000000"/>
          <w:lang w:eastAsia="zh-CN"/>
        </w:rPr>
        <w:t>2007</w:t>
      </w:r>
      <w:r w:rsidRPr="00171D56">
        <w:rPr>
          <w:rFonts w:eastAsia="SimSun" w:hint="eastAsia"/>
          <w:color w:val="000000"/>
          <w:lang w:eastAsia="zh-CN"/>
        </w:rPr>
        <w:t>年后，</w:t>
      </w:r>
      <w:r w:rsidRPr="00171D56">
        <w:rPr>
          <w:rFonts w:eastAsia="SimSun"/>
          <w:color w:val="000000"/>
          <w:lang w:eastAsia="zh-CN"/>
        </w:rPr>
        <w:t>2006-2008</w:t>
      </w:r>
      <w:r w:rsidRPr="00171D56">
        <w:rPr>
          <w:rFonts w:eastAsia="SimSun" w:hint="eastAsia"/>
          <w:color w:val="000000"/>
          <w:lang w:eastAsia="zh-CN"/>
        </w:rPr>
        <w:t>年）。在马来西亚、菲律宾和泰国则未见到烧炭自杀显著增加。有证据显示在香港、台湾与日本（女性），烧炭自杀的增加伴随着总体自杀率的增加，但在日本（男性）、南韩和新加坡则未见此现象。烧炭自杀的增加率，在台湾和香港未有性别</w:t>
      </w:r>
      <w:r w:rsidRPr="00171D56">
        <w:rPr>
          <w:rFonts w:eastAsia="SimSun"/>
          <w:color w:val="000000"/>
          <w:lang w:eastAsia="zh-CN"/>
        </w:rPr>
        <w:t>/</w:t>
      </w:r>
      <w:r w:rsidRPr="00171D56">
        <w:rPr>
          <w:rFonts w:eastAsia="SimSun" w:hint="eastAsia"/>
          <w:color w:val="000000"/>
          <w:lang w:eastAsia="zh-CN"/>
        </w:rPr>
        <w:t>年龄间的差异，但是日本以十五岁到二十四岁族群最为显著，在南韩则是二十五岁到六十四岁族群最为显著。本研究的限制之一，是各国所使用的国际疾病分类手册中并无烧炭自杀的专用分类码，同时各国的死因编码方式可能有差异。</w:t>
      </w:r>
    </w:p>
    <w:p w:rsidR="004A6A16" w:rsidRDefault="004A6A16" w:rsidP="006D6A50">
      <w:pPr>
        <w:rPr>
          <w:color w:val="000000"/>
          <w:lang w:eastAsia="zh-CN"/>
        </w:rPr>
      </w:pPr>
    </w:p>
    <w:p w:rsidR="006D6A50" w:rsidRPr="00A8475B" w:rsidRDefault="00171D56" w:rsidP="006D6A50">
      <w:pPr>
        <w:rPr>
          <w:color w:val="000000"/>
          <w:lang w:eastAsia="zh-CN"/>
        </w:rPr>
      </w:pPr>
      <w:r w:rsidRPr="00171D56">
        <w:rPr>
          <w:rFonts w:eastAsia="SimSun" w:hint="eastAsia"/>
          <w:color w:val="000000"/>
          <w:lang w:eastAsia="zh-CN"/>
        </w:rPr>
        <w:t>结论（</w:t>
      </w:r>
      <w:r w:rsidRPr="00171D56">
        <w:rPr>
          <w:rFonts w:eastAsia="SimSun"/>
          <w:color w:val="000000"/>
          <w:lang w:eastAsia="zh-CN"/>
        </w:rPr>
        <w:t>Conclusions</w:t>
      </w:r>
      <w:r w:rsidRPr="00171D56">
        <w:rPr>
          <w:rFonts w:eastAsia="SimSun" w:hint="eastAsia"/>
          <w:color w:val="000000"/>
          <w:lang w:eastAsia="zh-CN"/>
        </w:rPr>
        <w:t>）</w:t>
      </w:r>
    </w:p>
    <w:p w:rsidR="004A6A16" w:rsidRDefault="00171D56" w:rsidP="006D6A50">
      <w:pPr>
        <w:rPr>
          <w:color w:val="000000"/>
          <w:shd w:val="clear" w:color="auto" w:fill="FFFFFF"/>
        </w:rPr>
      </w:pPr>
      <w:r w:rsidRPr="00171D56">
        <w:rPr>
          <w:rFonts w:eastAsia="SimSun" w:hint="eastAsia"/>
          <w:color w:val="000000"/>
          <w:shd w:val="clear" w:color="auto" w:fill="FFFFFF"/>
          <w:lang w:eastAsia="zh-CN"/>
        </w:rPr>
        <w:t>在二十一世纪的最初十年间，在某些东亚与东南亚国家，烧炭自杀率显著增加，但并非所有此地区的国家都发生相同现象。在烧炭自杀率增加的国家，其增加的起始年份、规模和性别年龄差异有所不同，需要进一步研究了解造成这些变异的原因，例如文化和媒体报导方式的差异。</w:t>
      </w:r>
    </w:p>
    <w:p w:rsidR="0087277A" w:rsidRPr="006D6A50" w:rsidRDefault="0087277A"/>
    <w:sectPr w:rsidR="0087277A" w:rsidRPr="006D6A50" w:rsidSect="003D411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F64" w:rsidRDefault="00FD4F64" w:rsidP="0094339A">
      <w:pPr>
        <w:spacing w:line="240" w:lineRule="auto"/>
      </w:pPr>
      <w:r>
        <w:separator/>
      </w:r>
    </w:p>
  </w:endnote>
  <w:endnote w:type="continuationSeparator" w:id="0">
    <w:p w:rsidR="00FD4F64" w:rsidRDefault="00FD4F64" w:rsidP="009433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F64" w:rsidRDefault="00FD4F64" w:rsidP="0094339A">
      <w:pPr>
        <w:spacing w:line="240" w:lineRule="auto"/>
      </w:pPr>
      <w:r>
        <w:separator/>
      </w:r>
    </w:p>
  </w:footnote>
  <w:footnote w:type="continuationSeparator" w:id="0">
    <w:p w:rsidR="00FD4F64" w:rsidRDefault="00FD4F64" w:rsidP="0094339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6A50"/>
    <w:rsid w:val="00171D56"/>
    <w:rsid w:val="00353987"/>
    <w:rsid w:val="003967BA"/>
    <w:rsid w:val="003D4116"/>
    <w:rsid w:val="0045445C"/>
    <w:rsid w:val="004A6A16"/>
    <w:rsid w:val="00574968"/>
    <w:rsid w:val="006D6A50"/>
    <w:rsid w:val="007B677D"/>
    <w:rsid w:val="0087277A"/>
    <w:rsid w:val="00942C81"/>
    <w:rsid w:val="0094339A"/>
    <w:rsid w:val="00991880"/>
    <w:rsid w:val="00A64E75"/>
    <w:rsid w:val="00BF62E7"/>
    <w:rsid w:val="00CB55D7"/>
    <w:rsid w:val="00D905CA"/>
    <w:rsid w:val="00EA7540"/>
    <w:rsid w:val="00ED424E"/>
    <w:rsid w:val="00FD4F6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A50"/>
    <w:pPr>
      <w:widowControl w:val="0"/>
      <w:spacing w:line="480" w:lineRule="auto"/>
    </w:pPr>
    <w:rPr>
      <w:rFonts w:ascii="Times New Roman" w:eastAsia="新細明體" w:hAnsi="Times New Roman" w:cs="Times New Roman"/>
      <w:szCs w:val="24"/>
      <w:lang w:val="en-GB"/>
    </w:rPr>
  </w:style>
  <w:style w:type="paragraph" w:styleId="1">
    <w:name w:val="heading 1"/>
    <w:basedOn w:val="a"/>
    <w:next w:val="a"/>
    <w:link w:val="10"/>
    <w:qFormat/>
    <w:rsid w:val="006D6A50"/>
    <w:pPr>
      <w:keepNext/>
      <w:outlineLvl w:val="0"/>
    </w:pPr>
    <w:rPr>
      <w:rFonts w:eastAsia="Times New Roman"/>
      <w:b/>
      <w:bCs/>
      <w:kern w:val="52"/>
      <w:sz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6D6A50"/>
    <w:rPr>
      <w:rFonts w:ascii="Times New Roman" w:eastAsia="Times New Roman" w:hAnsi="Times New Roman" w:cs="Times New Roman"/>
      <w:b/>
      <w:bCs/>
      <w:kern w:val="52"/>
      <w:sz w:val="20"/>
      <w:szCs w:val="24"/>
      <w:lang w:val="en-GB"/>
    </w:rPr>
  </w:style>
  <w:style w:type="paragraph" w:styleId="a3">
    <w:name w:val="Document Map"/>
    <w:basedOn w:val="a"/>
    <w:link w:val="a4"/>
    <w:semiHidden/>
    <w:rsid w:val="006D6A50"/>
    <w:pPr>
      <w:shd w:val="clear" w:color="auto" w:fill="000080"/>
    </w:pPr>
    <w:rPr>
      <w:rFonts w:ascii="Arial" w:hAnsi="Arial"/>
      <w:kern w:val="0"/>
      <w:sz w:val="20"/>
      <w:lang/>
    </w:rPr>
  </w:style>
  <w:style w:type="character" w:customStyle="1" w:styleId="a4">
    <w:name w:val="文件引導模式 字元"/>
    <w:basedOn w:val="a0"/>
    <w:link w:val="a3"/>
    <w:semiHidden/>
    <w:rsid w:val="006D6A50"/>
    <w:rPr>
      <w:rFonts w:ascii="Arial" w:eastAsia="新細明體" w:hAnsi="Arial" w:cs="Times New Roman"/>
      <w:kern w:val="0"/>
      <w:sz w:val="20"/>
      <w:szCs w:val="24"/>
      <w:shd w:val="clear" w:color="auto" w:fill="000080"/>
      <w:lang w:val="en-GB"/>
    </w:rPr>
  </w:style>
  <w:style w:type="character" w:styleId="a5">
    <w:name w:val="Hyperlink"/>
    <w:uiPriority w:val="99"/>
    <w:rsid w:val="006D6A50"/>
    <w:rPr>
      <w:rFonts w:cs="Times New Roman"/>
      <w:color w:val="0000FF"/>
      <w:u w:val="single"/>
    </w:rPr>
  </w:style>
  <w:style w:type="paragraph" w:styleId="a6">
    <w:name w:val="header"/>
    <w:basedOn w:val="a"/>
    <w:link w:val="a7"/>
    <w:uiPriority w:val="99"/>
    <w:semiHidden/>
    <w:unhideWhenUsed/>
    <w:rsid w:val="0094339A"/>
    <w:pPr>
      <w:tabs>
        <w:tab w:val="center" w:pos="4320"/>
        <w:tab w:val="right" w:pos="8640"/>
      </w:tabs>
      <w:spacing w:line="240" w:lineRule="auto"/>
    </w:pPr>
  </w:style>
  <w:style w:type="character" w:customStyle="1" w:styleId="a7">
    <w:name w:val="頁首 字元"/>
    <w:basedOn w:val="a0"/>
    <w:link w:val="a6"/>
    <w:uiPriority w:val="99"/>
    <w:semiHidden/>
    <w:rsid w:val="0094339A"/>
    <w:rPr>
      <w:rFonts w:ascii="Times New Roman" w:eastAsia="新細明體" w:hAnsi="Times New Roman" w:cs="Times New Roman"/>
      <w:szCs w:val="24"/>
      <w:lang w:val="en-GB"/>
    </w:rPr>
  </w:style>
  <w:style w:type="paragraph" w:styleId="a8">
    <w:name w:val="footer"/>
    <w:basedOn w:val="a"/>
    <w:link w:val="a9"/>
    <w:uiPriority w:val="99"/>
    <w:semiHidden/>
    <w:unhideWhenUsed/>
    <w:rsid w:val="0094339A"/>
    <w:pPr>
      <w:tabs>
        <w:tab w:val="center" w:pos="4320"/>
        <w:tab w:val="right" w:pos="8640"/>
      </w:tabs>
      <w:spacing w:line="240" w:lineRule="auto"/>
    </w:pPr>
  </w:style>
  <w:style w:type="character" w:customStyle="1" w:styleId="a9">
    <w:name w:val="頁尾 字元"/>
    <w:basedOn w:val="a0"/>
    <w:link w:val="a8"/>
    <w:uiPriority w:val="99"/>
    <w:semiHidden/>
    <w:rsid w:val="0094339A"/>
    <w:rPr>
      <w:rFonts w:ascii="Times New Roman" w:eastAsia="新細明體" w:hAnsi="Times New Roman"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A50"/>
    <w:pPr>
      <w:widowControl w:val="0"/>
      <w:spacing w:line="480" w:lineRule="auto"/>
    </w:pPr>
    <w:rPr>
      <w:rFonts w:ascii="Times New Roman" w:eastAsia="新細明體" w:hAnsi="Times New Roman" w:cs="Times New Roman"/>
      <w:szCs w:val="24"/>
      <w:lang w:val="en-GB"/>
    </w:rPr>
  </w:style>
  <w:style w:type="paragraph" w:styleId="1">
    <w:name w:val="heading 1"/>
    <w:basedOn w:val="a"/>
    <w:next w:val="a"/>
    <w:link w:val="10"/>
    <w:qFormat/>
    <w:rsid w:val="006D6A50"/>
    <w:pPr>
      <w:keepNext/>
      <w:outlineLvl w:val="0"/>
    </w:pPr>
    <w:rPr>
      <w:rFonts w:eastAsia="Times New Roman"/>
      <w:b/>
      <w:bCs/>
      <w:kern w:val="52"/>
      <w:sz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6D6A50"/>
    <w:rPr>
      <w:rFonts w:ascii="Times New Roman" w:eastAsia="Times New Roman" w:hAnsi="Times New Roman" w:cs="Times New Roman"/>
      <w:b/>
      <w:bCs/>
      <w:kern w:val="52"/>
      <w:sz w:val="20"/>
      <w:szCs w:val="24"/>
      <w:lang w:val="en-GB" w:eastAsia="x-none"/>
    </w:rPr>
  </w:style>
  <w:style w:type="paragraph" w:styleId="a3">
    <w:name w:val="Document Map"/>
    <w:basedOn w:val="a"/>
    <w:link w:val="a4"/>
    <w:semiHidden/>
    <w:rsid w:val="006D6A50"/>
    <w:pPr>
      <w:shd w:val="clear" w:color="auto" w:fill="000080"/>
    </w:pPr>
    <w:rPr>
      <w:rFonts w:ascii="Arial" w:hAnsi="Arial"/>
      <w:kern w:val="0"/>
      <w:sz w:val="20"/>
      <w:lang w:eastAsia="x-none"/>
    </w:rPr>
  </w:style>
  <w:style w:type="character" w:customStyle="1" w:styleId="a4">
    <w:name w:val="文件引導模式 字元"/>
    <w:basedOn w:val="a0"/>
    <w:link w:val="a3"/>
    <w:semiHidden/>
    <w:rsid w:val="006D6A50"/>
    <w:rPr>
      <w:rFonts w:ascii="Arial" w:eastAsia="新細明體" w:hAnsi="Arial" w:cs="Times New Roman"/>
      <w:kern w:val="0"/>
      <w:sz w:val="20"/>
      <w:szCs w:val="24"/>
      <w:shd w:val="clear" w:color="auto" w:fill="000080"/>
      <w:lang w:val="en-GB" w:eastAsia="x-none"/>
    </w:rPr>
  </w:style>
  <w:style w:type="character" w:styleId="a5">
    <w:name w:val="Hyperlink"/>
    <w:uiPriority w:val="99"/>
    <w:rsid w:val="006D6A5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shusen</dc:creator>
  <cp:lastModifiedBy>user</cp:lastModifiedBy>
  <cp:revision>2</cp:revision>
  <dcterms:created xsi:type="dcterms:W3CDTF">2014-03-17T05:06:00Z</dcterms:created>
  <dcterms:modified xsi:type="dcterms:W3CDTF">2014-03-17T05:06:00Z</dcterms:modified>
</cp:coreProperties>
</file>