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D0" w:rsidRDefault="00244ED0" w:rsidP="000D7048">
      <w:pPr>
        <w:ind w:left="-142"/>
        <w:rPr>
          <w:b/>
          <w:bCs/>
        </w:rPr>
      </w:pPr>
      <w:r>
        <w:rPr>
          <w:b/>
          <w:bCs/>
        </w:rPr>
        <w:t>Supplemental Table 1</w:t>
      </w:r>
    </w:p>
    <w:p w:rsidR="003C6E59" w:rsidRPr="003C6E59" w:rsidRDefault="000D7048" w:rsidP="000D7048">
      <w:pPr>
        <w:ind w:left="-142"/>
      </w:pPr>
      <w:r w:rsidRPr="000D7048">
        <w:rPr>
          <w:b/>
          <w:bCs/>
        </w:rPr>
        <w:t xml:space="preserve">Core motifs </w:t>
      </w:r>
      <w:r w:rsidR="00244ED0">
        <w:rPr>
          <w:b/>
          <w:bCs/>
        </w:rPr>
        <w:t>used in the bioinformatics analysis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037"/>
        <w:gridCol w:w="1754"/>
        <w:gridCol w:w="1076"/>
        <w:gridCol w:w="1491"/>
      </w:tblGrid>
      <w:tr w:rsidR="00FE7DBD" w:rsidTr="00623760">
        <w:tc>
          <w:tcPr>
            <w:tcW w:w="0" w:type="auto"/>
          </w:tcPr>
          <w:p w:rsidR="00FE7DBD" w:rsidRPr="003C6E59" w:rsidRDefault="00FE7DBD"/>
        </w:tc>
        <w:tc>
          <w:tcPr>
            <w:tcW w:w="0" w:type="auto"/>
          </w:tcPr>
          <w:p w:rsidR="00FE7DBD" w:rsidRDefault="00FE7DBD">
            <w:r w:rsidRPr="003C6E59">
              <w:t>Motif</w:t>
            </w:r>
          </w:p>
        </w:tc>
        <w:tc>
          <w:tcPr>
            <w:tcW w:w="0" w:type="auto"/>
          </w:tcPr>
          <w:p w:rsidR="00FE7DBD" w:rsidRDefault="00FE7DBD">
            <w:r>
              <w:t xml:space="preserve">% ORs with motif     </w:t>
            </w:r>
          </w:p>
        </w:tc>
        <w:tc>
          <w:tcPr>
            <w:tcW w:w="0" w:type="auto"/>
            <w:gridSpan w:val="2"/>
          </w:tcPr>
          <w:p w:rsidR="00FE7DBD" w:rsidRDefault="00FE7DBD">
            <w:r>
              <w:t xml:space="preserve">average # </w:t>
            </w:r>
            <w:r w:rsidRPr="003C6E59">
              <w:t xml:space="preserve">motif/OR  </w:t>
            </w:r>
          </w:p>
        </w:tc>
      </w:tr>
      <w:tr w:rsidR="00FE7DBD" w:rsidTr="00623760">
        <w:tc>
          <w:tcPr>
            <w:tcW w:w="0" w:type="auto"/>
          </w:tcPr>
          <w:p w:rsidR="00FE7DBD" w:rsidRDefault="00FE7DBD"/>
        </w:tc>
        <w:tc>
          <w:tcPr>
            <w:tcW w:w="0" w:type="auto"/>
          </w:tcPr>
          <w:p w:rsidR="00FE7DBD" w:rsidRDefault="00FE7DBD"/>
        </w:tc>
        <w:tc>
          <w:tcPr>
            <w:tcW w:w="0" w:type="auto"/>
          </w:tcPr>
          <w:p w:rsidR="00FE7DBD" w:rsidRDefault="00FE7DBD"/>
        </w:tc>
        <w:tc>
          <w:tcPr>
            <w:tcW w:w="0" w:type="auto"/>
          </w:tcPr>
          <w:p w:rsidR="00FE7DBD" w:rsidRDefault="00FE7DBD">
            <w:r w:rsidRPr="003C6E59">
              <w:t>regulated</w:t>
            </w:r>
          </w:p>
        </w:tc>
        <w:tc>
          <w:tcPr>
            <w:tcW w:w="0" w:type="auto"/>
          </w:tcPr>
          <w:p w:rsidR="00FE7DBD" w:rsidRDefault="00FE7DBD">
            <w:r w:rsidRPr="003C6E59">
              <w:t>non-regulated</w:t>
            </w:r>
            <w:r>
              <w:t xml:space="preserve">  </w:t>
            </w:r>
          </w:p>
        </w:tc>
      </w:tr>
      <w:tr w:rsidR="00FE7DBD" w:rsidTr="00623760">
        <w:tc>
          <w:tcPr>
            <w:tcW w:w="0" w:type="auto"/>
          </w:tcPr>
          <w:p w:rsidR="00FE7DBD" w:rsidRDefault="00FE7DBD" w:rsidP="001168CD">
            <w:r>
              <w:t>E</w:t>
            </w:r>
            <w:r w:rsidR="00771E88">
              <w:t>-</w:t>
            </w:r>
            <w:r>
              <w:t>box</w:t>
            </w:r>
          </w:p>
        </w:tc>
        <w:tc>
          <w:tcPr>
            <w:tcW w:w="0" w:type="auto"/>
          </w:tcPr>
          <w:p w:rsidR="00FE7DBD" w:rsidRDefault="00FE7DBD" w:rsidP="001168CD">
            <w:r>
              <w:t>CAXXTG</w:t>
            </w:r>
          </w:p>
        </w:tc>
        <w:tc>
          <w:tcPr>
            <w:tcW w:w="0" w:type="auto"/>
          </w:tcPr>
          <w:p w:rsidR="00FE7DBD" w:rsidRDefault="00FE7DBD" w:rsidP="00534EE3">
            <w:r>
              <w:t>96,3</w:t>
            </w:r>
            <w:r w:rsidR="009201F7">
              <w:t>%</w:t>
            </w:r>
          </w:p>
        </w:tc>
        <w:tc>
          <w:tcPr>
            <w:tcW w:w="0" w:type="auto"/>
          </w:tcPr>
          <w:p w:rsidR="00FE7DBD" w:rsidRDefault="00FE7DBD">
            <w:r>
              <w:t>5,0</w:t>
            </w:r>
          </w:p>
        </w:tc>
        <w:tc>
          <w:tcPr>
            <w:tcW w:w="0" w:type="auto"/>
          </w:tcPr>
          <w:p w:rsidR="00FE7DBD" w:rsidRDefault="00FE7DBD">
            <w:r>
              <w:t>4,53</w:t>
            </w:r>
          </w:p>
        </w:tc>
      </w:tr>
      <w:tr w:rsidR="00FE7DBD" w:rsidTr="00623760">
        <w:tc>
          <w:tcPr>
            <w:tcW w:w="0" w:type="auto"/>
          </w:tcPr>
          <w:p w:rsidR="00FE7DBD" w:rsidRDefault="00FE7DBD">
            <w:proofErr w:type="spellStart"/>
            <w:r>
              <w:t>Onecut</w:t>
            </w:r>
            <w:proofErr w:type="spellEnd"/>
            <w:r>
              <w:t xml:space="preserve"> </w:t>
            </w:r>
            <w:proofErr w:type="spellStart"/>
            <w:r>
              <w:t>Hox</w:t>
            </w:r>
            <w:proofErr w:type="spellEnd"/>
          </w:p>
        </w:tc>
        <w:tc>
          <w:tcPr>
            <w:tcW w:w="0" w:type="auto"/>
          </w:tcPr>
          <w:p w:rsidR="00FE7DBD" w:rsidRPr="003A5313" w:rsidRDefault="00FE7DBD">
            <w:r w:rsidRPr="003A5313">
              <w:rPr>
                <w:u w:val="single"/>
              </w:rPr>
              <w:t>A</w:t>
            </w:r>
            <w:r w:rsidRPr="003A5313">
              <w:rPr>
                <w:b/>
                <w:u w:val="single"/>
              </w:rPr>
              <w:t>ATCA</w:t>
            </w:r>
            <w:r w:rsidRPr="003A5313">
              <w:rPr>
                <w:b/>
              </w:rPr>
              <w:t>A</w:t>
            </w:r>
          </w:p>
        </w:tc>
        <w:tc>
          <w:tcPr>
            <w:tcW w:w="0" w:type="auto"/>
          </w:tcPr>
          <w:p w:rsidR="00FE7DBD" w:rsidRDefault="00FE7DBD">
            <w:r>
              <w:t>100%</w:t>
            </w:r>
          </w:p>
        </w:tc>
        <w:tc>
          <w:tcPr>
            <w:tcW w:w="0" w:type="auto"/>
          </w:tcPr>
          <w:p w:rsidR="00FE7DBD" w:rsidRDefault="00FE7DBD">
            <w:r>
              <w:t>6,83</w:t>
            </w:r>
          </w:p>
        </w:tc>
        <w:tc>
          <w:tcPr>
            <w:tcW w:w="0" w:type="auto"/>
          </w:tcPr>
          <w:p w:rsidR="00FE7DBD" w:rsidRDefault="00FE7DBD">
            <w:r>
              <w:t>4,33</w:t>
            </w:r>
          </w:p>
        </w:tc>
      </w:tr>
      <w:tr w:rsidR="00FE7DBD" w:rsidTr="00623760">
        <w:tc>
          <w:tcPr>
            <w:tcW w:w="0" w:type="auto"/>
          </w:tcPr>
          <w:p w:rsidR="00FE7DBD" w:rsidRDefault="00FE7DBD">
            <w:proofErr w:type="spellStart"/>
            <w:r>
              <w:t>Onecut</w:t>
            </w:r>
            <w:proofErr w:type="spellEnd"/>
            <w:r>
              <w:t xml:space="preserve"> Cut</w:t>
            </w:r>
          </w:p>
        </w:tc>
        <w:tc>
          <w:tcPr>
            <w:tcW w:w="0" w:type="auto"/>
          </w:tcPr>
          <w:p w:rsidR="00FE7DBD" w:rsidRDefault="00FE7DBD">
            <w:r>
              <w:t>A</w:t>
            </w:r>
            <w:r w:rsidRPr="003A5313">
              <w:rPr>
                <w:u w:val="single"/>
              </w:rPr>
              <w:t>TCGA</w:t>
            </w:r>
            <w:r>
              <w:t>T</w:t>
            </w:r>
          </w:p>
        </w:tc>
        <w:tc>
          <w:tcPr>
            <w:tcW w:w="0" w:type="auto"/>
          </w:tcPr>
          <w:p w:rsidR="00FE7DBD" w:rsidRDefault="00FE7DBD">
            <w:r>
              <w:t>100%</w:t>
            </w:r>
          </w:p>
        </w:tc>
        <w:tc>
          <w:tcPr>
            <w:tcW w:w="0" w:type="auto"/>
          </w:tcPr>
          <w:p w:rsidR="00FE7DBD" w:rsidRDefault="00FE7DBD">
            <w:r>
              <w:t>6,17</w:t>
            </w:r>
          </w:p>
        </w:tc>
        <w:tc>
          <w:tcPr>
            <w:tcW w:w="0" w:type="auto"/>
          </w:tcPr>
          <w:p w:rsidR="00FE7DBD" w:rsidRDefault="00FE7DBD">
            <w:r>
              <w:t>4,95</w:t>
            </w:r>
          </w:p>
        </w:tc>
      </w:tr>
      <w:tr w:rsidR="00FE7DBD" w:rsidTr="00623760">
        <w:tc>
          <w:tcPr>
            <w:tcW w:w="0" w:type="auto"/>
          </w:tcPr>
          <w:p w:rsidR="00FE7DBD" w:rsidRDefault="00FE7DBD">
            <w:r w:rsidRPr="00534EE3">
              <w:t xml:space="preserve">Acj6 </w:t>
            </w:r>
            <w:proofErr w:type="spellStart"/>
            <w:r w:rsidRPr="00534EE3">
              <w:t>Hox</w:t>
            </w:r>
            <w:proofErr w:type="spellEnd"/>
          </w:p>
        </w:tc>
        <w:tc>
          <w:tcPr>
            <w:tcW w:w="0" w:type="auto"/>
          </w:tcPr>
          <w:p w:rsidR="00FE7DBD" w:rsidRDefault="00FE7DBD">
            <w:r>
              <w:t>C</w:t>
            </w:r>
            <w:r w:rsidRPr="00534EE3">
              <w:rPr>
                <w:u w:val="single"/>
              </w:rPr>
              <w:t>AATTA</w:t>
            </w:r>
            <w:r>
              <w:t>T</w:t>
            </w:r>
          </w:p>
        </w:tc>
        <w:tc>
          <w:tcPr>
            <w:tcW w:w="0" w:type="auto"/>
          </w:tcPr>
          <w:p w:rsidR="00FE7DBD" w:rsidRDefault="00FE7DBD">
            <w:r>
              <w:t>100%</w:t>
            </w:r>
          </w:p>
        </w:tc>
        <w:tc>
          <w:tcPr>
            <w:tcW w:w="0" w:type="auto"/>
          </w:tcPr>
          <w:p w:rsidR="00FE7DBD" w:rsidRDefault="00FE7DBD">
            <w:r w:rsidRPr="00534EE3">
              <w:t>6,88</w:t>
            </w:r>
          </w:p>
        </w:tc>
        <w:tc>
          <w:tcPr>
            <w:tcW w:w="0" w:type="auto"/>
          </w:tcPr>
          <w:p w:rsidR="00FE7DBD" w:rsidRDefault="00FE7DBD">
            <w:r>
              <w:t>5,50</w:t>
            </w:r>
          </w:p>
        </w:tc>
      </w:tr>
      <w:tr w:rsidR="00FE7DBD" w:rsidTr="00623760">
        <w:tc>
          <w:tcPr>
            <w:tcW w:w="0" w:type="auto"/>
          </w:tcPr>
          <w:p w:rsidR="00FE7DBD" w:rsidRPr="00534EE3" w:rsidRDefault="00FE7DBD">
            <w:r>
              <w:t xml:space="preserve">Acj6 </w:t>
            </w:r>
            <w:proofErr w:type="spellStart"/>
            <w:r>
              <w:t>Pou</w:t>
            </w:r>
            <w:proofErr w:type="spellEnd"/>
          </w:p>
        </w:tc>
        <w:tc>
          <w:tcPr>
            <w:tcW w:w="0" w:type="auto"/>
          </w:tcPr>
          <w:p w:rsidR="00FE7DBD" w:rsidRDefault="00FE7DBD">
            <w:r>
              <w:t>TGCAT/A</w:t>
            </w:r>
          </w:p>
        </w:tc>
        <w:tc>
          <w:tcPr>
            <w:tcW w:w="0" w:type="auto"/>
          </w:tcPr>
          <w:p w:rsidR="00FE7DBD" w:rsidRDefault="00FE7DBD">
            <w:r>
              <w:t>100%</w:t>
            </w:r>
          </w:p>
        </w:tc>
        <w:tc>
          <w:tcPr>
            <w:tcW w:w="0" w:type="auto"/>
          </w:tcPr>
          <w:p w:rsidR="00FE7DBD" w:rsidRPr="00534EE3" w:rsidRDefault="00FE7DBD">
            <w:r w:rsidRPr="00534EE3">
              <w:t>12,94</w:t>
            </w:r>
          </w:p>
        </w:tc>
        <w:tc>
          <w:tcPr>
            <w:tcW w:w="0" w:type="auto"/>
          </w:tcPr>
          <w:p w:rsidR="00FE7DBD" w:rsidRDefault="00FE7DBD">
            <w:r w:rsidRPr="00534EE3">
              <w:t>13,7</w:t>
            </w:r>
          </w:p>
        </w:tc>
      </w:tr>
    </w:tbl>
    <w:p w:rsidR="000D7048" w:rsidRDefault="000D7048"/>
    <w:p w:rsidR="008C7291" w:rsidRPr="000D7048" w:rsidRDefault="000D7048" w:rsidP="000D7048">
      <w:pPr>
        <w:ind w:left="-142" w:right="2839"/>
        <w:rPr>
          <w:sz w:val="20"/>
          <w:szCs w:val="20"/>
        </w:rPr>
      </w:pPr>
      <w:r w:rsidRPr="000D7048">
        <w:rPr>
          <w:sz w:val="20"/>
          <w:szCs w:val="20"/>
        </w:rPr>
        <w:t>Core motif sequences used in bioinformatics search are mentioned. Each core motif was identified upstream of all analyzed ORs Except for E-box that was not found in the upstream region of Or19a.</w:t>
      </w:r>
    </w:p>
    <w:sectPr w:rsidR="008C7291" w:rsidRPr="000D70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59"/>
    <w:rsid w:val="000D7048"/>
    <w:rsid w:val="00244ED0"/>
    <w:rsid w:val="003A5313"/>
    <w:rsid w:val="003C6E59"/>
    <w:rsid w:val="00534EE3"/>
    <w:rsid w:val="00771E88"/>
    <w:rsid w:val="00864B2C"/>
    <w:rsid w:val="008C7291"/>
    <w:rsid w:val="009201F7"/>
    <w:rsid w:val="00B37635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Alenius</dc:creator>
  <cp:lastModifiedBy>Mattias Alenius</cp:lastModifiedBy>
  <cp:revision>7</cp:revision>
  <cp:lastPrinted>2014-09-11T13:21:00Z</cp:lastPrinted>
  <dcterms:created xsi:type="dcterms:W3CDTF">2014-08-26T13:53:00Z</dcterms:created>
  <dcterms:modified xsi:type="dcterms:W3CDTF">2014-10-08T14:37:00Z</dcterms:modified>
</cp:coreProperties>
</file>