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21" w:rsidRPr="007471DB" w:rsidRDefault="00F13D21" w:rsidP="00F13D21">
      <w:pPr>
        <w:spacing w:line="480" w:lineRule="auto"/>
        <w:contextualSpacing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Table S4. </w:t>
      </w:r>
      <w:r w:rsidRPr="007471DB">
        <w:rPr>
          <w:rFonts w:eastAsiaTheme="minorEastAsia"/>
          <w:b/>
          <w:sz w:val="24"/>
          <w:szCs w:val="24"/>
        </w:rPr>
        <w:t xml:space="preserve">Cell cycle parameters from synchronous cultures of LL and NLL homozygous diploid deletion </w:t>
      </w:r>
      <w:proofErr w:type="spellStart"/>
      <w:r w:rsidRPr="007471DB">
        <w:rPr>
          <w:rFonts w:eastAsiaTheme="minorEastAsia"/>
          <w:b/>
          <w:sz w:val="24"/>
          <w:szCs w:val="24"/>
        </w:rPr>
        <w:t>strains</w:t>
      </w:r>
      <w:r w:rsidRPr="007471DB">
        <w:rPr>
          <w:rFonts w:eastAsiaTheme="minorEastAsia"/>
          <w:b/>
          <w:sz w:val="24"/>
          <w:szCs w:val="24"/>
          <w:vertAlign w:val="superscript"/>
        </w:rPr>
        <w:t>a</w:t>
      </w:r>
      <w:proofErr w:type="spellEnd"/>
      <w:r w:rsidRPr="007471DB">
        <w:rPr>
          <w:rFonts w:eastAsiaTheme="minorEastAsia"/>
          <w:b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3"/>
        <w:gridCol w:w="1429"/>
        <w:gridCol w:w="2008"/>
        <w:gridCol w:w="1732"/>
        <w:gridCol w:w="1242"/>
      </w:tblGrid>
      <w:tr w:rsidR="00F13D21" w:rsidRPr="007471DB" w:rsidTr="00E643B9">
        <w:trPr>
          <w:trHeight w:val="1047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3D21" w:rsidRPr="00CA05A8" w:rsidRDefault="006D30B9" w:rsidP="00E643B9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hyperlink r:id="rId4" w:anchor="sorted_table" w:tooltip="Sort by this column" w:history="1">
              <w:r w:rsidR="00F13D21" w:rsidRPr="00CA05A8">
                <w:rPr>
                  <w:rFonts w:eastAsia="Times New Roman" w:cs="Times New Roman"/>
                  <w:b/>
                  <w:bCs/>
                  <w:sz w:val="24"/>
                  <w:szCs w:val="24"/>
                  <w:lang w:eastAsia="el-GR"/>
                </w:rPr>
                <w:t>Strain</w:t>
              </w:r>
            </w:hyperlink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F13D21" w:rsidRPr="00CA05A8" w:rsidRDefault="006D30B9" w:rsidP="00E643B9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hyperlink r:id="rId5" w:anchor="sorted_table" w:tooltip="Sort by this column" w:history="1">
              <w:r w:rsidR="00F13D21" w:rsidRPr="00CA05A8">
                <w:rPr>
                  <w:rFonts w:eastAsia="Times New Roman" w:cs="Times New Roman"/>
                  <w:b/>
                  <w:bCs/>
                  <w:sz w:val="24"/>
                  <w:szCs w:val="24"/>
                  <w:lang w:eastAsia="el-GR"/>
                </w:rPr>
                <w:t>Birth</w:t>
              </w:r>
            </w:hyperlink>
          </w:p>
          <w:p w:rsidR="00F13D21" w:rsidRPr="00CA05A8" w:rsidRDefault="006D30B9" w:rsidP="00E643B9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hyperlink r:id="rId6" w:anchor="sorted_table" w:tooltip="Sort by this column" w:history="1">
              <w:r w:rsidR="00F13D21">
                <w:rPr>
                  <w:rFonts w:eastAsia="Times New Roman" w:cs="Times New Roman"/>
                  <w:b/>
                  <w:bCs/>
                  <w:sz w:val="24"/>
                  <w:szCs w:val="24"/>
                  <w:lang w:eastAsia="el-GR"/>
                </w:rPr>
                <w:t>size (fL</w:t>
              </w:r>
              <w:r w:rsidR="00F13D21" w:rsidRPr="00CA05A8">
                <w:rPr>
                  <w:rFonts w:eastAsia="Times New Roman" w:cs="Times New Roman"/>
                  <w:b/>
                  <w:bCs/>
                  <w:sz w:val="24"/>
                  <w:szCs w:val="24"/>
                  <w:lang w:eastAsia="el-GR"/>
                </w:rPr>
                <w:t>)</w:t>
              </w:r>
            </w:hyperlink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F13D21" w:rsidRPr="00CA05A8" w:rsidRDefault="00F13D21" w:rsidP="00E643B9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CA05A8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el-GR"/>
              </w:rPr>
              <w:t>k</w:t>
            </w:r>
            <w:r w:rsidRPr="00CA05A8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hyperlink r:id="rId7" w:anchor="sorted_table" w:tooltip="Sort by this column" w:history="1">
              <w:r w:rsidRPr="00CA05A8">
                <w:rPr>
                  <w:rFonts w:eastAsia="Times New Roman" w:cs="Times New Roman"/>
                  <w:b/>
                  <w:bCs/>
                  <w:sz w:val="24"/>
                  <w:szCs w:val="24"/>
                  <w:lang w:eastAsia="el-GR"/>
                </w:rPr>
                <w:t>(specific rate of</w:t>
              </w:r>
            </w:hyperlink>
          </w:p>
          <w:p w:rsidR="00F13D21" w:rsidRPr="00CA05A8" w:rsidRDefault="006D30B9" w:rsidP="00E643B9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hyperlink r:id="rId8" w:anchor="sorted_table" w:tooltip="Sort by this column" w:history="1">
              <w:r w:rsidR="00F13D21" w:rsidRPr="00CA05A8">
                <w:rPr>
                  <w:rFonts w:eastAsia="Times New Roman" w:cs="Times New Roman"/>
                  <w:b/>
                  <w:bCs/>
                  <w:sz w:val="24"/>
                  <w:szCs w:val="24"/>
                  <w:lang w:eastAsia="el-GR"/>
                </w:rPr>
                <w:t>size increase (h</w:t>
              </w:r>
              <w:r w:rsidR="00F13D21" w:rsidRPr="00CA05A8">
                <w:rPr>
                  <w:rFonts w:eastAsia="Times New Roman" w:cs="Times New Roman"/>
                  <w:b/>
                  <w:bCs/>
                  <w:sz w:val="24"/>
                  <w:szCs w:val="24"/>
                  <w:vertAlign w:val="superscript"/>
                  <w:lang w:eastAsia="el-GR"/>
                </w:rPr>
                <w:t>-1</w:t>
              </w:r>
              <w:r w:rsidR="00F13D21" w:rsidRPr="00CA05A8">
                <w:rPr>
                  <w:rFonts w:eastAsia="Times New Roman" w:cs="Times New Roman"/>
                  <w:b/>
                  <w:bCs/>
                  <w:sz w:val="24"/>
                  <w:szCs w:val="24"/>
                  <w:lang w:eastAsia="el-GR"/>
                </w:rPr>
                <w:t>)</w:t>
              </w:r>
            </w:hyperlink>
            <w:r w:rsidR="00F13D21" w:rsidRPr="00CA05A8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3D21" w:rsidRPr="00CA05A8" w:rsidRDefault="006D30B9" w:rsidP="00E643B9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hyperlink r:id="rId9" w:anchor="sorted_table" w:tooltip="Sort by this column" w:history="1">
              <w:r w:rsidR="00F13D21">
                <w:rPr>
                  <w:rFonts w:eastAsia="Times New Roman" w:cs="Times New Roman"/>
                  <w:b/>
                  <w:bCs/>
                  <w:sz w:val="24"/>
                  <w:szCs w:val="24"/>
                  <w:lang w:eastAsia="el-GR"/>
                </w:rPr>
                <w:t>Critical Size (fL</w:t>
              </w:r>
              <w:r w:rsidR="00F13D21" w:rsidRPr="00CA05A8">
                <w:rPr>
                  <w:rFonts w:eastAsia="Times New Roman" w:cs="Times New Roman"/>
                  <w:b/>
                  <w:bCs/>
                  <w:sz w:val="24"/>
                  <w:szCs w:val="24"/>
                  <w:lang w:eastAsia="el-GR"/>
                </w:rPr>
                <w:t>)</w:t>
              </w:r>
            </w:hyperlink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3D21" w:rsidRPr="00CA05A8" w:rsidRDefault="006D30B9" w:rsidP="00E643B9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hyperlink r:id="rId10" w:anchor="sorted_table" w:tooltip="Sort by this column" w:history="1">
              <w:r w:rsidR="00F13D21" w:rsidRPr="00CA05A8">
                <w:rPr>
                  <w:rFonts w:eastAsia="Times New Roman" w:cs="Times New Roman"/>
                  <w:b/>
                  <w:bCs/>
                  <w:sz w:val="24"/>
                  <w:szCs w:val="24"/>
                  <w:lang w:eastAsia="el-GR"/>
                </w:rPr>
                <w:t>Estimated</w:t>
              </w:r>
            </w:hyperlink>
          </w:p>
          <w:p w:rsidR="00F13D21" w:rsidRPr="00CA05A8" w:rsidRDefault="006D30B9" w:rsidP="00E643B9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hyperlink r:id="rId11" w:anchor="sorted_table" w:tooltip="Sort by this column" w:history="1">
              <w:r w:rsidR="00F13D21" w:rsidRPr="00CA05A8">
                <w:rPr>
                  <w:rFonts w:eastAsia="Times New Roman" w:cs="Times New Roman"/>
                  <w:b/>
                  <w:bCs/>
                  <w:sz w:val="24"/>
                  <w:szCs w:val="24"/>
                  <w:lang w:eastAsia="el-GR"/>
                </w:rPr>
                <w:t>G1 (T</w:t>
              </w:r>
              <w:r w:rsidR="00F13D21" w:rsidRPr="00CA05A8">
                <w:rPr>
                  <w:rFonts w:eastAsia="Times New Roman" w:cs="Times New Roman"/>
                  <w:b/>
                  <w:bCs/>
                  <w:sz w:val="24"/>
                  <w:szCs w:val="24"/>
                  <w:vertAlign w:val="subscript"/>
                  <w:lang w:eastAsia="el-GR"/>
                </w:rPr>
                <w:t>G1</w:t>
              </w:r>
              <w:r w:rsidR="00F13D21" w:rsidRPr="00CA05A8">
                <w:rPr>
                  <w:rFonts w:eastAsia="Times New Roman" w:cs="Times New Roman"/>
                  <w:b/>
                  <w:bCs/>
                  <w:sz w:val="24"/>
                  <w:szCs w:val="24"/>
                  <w:lang w:eastAsia="el-GR"/>
                </w:rPr>
                <w:t>, h)</w:t>
              </w:r>
            </w:hyperlink>
          </w:p>
        </w:tc>
      </w:tr>
      <w:tr w:rsidR="00F13D21" w:rsidRPr="007471DB" w:rsidTr="00E643B9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l-GR"/>
              </w:rPr>
              <w:t>LL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idh2Δ</w:t>
            </w: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39.68±2.38</w:t>
            </w:r>
            <w:r w:rsidRPr="007471DB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el-GR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0.221±0.041</w:t>
            </w:r>
            <w:r w:rsidRPr="00B5425E">
              <w:rPr>
                <w:rFonts w:eastAsia="Times New Roman" w:cs="Arial"/>
                <w:b/>
                <w:sz w:val="24"/>
                <w:szCs w:val="24"/>
                <w:vertAlign w:val="superscript"/>
                <w:lang w:eastAsia="el-GR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62.24±3.64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1.72</w:t>
            </w:r>
            <w:r w:rsidRPr="007471DB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el-GR"/>
              </w:rPr>
              <w:t>d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hxk2</w:t>
            </w: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sym w:font="Symbol" w:char="F044"/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25.93</w:t>
            </w: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sym w:font="Symbol" w:char="F0B1"/>
            </w: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2.30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sz w:val="24"/>
                <w:szCs w:val="24"/>
                <w:lang w:eastAsia="el-GR"/>
              </w:rPr>
              <w:t>0.282</w:t>
            </w:r>
            <w:r w:rsidRPr="007471DB">
              <w:rPr>
                <w:rFonts w:eastAsia="Times New Roman" w:cs="Arial"/>
                <w:sz w:val="24"/>
                <w:szCs w:val="24"/>
                <w:lang w:eastAsia="el-GR"/>
              </w:rPr>
              <w:sym w:font="Symbol" w:char="F0B1"/>
            </w:r>
            <w:r w:rsidRPr="007471DB">
              <w:rPr>
                <w:rFonts w:eastAsia="Times New Roman" w:cs="Arial"/>
                <w:sz w:val="24"/>
                <w:szCs w:val="24"/>
                <w:lang w:eastAsia="el-GR"/>
              </w:rPr>
              <w:t>0.011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D21" w:rsidRPr="00732696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el-GR"/>
              </w:rPr>
            </w:pPr>
            <w:r w:rsidRPr="00732696">
              <w:rPr>
                <w:rFonts w:eastAsia="Times New Roman" w:cs="Arial"/>
                <w:sz w:val="24"/>
                <w:szCs w:val="24"/>
                <w:lang w:eastAsia="el-GR"/>
              </w:rPr>
              <w:t>65.45</w:t>
            </w:r>
            <w:r w:rsidRPr="00732696">
              <w:rPr>
                <w:rFonts w:eastAsia="Times New Roman" w:cs="Arial"/>
                <w:sz w:val="24"/>
                <w:szCs w:val="24"/>
                <w:lang w:eastAsia="el-GR"/>
              </w:rPr>
              <w:sym w:font="Symbol" w:char="F0B1"/>
            </w:r>
            <w:r w:rsidRPr="00732696">
              <w:rPr>
                <w:rFonts w:eastAsia="Times New Roman" w:cs="Arial"/>
                <w:sz w:val="24"/>
                <w:szCs w:val="24"/>
                <w:lang w:eastAsia="el-GR"/>
              </w:rPr>
              <w:t>1.66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3.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06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lpd1</w:t>
            </w: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sym w:font="Symbol" w:char="F044"/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28.86</w:t>
            </w: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sym w:font="Symbol" w:char="F0B1"/>
            </w: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2.86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0.139</w:t>
            </w: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sym w:font="Symbol" w:char="F0B1"/>
            </w: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0.010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54.41</w:t>
            </w: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sym w:font="Symbol" w:char="F0B1"/>
            </w: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2.21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4.5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tor1Δ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sz w:val="24"/>
                <w:szCs w:val="24"/>
                <w:lang w:eastAsia="el-GR"/>
              </w:rPr>
              <w:t>43.15±0.14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0.248±0.008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65.11±3.53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1.53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sch9Δ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35.85±0.99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0.233±0.020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63.24±1.00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2.32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ubr2Δ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35.78±2.69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0.292±0.016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58.00±1.16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1.73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sgf73Δ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36.51±1.01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0.240±0.016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55.28±0.33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1.73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rpp2bΔ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40.64±4.09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0.299±0.025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62.77±1.50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1.35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rei1Δ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35.33±2.12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0.194±0.024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61.2±1.90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2.86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tat2∆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37.31±2.01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sz w:val="24"/>
                <w:szCs w:val="24"/>
                <w:lang w:eastAsia="el-GR"/>
              </w:rPr>
              <w:t>0.301±0.015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61.22±2.07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1.65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spt4Δ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34.75±1.20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0.237±0.017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58.73±1.39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2.41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rpl22aΔ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32.37±1.31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0.219±0.022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63.08±2.29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2.93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rpl29Δ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37.86±1.54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0.231±0.022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59.90±1.10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2.1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rpl20bΔ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32.80±0.72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0.262±0.005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60.56±0.97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2.25</w:t>
            </w:r>
          </w:p>
        </w:tc>
      </w:tr>
      <w:tr w:rsidR="00F13D21" w:rsidRPr="007471DB" w:rsidTr="00E643B9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l-GR"/>
              </w:rPr>
              <w:t>NLL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BY4743</w:t>
            </w:r>
            <w:r w:rsidRPr="00B5425E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el-GR"/>
              </w:rPr>
              <w:t>e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42.12±1.23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0.282±0.013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61.53±.78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1.35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lastRenderedPageBreak/>
              <w:t>rps0bΔ</w:t>
            </w:r>
            <w:r w:rsidRPr="00B5425E">
              <w:rPr>
                <w:rFonts w:eastAsia="Times New Roman" w:cs="Arial"/>
                <w:i/>
                <w:color w:val="000000"/>
                <w:sz w:val="24"/>
                <w:szCs w:val="24"/>
                <w:vertAlign w:val="superscript"/>
                <w:lang w:eastAsia="el-GR"/>
              </w:rPr>
              <w:t>e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34.53±1.89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0.238±0.008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70.06±1.90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2.88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ylr454wΔ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43.87±2.41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0.289±0.017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61.32±0.98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1.35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tda1Δ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41.31±4.95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0.282±0.022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60.41±1.50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1.35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yal054cΔ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40.40±4.09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0.285±0.007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61.49±1.34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1.35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his7Δ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42.52±1.01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0.280±0.005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61.96±3.08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1.35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rps27bΔ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44.29±0.97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0.272±0.022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62.79±0.71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1.35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sfp1Δ</w:t>
            </w:r>
            <w:r w:rsidRPr="00B5425E">
              <w:rPr>
                <w:rFonts w:eastAsia="Times New Roman" w:cs="Arial"/>
                <w:i/>
                <w:color w:val="000000"/>
                <w:sz w:val="24"/>
                <w:szCs w:val="24"/>
                <w:vertAlign w:val="superscript"/>
                <w:lang w:eastAsia="el-GR"/>
              </w:rPr>
              <w:t>e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16.04±0.62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0.145±0.013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39.23±0.0.53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6.17</w:t>
            </w:r>
          </w:p>
        </w:tc>
      </w:tr>
      <w:tr w:rsidR="00F13D21" w:rsidRPr="007471DB" w:rsidTr="00E643B9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rpl7bΔ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43.05±1.70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0.264±0.016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60.90±2.10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1.35</w:t>
            </w:r>
          </w:p>
        </w:tc>
      </w:tr>
      <w:tr w:rsidR="00F13D21" w:rsidRPr="007471DB" w:rsidTr="00E643B9">
        <w:trPr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rpl34aΔ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42.60±0.93</w:t>
            </w:r>
          </w:p>
        </w:tc>
        <w:tc>
          <w:tcPr>
            <w:tcW w:w="0" w:type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0.276±0.038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59.94±1.07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1.35</w:t>
            </w:r>
          </w:p>
        </w:tc>
      </w:tr>
      <w:tr w:rsidR="00F13D21" w:rsidRPr="007471DB" w:rsidTr="00E643B9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gpa1Δ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24.86±0.81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0.199±0.008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39.10±1.68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2.28</w:t>
            </w:r>
          </w:p>
        </w:tc>
      </w:tr>
      <w:tr w:rsidR="00F13D21" w:rsidRPr="007471DB" w:rsidTr="00E643B9">
        <w:trPr>
          <w:trHeight w:val="570"/>
        </w:trPr>
        <w:tc>
          <w:tcPr>
            <w:tcW w:w="0" w:type="auto"/>
            <w:shd w:val="clear" w:color="auto" w:fill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adk1</w:t>
            </w: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sym w:font="Symbol" w:char="F044"/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65.29±1.09</w:t>
            </w:r>
          </w:p>
        </w:tc>
        <w:tc>
          <w:tcPr>
            <w:tcW w:w="0" w:type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0.210±0.009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102.85±5.73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2.1</w:t>
            </w:r>
          </w:p>
        </w:tc>
      </w:tr>
      <w:tr w:rsidR="00F13D21" w:rsidRPr="007471DB" w:rsidTr="00E643B9">
        <w:trPr>
          <w:trHeight w:val="464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t>dpb4</w:t>
            </w:r>
            <w:r w:rsidRPr="007471DB">
              <w:rPr>
                <w:rFonts w:eastAsia="Times New Roman" w:cs="Arial"/>
                <w:i/>
                <w:color w:val="000000"/>
                <w:sz w:val="24"/>
                <w:szCs w:val="24"/>
                <w:lang w:eastAsia="el-GR"/>
              </w:rPr>
              <w:sym w:font="Symbol" w:char="F044"/>
            </w:r>
            <w:r w:rsidRPr="00B3545D">
              <w:rPr>
                <w:rFonts w:eastAsia="Times New Roman" w:cs="Arial"/>
                <w:i/>
                <w:color w:val="000000"/>
                <w:sz w:val="24"/>
                <w:szCs w:val="24"/>
                <w:vertAlign w:val="superscript"/>
                <w:lang w:eastAsia="el-GR"/>
              </w:rPr>
              <w:t>f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49.92±0.89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0.316±0.016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3D21" w:rsidRPr="00B5425E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5425E">
              <w:rPr>
                <w:rFonts w:eastAsia="Times New Roman" w:cs="Arial"/>
                <w:b/>
                <w:sz w:val="24"/>
                <w:szCs w:val="24"/>
                <w:lang w:eastAsia="el-GR"/>
              </w:rPr>
              <w:t>64.38±1.08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3D21" w:rsidRPr="007471DB" w:rsidRDefault="00F13D21" w:rsidP="00E643B9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471DB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0.82</w:t>
            </w:r>
          </w:p>
        </w:tc>
      </w:tr>
    </w:tbl>
    <w:p w:rsidR="00F13D21" w:rsidRPr="007471DB" w:rsidRDefault="00F13D21" w:rsidP="00F13D21">
      <w:pPr>
        <w:spacing w:line="480" w:lineRule="auto"/>
        <w:ind w:left="720"/>
        <w:contextualSpacing/>
        <w:rPr>
          <w:rFonts w:eastAsiaTheme="minorEastAsia"/>
          <w:sz w:val="24"/>
          <w:szCs w:val="24"/>
        </w:rPr>
      </w:pPr>
      <w:r w:rsidRPr="007471DB">
        <w:rPr>
          <w:rFonts w:eastAsiaTheme="minorEastAsia"/>
          <w:sz w:val="24"/>
          <w:szCs w:val="24"/>
        </w:rPr>
        <w:br w:type="textWrapping" w:clear="all"/>
      </w:r>
    </w:p>
    <w:p w:rsidR="00F13D21" w:rsidRPr="007471DB" w:rsidRDefault="00F13D21" w:rsidP="00F13D21">
      <w:pPr>
        <w:spacing w:line="480" w:lineRule="auto"/>
        <w:rPr>
          <w:rFonts w:eastAsiaTheme="minorEastAsia"/>
          <w:sz w:val="24"/>
          <w:szCs w:val="24"/>
        </w:rPr>
      </w:pPr>
      <w:proofErr w:type="spellStart"/>
      <w:proofErr w:type="gramStart"/>
      <w:r w:rsidRPr="007471DB">
        <w:rPr>
          <w:rFonts w:eastAsiaTheme="minorEastAsia"/>
          <w:sz w:val="24"/>
          <w:szCs w:val="24"/>
          <w:vertAlign w:val="superscript"/>
        </w:rPr>
        <w:t>a</w:t>
      </w:r>
      <w:r w:rsidRPr="007471DB">
        <w:rPr>
          <w:rFonts w:eastAsiaTheme="minorEastAsia"/>
          <w:sz w:val="24"/>
          <w:szCs w:val="24"/>
        </w:rPr>
        <w:t>All</w:t>
      </w:r>
      <w:proofErr w:type="spellEnd"/>
      <w:proofErr w:type="gramEnd"/>
      <w:r w:rsidRPr="007471DB">
        <w:rPr>
          <w:rFonts w:eastAsiaTheme="minorEastAsia"/>
          <w:sz w:val="24"/>
          <w:szCs w:val="24"/>
        </w:rPr>
        <w:t xml:space="preserve"> the strains were in the homozygous diploid BY4743 background, and they were examined in YPD (2% Dextrose) medium. All the strains were examined in at least 3 independent experiments, and in each experiment a technical duplicate was evaluated.</w:t>
      </w:r>
    </w:p>
    <w:p w:rsidR="00F13D21" w:rsidRPr="007471DB" w:rsidRDefault="00F13D21" w:rsidP="00F13D21">
      <w:pPr>
        <w:spacing w:line="480" w:lineRule="auto"/>
        <w:rPr>
          <w:rFonts w:eastAsiaTheme="minorEastAsia"/>
          <w:sz w:val="24"/>
          <w:szCs w:val="24"/>
        </w:rPr>
      </w:pPr>
      <w:proofErr w:type="spellStart"/>
      <w:proofErr w:type="gramStart"/>
      <w:r w:rsidRPr="007471DB">
        <w:rPr>
          <w:rFonts w:eastAsiaTheme="minorEastAsia"/>
          <w:sz w:val="24"/>
          <w:szCs w:val="24"/>
          <w:vertAlign w:val="superscript"/>
        </w:rPr>
        <w:t>b</w:t>
      </w:r>
      <w:r w:rsidRPr="007471DB">
        <w:rPr>
          <w:rFonts w:eastAsiaTheme="minorEastAsia"/>
          <w:sz w:val="24"/>
          <w:szCs w:val="24"/>
        </w:rPr>
        <w:t>The</w:t>
      </w:r>
      <w:proofErr w:type="spellEnd"/>
      <w:proofErr w:type="gramEnd"/>
      <w:r w:rsidRPr="007471DB">
        <w:rPr>
          <w:rFonts w:eastAsiaTheme="minorEastAsia"/>
          <w:sz w:val="24"/>
          <w:szCs w:val="24"/>
        </w:rPr>
        <w:t xml:space="preserve"> average and standard deviation are shown in each case. </w:t>
      </w:r>
    </w:p>
    <w:p w:rsidR="00F13D21" w:rsidRPr="007471DB" w:rsidRDefault="00F13D21" w:rsidP="00F13D21">
      <w:pPr>
        <w:spacing w:line="480" w:lineRule="auto"/>
        <w:rPr>
          <w:rFonts w:eastAsiaTheme="minorEastAsia"/>
          <w:sz w:val="24"/>
          <w:szCs w:val="24"/>
        </w:rPr>
      </w:pPr>
      <w:proofErr w:type="spellStart"/>
      <w:proofErr w:type="gramStart"/>
      <w:r w:rsidRPr="007471DB">
        <w:rPr>
          <w:rFonts w:eastAsiaTheme="minorEastAsia"/>
          <w:sz w:val="24"/>
          <w:szCs w:val="24"/>
          <w:vertAlign w:val="superscript"/>
        </w:rPr>
        <w:t>c</w:t>
      </w:r>
      <w:r w:rsidRPr="007471DB">
        <w:rPr>
          <w:rFonts w:eastAsiaTheme="minorEastAsia"/>
          <w:sz w:val="24"/>
          <w:szCs w:val="24"/>
        </w:rPr>
        <w:t>Values</w:t>
      </w:r>
      <w:proofErr w:type="spellEnd"/>
      <w:proofErr w:type="gramEnd"/>
      <w:r w:rsidRPr="007471DB">
        <w:rPr>
          <w:rFonts w:eastAsiaTheme="minorEastAsia"/>
          <w:sz w:val="24"/>
          <w:szCs w:val="24"/>
        </w:rPr>
        <w:t xml:space="preserve"> shown in </w:t>
      </w:r>
      <w:r>
        <w:rPr>
          <w:rFonts w:eastAsiaTheme="minorEastAsia"/>
          <w:sz w:val="24"/>
          <w:szCs w:val="24"/>
        </w:rPr>
        <w:t>bold</w:t>
      </w:r>
      <w:r w:rsidRPr="007471DB">
        <w:rPr>
          <w:rFonts w:eastAsiaTheme="minorEastAsia"/>
          <w:sz w:val="24"/>
          <w:szCs w:val="24"/>
        </w:rPr>
        <w:t xml:space="preserve"> differ significantly from the same value of the wild type reference strain (p&lt;0.05; unpaired, 2-tail </w:t>
      </w:r>
      <w:r w:rsidRPr="007471DB">
        <w:rPr>
          <w:rFonts w:eastAsiaTheme="minorEastAsia"/>
          <w:i/>
          <w:sz w:val="24"/>
          <w:szCs w:val="24"/>
        </w:rPr>
        <w:t>t</w:t>
      </w:r>
      <w:r w:rsidRPr="007471DB">
        <w:rPr>
          <w:rFonts w:eastAsiaTheme="minorEastAsia"/>
          <w:sz w:val="24"/>
          <w:szCs w:val="24"/>
        </w:rPr>
        <w:t xml:space="preserve"> test, assuming unequal variance). The </w:t>
      </w:r>
      <w:r>
        <w:rPr>
          <w:rFonts w:eastAsiaTheme="minorEastAsia"/>
          <w:sz w:val="24"/>
          <w:szCs w:val="24"/>
        </w:rPr>
        <w:t xml:space="preserve">p </w:t>
      </w:r>
      <w:r w:rsidRPr="007471DB">
        <w:rPr>
          <w:rFonts w:eastAsiaTheme="minorEastAsia"/>
          <w:sz w:val="24"/>
          <w:szCs w:val="24"/>
        </w:rPr>
        <w:t>values associated with each test were calculated with the corresponding function in Microsoft Excel.</w:t>
      </w:r>
    </w:p>
    <w:p w:rsidR="00F13D21" w:rsidRDefault="00F13D21" w:rsidP="00F13D21">
      <w:pPr>
        <w:spacing w:line="480" w:lineRule="auto"/>
        <w:rPr>
          <w:rFonts w:eastAsiaTheme="minorEastAsia"/>
          <w:sz w:val="24"/>
          <w:szCs w:val="24"/>
        </w:rPr>
      </w:pPr>
      <w:proofErr w:type="spellStart"/>
      <w:proofErr w:type="gramStart"/>
      <w:r w:rsidRPr="007471DB">
        <w:rPr>
          <w:rFonts w:eastAsiaTheme="minorEastAsia"/>
          <w:sz w:val="24"/>
          <w:szCs w:val="24"/>
          <w:vertAlign w:val="superscript"/>
        </w:rPr>
        <w:lastRenderedPageBreak/>
        <w:t>d</w:t>
      </w:r>
      <w:r w:rsidRPr="007471DB">
        <w:rPr>
          <w:rFonts w:eastAsiaTheme="minorEastAsia"/>
          <w:sz w:val="24"/>
          <w:szCs w:val="24"/>
        </w:rPr>
        <w:t>These</w:t>
      </w:r>
      <w:proofErr w:type="spellEnd"/>
      <w:proofErr w:type="gramEnd"/>
      <w:r w:rsidRPr="007471DB">
        <w:rPr>
          <w:rFonts w:eastAsiaTheme="minorEastAsia"/>
          <w:sz w:val="24"/>
          <w:szCs w:val="24"/>
        </w:rPr>
        <w:t xml:space="preserve"> are G1 estimates from the formula: G1(hours)=Ln(Critical size/Birth size)/</w:t>
      </w:r>
      <w:r w:rsidRPr="007471DB">
        <w:rPr>
          <w:rFonts w:eastAsiaTheme="minorEastAsia"/>
          <w:i/>
          <w:sz w:val="24"/>
          <w:szCs w:val="24"/>
        </w:rPr>
        <w:t>k</w:t>
      </w:r>
      <w:r w:rsidRPr="007471DB">
        <w:rPr>
          <w:rFonts w:eastAsiaTheme="minorEastAsia"/>
          <w:sz w:val="24"/>
          <w:szCs w:val="24"/>
        </w:rPr>
        <w:t xml:space="preserve">, assuming an exponential mode of growth. </w:t>
      </w:r>
      <w:r>
        <w:rPr>
          <w:rFonts w:eastAsiaTheme="minorEastAsia"/>
          <w:sz w:val="24"/>
          <w:szCs w:val="24"/>
        </w:rPr>
        <w:t xml:space="preserve">Note that these values reflect the G1 length of newborn daughter cells. </w:t>
      </w:r>
      <w:r w:rsidRPr="007471DB">
        <w:rPr>
          <w:rFonts w:eastAsiaTheme="minorEastAsia"/>
          <w:sz w:val="24"/>
          <w:szCs w:val="24"/>
        </w:rPr>
        <w:t xml:space="preserve">For G1 length calculations, the errors (± </w:t>
      </w:r>
      <w:proofErr w:type="gramStart"/>
      <w:r w:rsidRPr="007471DB">
        <w:rPr>
          <w:rFonts w:eastAsiaTheme="minorEastAsia"/>
          <w:sz w:val="24"/>
          <w:szCs w:val="24"/>
        </w:rPr>
        <w:t>sd</w:t>
      </w:r>
      <w:proofErr w:type="gramEnd"/>
      <w:r w:rsidRPr="007471DB">
        <w:rPr>
          <w:rFonts w:eastAsiaTheme="minorEastAsia"/>
          <w:sz w:val="24"/>
          <w:szCs w:val="24"/>
        </w:rPr>
        <w:t>) were not propagated, and any parameter that was not significantly different from the same parameter of the wild type reference strain was assigned the wild type value.</w:t>
      </w:r>
    </w:p>
    <w:p w:rsidR="00F13D21" w:rsidRDefault="00F13D21" w:rsidP="00F13D21">
      <w:pPr>
        <w:spacing w:line="480" w:lineRule="auto"/>
        <w:rPr>
          <w:rFonts w:eastAsiaTheme="minorEastAsia"/>
          <w:sz w:val="24"/>
          <w:szCs w:val="24"/>
        </w:rPr>
      </w:pPr>
      <w:proofErr w:type="spellStart"/>
      <w:proofErr w:type="gramStart"/>
      <w:r w:rsidRPr="00B3545D">
        <w:rPr>
          <w:rFonts w:eastAsiaTheme="minorEastAsia"/>
          <w:sz w:val="24"/>
          <w:szCs w:val="24"/>
          <w:vertAlign w:val="superscript"/>
        </w:rPr>
        <w:t>e</w:t>
      </w:r>
      <w:r>
        <w:rPr>
          <w:rFonts w:eastAsiaTheme="minorEastAsia"/>
          <w:sz w:val="24"/>
          <w:szCs w:val="24"/>
        </w:rPr>
        <w:t>The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values of these strains were obtained from </w:t>
      </w:r>
      <w:r>
        <w:rPr>
          <w:rFonts w:eastAsiaTheme="minorEastAsia"/>
          <w:sz w:val="24"/>
          <w:szCs w:val="24"/>
        </w:rPr>
        <w:fldChar w:fldCharType="begin">
          <w:fldData xml:space="preserve">PEVuZE5vdGU+PENpdGU+PEF1dGhvcj5Ib29zZTwvQXV0aG9yPjxZZWFyPjIwMTI8L1llYXI+PFJl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</w:fldData>
        </w:fldChar>
      </w:r>
      <w:r>
        <w:rPr>
          <w:rFonts w:eastAsiaTheme="minorEastAsia"/>
          <w:sz w:val="24"/>
          <w:szCs w:val="24"/>
        </w:rPr>
        <w:instrText xml:space="preserve"> ADDIN EN.CITE </w:instrText>
      </w:r>
      <w:r>
        <w:rPr>
          <w:rFonts w:eastAsiaTheme="minorEastAsia"/>
          <w:sz w:val="24"/>
          <w:szCs w:val="24"/>
        </w:rPr>
        <w:fldChar w:fldCharType="begin">
          <w:fldData xml:space="preserve">PEVuZE5vdGU+PENpdGU+PEF1dGhvcj5Ib29zZTwvQXV0aG9yPjxZZWFyPjIwMTI8L1llYXI+PFJl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</w:fldData>
        </w:fldChar>
      </w:r>
      <w:r>
        <w:rPr>
          <w:rFonts w:eastAsiaTheme="minorEastAsia"/>
          <w:sz w:val="24"/>
          <w:szCs w:val="24"/>
        </w:rPr>
        <w:instrText xml:space="preserve"> ADDIN EN.CITE.DATA </w:instrText>
      </w:r>
      <w:r>
        <w:rPr>
          <w:rFonts w:eastAsiaTheme="minorEastAsia"/>
          <w:sz w:val="24"/>
          <w:szCs w:val="24"/>
        </w:rPr>
      </w:r>
      <w:r>
        <w:rPr>
          <w:rFonts w:eastAsiaTheme="minorEastAsia"/>
          <w:sz w:val="24"/>
          <w:szCs w:val="24"/>
        </w:rPr>
        <w:fldChar w:fldCharType="end"/>
      </w:r>
      <w:r>
        <w:rPr>
          <w:rFonts w:eastAsiaTheme="minorEastAsia"/>
          <w:sz w:val="24"/>
          <w:szCs w:val="24"/>
        </w:rPr>
      </w:r>
      <w:r>
        <w:rPr>
          <w:rFonts w:eastAsiaTheme="minorEastAsia"/>
          <w:sz w:val="24"/>
          <w:szCs w:val="24"/>
        </w:rPr>
        <w:fldChar w:fldCharType="separate"/>
      </w:r>
      <w:r>
        <w:rPr>
          <w:rFonts w:eastAsiaTheme="minorEastAsia"/>
          <w:noProof/>
          <w:sz w:val="24"/>
          <w:szCs w:val="24"/>
        </w:rPr>
        <w:t>[</w:t>
      </w:r>
      <w:hyperlink w:anchor="_ENREF_48" w:tooltip="Hoose, 2012 #4" w:history="1">
        <w:r>
          <w:rPr>
            <w:rFonts w:eastAsiaTheme="minorEastAsia"/>
            <w:noProof/>
            <w:sz w:val="24"/>
            <w:szCs w:val="24"/>
          </w:rPr>
          <w:t>48</w:t>
        </w:r>
      </w:hyperlink>
      <w:r>
        <w:rPr>
          <w:rFonts w:eastAsiaTheme="minorEastAsia"/>
          <w:noProof/>
          <w:sz w:val="24"/>
          <w:szCs w:val="24"/>
        </w:rPr>
        <w:t>]</w:t>
      </w:r>
      <w:r>
        <w:rPr>
          <w:rFonts w:eastAsiaTheme="minorEastAsia"/>
          <w:sz w:val="24"/>
          <w:szCs w:val="24"/>
        </w:rPr>
        <w:fldChar w:fldCharType="end"/>
      </w:r>
      <w:r>
        <w:rPr>
          <w:rFonts w:eastAsiaTheme="minorEastAsia"/>
          <w:sz w:val="24"/>
          <w:szCs w:val="24"/>
        </w:rPr>
        <w:t>.</w:t>
      </w:r>
    </w:p>
    <w:p w:rsidR="00CA4D54" w:rsidRDefault="00F13D21" w:rsidP="006D30B9">
      <w:pPr>
        <w:spacing w:line="480" w:lineRule="auto"/>
      </w:pPr>
      <w:proofErr w:type="spellStart"/>
      <w:proofErr w:type="gramStart"/>
      <w:r w:rsidRPr="00B3545D">
        <w:rPr>
          <w:rFonts w:eastAsiaTheme="minorEastAsia"/>
          <w:sz w:val="24"/>
          <w:szCs w:val="24"/>
          <w:vertAlign w:val="superscript"/>
        </w:rPr>
        <w:t>f</w:t>
      </w:r>
      <w:r>
        <w:rPr>
          <w:rFonts w:eastAsiaTheme="minorEastAsia"/>
          <w:sz w:val="24"/>
          <w:szCs w:val="24"/>
        </w:rPr>
        <w:t>The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values of this strain were obtained from</w:t>
      </w:r>
      <w:r w:rsidR="006D30B9">
        <w:rPr>
          <w:rFonts w:eastAsiaTheme="minorEastAsia"/>
          <w:sz w:val="24"/>
          <w:szCs w:val="24"/>
        </w:rPr>
        <w:t xml:space="preserve"> previously published values (see </w:t>
      </w:r>
      <w:proofErr w:type="spellStart"/>
      <w:r w:rsidR="006D30B9">
        <w:rPr>
          <w:rFonts w:eastAsiaTheme="minorEastAsia"/>
          <w:sz w:val="24"/>
          <w:szCs w:val="24"/>
        </w:rPr>
        <w:t>H</w:t>
      </w:r>
      <w:r w:rsidR="006D30B9" w:rsidRPr="006D30B9">
        <w:rPr>
          <w:rFonts w:eastAsiaTheme="minorEastAsia"/>
          <w:sz w:val="24"/>
          <w:szCs w:val="24"/>
        </w:rPr>
        <w:t>oose</w:t>
      </w:r>
      <w:proofErr w:type="spellEnd"/>
      <w:r w:rsidR="006D30B9" w:rsidRPr="006D30B9">
        <w:rPr>
          <w:rFonts w:eastAsiaTheme="minorEastAsia"/>
          <w:sz w:val="24"/>
          <w:szCs w:val="24"/>
        </w:rPr>
        <w:t xml:space="preserve"> SA, Trinh JT, Leitch MC, Kelly MM, McCormick RF, et al. (2013) Saccharomyces cerevisiae deletion strains with complex DNA content profiles. FEMS </w:t>
      </w:r>
      <w:proofErr w:type="spellStart"/>
      <w:r w:rsidR="006D30B9" w:rsidRPr="006D30B9">
        <w:rPr>
          <w:rFonts w:eastAsiaTheme="minorEastAsia"/>
          <w:sz w:val="24"/>
          <w:szCs w:val="24"/>
        </w:rPr>
        <w:t>Microbiol</w:t>
      </w:r>
      <w:proofErr w:type="spellEnd"/>
      <w:r w:rsidR="006D30B9" w:rsidRPr="006D30B9">
        <w:rPr>
          <w:rFonts w:eastAsiaTheme="minorEastAsia"/>
          <w:sz w:val="24"/>
          <w:szCs w:val="24"/>
        </w:rPr>
        <w:t xml:space="preserve"> </w:t>
      </w:r>
      <w:proofErr w:type="spellStart"/>
      <w:r w:rsidR="006D30B9" w:rsidRPr="006D30B9">
        <w:rPr>
          <w:rFonts w:eastAsiaTheme="minorEastAsia"/>
          <w:sz w:val="24"/>
          <w:szCs w:val="24"/>
        </w:rPr>
        <w:t>Lett</w:t>
      </w:r>
      <w:proofErr w:type="spellEnd"/>
      <w:r w:rsidR="006D30B9" w:rsidRPr="006D30B9">
        <w:rPr>
          <w:rFonts w:eastAsiaTheme="minorEastAsia"/>
          <w:sz w:val="24"/>
          <w:szCs w:val="24"/>
        </w:rPr>
        <w:t xml:space="preserve"> 345: 72-76.</w:t>
      </w:r>
      <w:r w:rsidR="006D30B9">
        <w:rPr>
          <w:rFonts w:eastAsiaTheme="minorEastAsia"/>
          <w:sz w:val="24"/>
          <w:szCs w:val="24"/>
        </w:rPr>
        <w:t>)</w:t>
      </w:r>
      <w:bookmarkStart w:id="0" w:name="_GoBack"/>
      <w:bookmarkEnd w:id="0"/>
    </w:p>
    <w:sectPr w:rsidR="00CA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21"/>
    <w:rsid w:val="00223250"/>
    <w:rsid w:val="006D30B9"/>
    <w:rsid w:val="007C0931"/>
    <w:rsid w:val="00F1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933CD-BBCF-4C9D-BF4E-EC0D5D0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ywiki.tamu.edu/wiki/bin/view/PolymenisLab/AgingElutriationExperiments?sortcol=3;table=1;up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olywiki.tamu.edu/wiki/bin/view/PolymenisLab/AgingElutriationExperiments?sortcol=3;table=1;up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ywiki.tamu.edu/wiki/bin/view/PolymenisLab/AgingElutriationExperiments?sortcol=4;table=1;up=0" TargetMode="External"/><Relationship Id="rId11" Type="http://schemas.openxmlformats.org/officeDocument/2006/relationships/hyperlink" Target="http://polywiki.tamu.edu/wiki/bin/view/PolymenisLab/AgingElutriationExperiments?sortcol=5;table=1;up=0" TargetMode="External"/><Relationship Id="rId5" Type="http://schemas.openxmlformats.org/officeDocument/2006/relationships/hyperlink" Target="http://polywiki.tamu.edu/wiki/bin/view/PolymenisLab/AgingElutriationExperiments?sortcol=4;table=1;up=0" TargetMode="External"/><Relationship Id="rId10" Type="http://schemas.openxmlformats.org/officeDocument/2006/relationships/hyperlink" Target="http://polywiki.tamu.edu/wiki/bin/view/PolymenisLab/AgingElutriationExperiments?sortcol=5;table=1;up=0" TargetMode="External"/><Relationship Id="rId4" Type="http://schemas.openxmlformats.org/officeDocument/2006/relationships/hyperlink" Target="http://polywiki.tamu.edu/wiki/bin/view/PolymenisLab/AgingElutriationExperiments?sortcol=0;table=1;up=0" TargetMode="External"/><Relationship Id="rId9" Type="http://schemas.openxmlformats.org/officeDocument/2006/relationships/hyperlink" Target="http://polywiki.tamu.edu/wiki/bin/view/PolymenisLab/AgingElutriationExperiments?sortcol=2;table=1;up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Polymenis</dc:creator>
  <cp:lastModifiedBy>Polymenis</cp:lastModifiedBy>
  <cp:revision>2</cp:revision>
  <dcterms:created xsi:type="dcterms:W3CDTF">2014-11-21T19:09:00Z</dcterms:created>
  <dcterms:modified xsi:type="dcterms:W3CDTF">2014-11-21T19:09:00Z</dcterms:modified>
</cp:coreProperties>
</file>