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B1" w:rsidRPr="001E4AD2" w:rsidRDefault="003058B1" w:rsidP="003058B1">
      <w:pPr>
        <w:rPr>
          <w:rFonts w:ascii="Times New Roman" w:hAnsi="Times New Roman" w:cs="Times New Roman"/>
        </w:rPr>
      </w:pPr>
      <w:r w:rsidRPr="008A4253">
        <w:rPr>
          <w:rFonts w:ascii="Arial" w:hAnsi="Arial" w:cs="Arial"/>
          <w:b/>
        </w:rPr>
        <w:t xml:space="preserve">Table </w:t>
      </w:r>
      <w:r w:rsidR="00404BC3">
        <w:rPr>
          <w:rFonts w:ascii="Arial" w:hAnsi="Arial" w:cs="Arial"/>
          <w:b/>
        </w:rPr>
        <w:t>S4</w:t>
      </w:r>
      <w:bookmarkStart w:id="0" w:name="_GoBack"/>
      <w:bookmarkEnd w:id="0"/>
      <w:r w:rsidRPr="008A4253">
        <w:rPr>
          <w:rFonts w:ascii="Arial" w:hAnsi="Arial" w:cs="Arial"/>
        </w:rPr>
        <w:t xml:space="preserve">. </w:t>
      </w:r>
      <w:r w:rsidRPr="00EA7F7E">
        <w:rPr>
          <w:rFonts w:ascii="Arial" w:eastAsia="SimSun" w:hAnsi="Arial" w:cs="Arial"/>
        </w:rPr>
        <w:t xml:space="preserve">Association between genome-wide significant metabolites and clinical endpoints among </w:t>
      </w:r>
      <w:r>
        <w:rPr>
          <w:rFonts w:ascii="Arial" w:eastAsia="SimSun" w:hAnsi="Arial" w:cs="Arial"/>
        </w:rPr>
        <w:t>ARIC African-Americans</w:t>
      </w:r>
    </w:p>
    <w:tbl>
      <w:tblPr>
        <w:tblStyle w:val="LightGrid"/>
        <w:tblW w:w="12888"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29"/>
        <w:gridCol w:w="1590"/>
        <w:gridCol w:w="1350"/>
        <w:gridCol w:w="1080"/>
        <w:gridCol w:w="1170"/>
        <w:gridCol w:w="1080"/>
        <w:gridCol w:w="1080"/>
        <w:gridCol w:w="1530"/>
        <w:gridCol w:w="1980"/>
      </w:tblGrid>
      <w:tr w:rsidR="003058B1" w:rsidRPr="003058B1" w:rsidTr="003E71C2">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028"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rPr>
                <w:rFonts w:ascii="Arial" w:hAnsi="Arial" w:cs="Arial"/>
                <w:sz w:val="20"/>
                <w:szCs w:val="20"/>
              </w:rPr>
            </w:pPr>
            <w:r w:rsidRPr="003058B1">
              <w:rPr>
                <w:rFonts w:ascii="Arial" w:hAnsi="Arial" w:cs="Arial"/>
                <w:sz w:val="20"/>
                <w:szCs w:val="20"/>
              </w:rPr>
              <w:t>Metabolite</w:t>
            </w:r>
          </w:p>
        </w:tc>
        <w:tc>
          <w:tcPr>
            <w:tcW w:w="1590"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8B1">
              <w:rPr>
                <w:rFonts w:ascii="Arial" w:hAnsi="Arial" w:cs="Arial"/>
                <w:sz w:val="20"/>
                <w:szCs w:val="20"/>
              </w:rPr>
              <w:t>Risk Factor</w:t>
            </w:r>
          </w:p>
        </w:tc>
        <w:tc>
          <w:tcPr>
            <w:tcW w:w="1350"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8B1">
              <w:rPr>
                <w:rFonts w:ascii="Arial" w:hAnsi="Arial" w:cs="Arial"/>
                <w:sz w:val="20"/>
                <w:szCs w:val="20"/>
              </w:rPr>
              <w:t>Clinical Endpoint</w:t>
            </w:r>
          </w:p>
        </w:tc>
        <w:tc>
          <w:tcPr>
            <w:tcW w:w="1080"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8B1">
              <w:rPr>
                <w:rFonts w:ascii="Arial" w:hAnsi="Arial" w:cs="Arial"/>
                <w:sz w:val="20"/>
                <w:szCs w:val="20"/>
              </w:rPr>
              <w:t>N</w:t>
            </w:r>
          </w:p>
        </w:tc>
        <w:tc>
          <w:tcPr>
            <w:tcW w:w="1170"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8B1">
              <w:rPr>
                <w:rFonts w:ascii="Arial" w:hAnsi="Arial" w:cs="Arial"/>
                <w:sz w:val="20"/>
                <w:szCs w:val="20"/>
              </w:rPr>
              <w:t>Beta</w:t>
            </w:r>
          </w:p>
        </w:tc>
        <w:tc>
          <w:tcPr>
            <w:tcW w:w="1080"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8B1">
              <w:rPr>
                <w:rFonts w:ascii="Arial" w:hAnsi="Arial" w:cs="Arial"/>
                <w:sz w:val="20"/>
                <w:szCs w:val="20"/>
              </w:rPr>
              <w:t>HR</w:t>
            </w:r>
          </w:p>
        </w:tc>
        <w:tc>
          <w:tcPr>
            <w:tcW w:w="1080"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8B1">
              <w:rPr>
                <w:rFonts w:ascii="Arial" w:hAnsi="Arial" w:cs="Arial"/>
                <w:sz w:val="20"/>
                <w:szCs w:val="20"/>
              </w:rPr>
              <w:t>SE</w:t>
            </w:r>
          </w:p>
        </w:tc>
        <w:tc>
          <w:tcPr>
            <w:tcW w:w="1530"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8B1">
              <w:rPr>
                <w:rFonts w:ascii="Arial" w:hAnsi="Arial" w:cs="Arial"/>
                <w:sz w:val="20"/>
                <w:szCs w:val="20"/>
              </w:rPr>
              <w:t>P</w:t>
            </w:r>
          </w:p>
        </w:tc>
        <w:tc>
          <w:tcPr>
            <w:tcW w:w="1980" w:type="dxa"/>
            <w:tcBorders>
              <w:top w:val="single" w:sz="12" w:space="0" w:color="000000" w:themeColor="text1"/>
              <w:left w:val="nil"/>
              <w:bottom w:val="single" w:sz="8" w:space="0" w:color="000000" w:themeColor="text1"/>
              <w:right w:val="nil"/>
            </w:tcBorders>
            <w:noWrap/>
            <w:vAlign w:val="center"/>
            <w:hideMark/>
          </w:tcPr>
          <w:p w:rsidR="003058B1" w:rsidRPr="003058B1" w:rsidRDefault="003058B1" w:rsidP="003E7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058B1">
              <w:rPr>
                <w:rFonts w:ascii="Arial" w:hAnsi="Arial" w:cs="Arial"/>
                <w:sz w:val="20"/>
                <w:szCs w:val="20"/>
              </w:rPr>
              <w:t>Design</w:t>
            </w:r>
          </w:p>
        </w:tc>
      </w:tr>
      <w:tr w:rsidR="003058B1" w:rsidRPr="003058B1" w:rsidTr="003E71C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r w:rsidRPr="003058B1">
              <w:rPr>
                <w:rFonts w:ascii="Arial" w:hAnsi="Arial" w:cs="Arial"/>
                <w:b w:val="0"/>
                <w:sz w:val="20"/>
                <w:szCs w:val="20"/>
              </w:rPr>
              <w:t>[H]HWESASLLR[OH]</w:t>
            </w:r>
          </w:p>
        </w:tc>
        <w:tc>
          <w:tcPr>
            <w:tcW w:w="1590"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DBP</w:t>
            </w:r>
          </w:p>
        </w:tc>
        <w:tc>
          <w:tcPr>
            <w:tcW w:w="1350"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919</w:t>
            </w:r>
          </w:p>
        </w:tc>
        <w:tc>
          <w:tcPr>
            <w:tcW w:w="1170"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0.75</w:t>
            </w:r>
          </w:p>
        </w:tc>
        <w:tc>
          <w:tcPr>
            <w:tcW w:w="1080"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0.29</w:t>
            </w:r>
          </w:p>
        </w:tc>
        <w:tc>
          <w:tcPr>
            <w:tcW w:w="1530"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0.008</w:t>
            </w:r>
          </w:p>
        </w:tc>
        <w:tc>
          <w:tcPr>
            <w:tcW w:w="1980" w:type="dxa"/>
            <w:tcBorders>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cross-sectional</w:t>
            </w:r>
          </w:p>
        </w:tc>
      </w:tr>
      <w:tr w:rsidR="003058B1" w:rsidRPr="003058B1" w:rsidTr="003E71C2">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proofErr w:type="spellStart"/>
            <w:r w:rsidRPr="003058B1">
              <w:rPr>
                <w:rFonts w:ascii="Arial" w:hAnsi="Arial" w:cs="Arial"/>
                <w:b w:val="0"/>
                <w:sz w:val="20"/>
                <w:szCs w:val="20"/>
              </w:rPr>
              <w:t>Threonylphenylalanine</w:t>
            </w:r>
            <w:proofErr w:type="spellEnd"/>
          </w:p>
        </w:tc>
        <w:tc>
          <w:tcPr>
            <w:tcW w:w="159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DBP</w:t>
            </w:r>
          </w:p>
        </w:tc>
        <w:tc>
          <w:tcPr>
            <w:tcW w:w="135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919</w:t>
            </w:r>
          </w:p>
        </w:tc>
        <w:tc>
          <w:tcPr>
            <w:tcW w:w="117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-1.44</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0.44</w:t>
            </w:r>
          </w:p>
        </w:tc>
        <w:tc>
          <w:tcPr>
            <w:tcW w:w="153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0.001</w:t>
            </w:r>
          </w:p>
        </w:tc>
        <w:tc>
          <w:tcPr>
            <w:tcW w:w="19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cross-sectional</w:t>
            </w:r>
          </w:p>
        </w:tc>
      </w:tr>
      <w:tr w:rsidR="003058B1" w:rsidRPr="003058B1" w:rsidTr="003E71C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r w:rsidRPr="003058B1">
              <w:rPr>
                <w:rFonts w:ascii="Arial" w:hAnsi="Arial" w:cs="Arial"/>
                <w:b w:val="0"/>
                <w:sz w:val="20"/>
                <w:szCs w:val="20"/>
              </w:rPr>
              <w:t>Glycine</w:t>
            </w:r>
          </w:p>
        </w:tc>
        <w:tc>
          <w:tcPr>
            <w:tcW w:w="159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fibrinogen</w:t>
            </w:r>
          </w:p>
        </w:tc>
        <w:tc>
          <w:tcPr>
            <w:tcW w:w="135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1823</w:t>
            </w:r>
          </w:p>
        </w:tc>
        <w:tc>
          <w:tcPr>
            <w:tcW w:w="117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-11.71</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5.40</w:t>
            </w:r>
          </w:p>
        </w:tc>
        <w:tc>
          <w:tcPr>
            <w:tcW w:w="153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0.03</w:t>
            </w:r>
          </w:p>
        </w:tc>
        <w:tc>
          <w:tcPr>
            <w:tcW w:w="19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cross-sectional</w:t>
            </w:r>
          </w:p>
        </w:tc>
      </w:tr>
      <w:tr w:rsidR="003058B1" w:rsidRPr="003058B1" w:rsidTr="003E71C2">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r w:rsidRPr="003058B1">
              <w:rPr>
                <w:rFonts w:ascii="Arial" w:hAnsi="Arial" w:cs="Arial"/>
                <w:b w:val="0"/>
                <w:sz w:val="20"/>
                <w:szCs w:val="20"/>
              </w:rPr>
              <w:t>N-</w:t>
            </w:r>
            <w:proofErr w:type="spellStart"/>
            <w:r w:rsidRPr="003058B1">
              <w:rPr>
                <w:rFonts w:ascii="Arial" w:hAnsi="Arial" w:cs="Arial"/>
                <w:b w:val="0"/>
                <w:sz w:val="20"/>
                <w:szCs w:val="20"/>
              </w:rPr>
              <w:t>acetylornithine</w:t>
            </w:r>
            <w:proofErr w:type="spellEnd"/>
          </w:p>
        </w:tc>
        <w:tc>
          <w:tcPr>
            <w:tcW w:w="159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roofErr w:type="spellStart"/>
            <w:r w:rsidRPr="003058B1">
              <w:rPr>
                <w:rFonts w:ascii="Arial" w:hAnsi="Arial" w:cs="Arial"/>
                <w:sz w:val="20"/>
                <w:szCs w:val="20"/>
              </w:rPr>
              <w:t>eGFR</w:t>
            </w:r>
            <w:proofErr w:type="spellEnd"/>
          </w:p>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vertAlign w:val="subscript"/>
              </w:rPr>
              <w:t>CKD-EPI</w:t>
            </w:r>
          </w:p>
        </w:tc>
        <w:tc>
          <w:tcPr>
            <w:tcW w:w="135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1921</w:t>
            </w:r>
          </w:p>
        </w:tc>
        <w:tc>
          <w:tcPr>
            <w:tcW w:w="117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-5.08</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0.71</w:t>
            </w:r>
          </w:p>
        </w:tc>
        <w:tc>
          <w:tcPr>
            <w:tcW w:w="153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9.0×10</w:t>
            </w:r>
            <w:r w:rsidRPr="003058B1">
              <w:rPr>
                <w:rFonts w:ascii="Arial" w:hAnsi="Arial" w:cs="Arial"/>
                <w:sz w:val="20"/>
                <w:szCs w:val="20"/>
                <w:vertAlign w:val="superscript"/>
              </w:rPr>
              <w:t>-13</w:t>
            </w:r>
          </w:p>
        </w:tc>
        <w:tc>
          <w:tcPr>
            <w:tcW w:w="19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cross-sectional</w:t>
            </w:r>
          </w:p>
        </w:tc>
      </w:tr>
      <w:tr w:rsidR="003058B1" w:rsidRPr="003058B1" w:rsidTr="003E71C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r w:rsidRPr="003058B1">
              <w:rPr>
                <w:rFonts w:ascii="Arial" w:hAnsi="Arial" w:cs="Arial"/>
                <w:b w:val="0"/>
                <w:sz w:val="20"/>
                <w:szCs w:val="20"/>
              </w:rPr>
              <w:t>N-</w:t>
            </w:r>
            <w:proofErr w:type="spellStart"/>
            <w:r w:rsidRPr="003058B1">
              <w:rPr>
                <w:rFonts w:ascii="Arial" w:hAnsi="Arial" w:cs="Arial"/>
                <w:b w:val="0"/>
                <w:sz w:val="20"/>
                <w:szCs w:val="20"/>
              </w:rPr>
              <w:t>acetylornithine</w:t>
            </w:r>
            <w:proofErr w:type="spellEnd"/>
          </w:p>
        </w:tc>
        <w:tc>
          <w:tcPr>
            <w:tcW w:w="159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35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incident CKD</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1921</w:t>
            </w:r>
          </w:p>
        </w:tc>
        <w:tc>
          <w:tcPr>
            <w:tcW w:w="117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0.49</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1.64</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0.17</w:t>
            </w:r>
          </w:p>
        </w:tc>
        <w:tc>
          <w:tcPr>
            <w:tcW w:w="153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0.003</w:t>
            </w:r>
          </w:p>
        </w:tc>
        <w:tc>
          <w:tcPr>
            <w:tcW w:w="19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longitudinal</w:t>
            </w:r>
          </w:p>
        </w:tc>
      </w:tr>
      <w:tr w:rsidR="003058B1" w:rsidRPr="003058B1" w:rsidTr="003E71C2">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r w:rsidRPr="003058B1">
              <w:rPr>
                <w:rFonts w:ascii="Arial" w:hAnsi="Arial" w:cs="Arial"/>
                <w:b w:val="0"/>
                <w:sz w:val="20"/>
                <w:szCs w:val="20"/>
              </w:rPr>
              <w:t>N-acetyl-1-methylhistidine</w:t>
            </w:r>
          </w:p>
        </w:tc>
        <w:tc>
          <w:tcPr>
            <w:tcW w:w="159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roofErr w:type="spellStart"/>
            <w:r w:rsidRPr="003058B1">
              <w:rPr>
                <w:rFonts w:ascii="Arial" w:hAnsi="Arial" w:cs="Arial"/>
                <w:sz w:val="20"/>
                <w:szCs w:val="20"/>
              </w:rPr>
              <w:t>eGFR</w:t>
            </w:r>
            <w:proofErr w:type="spellEnd"/>
          </w:p>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vertAlign w:val="subscript"/>
              </w:rPr>
              <w:t>CKD-EPI</w:t>
            </w:r>
          </w:p>
        </w:tc>
        <w:tc>
          <w:tcPr>
            <w:tcW w:w="135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1921</w:t>
            </w:r>
          </w:p>
        </w:tc>
        <w:tc>
          <w:tcPr>
            <w:tcW w:w="117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-5.72</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0.59</w:t>
            </w:r>
          </w:p>
        </w:tc>
        <w:tc>
          <w:tcPr>
            <w:tcW w:w="153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1.6×10</w:t>
            </w:r>
            <w:r w:rsidRPr="003058B1">
              <w:rPr>
                <w:rFonts w:ascii="Arial" w:hAnsi="Arial" w:cs="Arial"/>
                <w:sz w:val="20"/>
                <w:szCs w:val="20"/>
                <w:vertAlign w:val="superscript"/>
              </w:rPr>
              <w:t>-21</w:t>
            </w:r>
          </w:p>
        </w:tc>
        <w:tc>
          <w:tcPr>
            <w:tcW w:w="19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cross-sectional</w:t>
            </w:r>
          </w:p>
        </w:tc>
      </w:tr>
      <w:tr w:rsidR="003058B1" w:rsidRPr="003058B1" w:rsidTr="003E71C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r w:rsidRPr="003058B1">
              <w:rPr>
                <w:rFonts w:ascii="Arial" w:hAnsi="Arial" w:cs="Arial"/>
                <w:b w:val="0"/>
                <w:sz w:val="20"/>
                <w:szCs w:val="20"/>
              </w:rPr>
              <w:t>N-acetyl-1-methylhistidine</w:t>
            </w:r>
          </w:p>
        </w:tc>
        <w:tc>
          <w:tcPr>
            <w:tcW w:w="159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35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incident CKD</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1921</w:t>
            </w:r>
          </w:p>
        </w:tc>
        <w:tc>
          <w:tcPr>
            <w:tcW w:w="117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0.29</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1.34</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0.13</w:t>
            </w:r>
          </w:p>
        </w:tc>
        <w:tc>
          <w:tcPr>
            <w:tcW w:w="153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0.03</w:t>
            </w:r>
          </w:p>
        </w:tc>
        <w:tc>
          <w:tcPr>
            <w:tcW w:w="19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longitudinal</w:t>
            </w:r>
          </w:p>
        </w:tc>
      </w:tr>
      <w:tr w:rsidR="003058B1" w:rsidRPr="003058B1" w:rsidTr="003E71C2">
        <w:trPr>
          <w:cnfStyle w:val="000000010000" w:firstRow="0" w:lastRow="0" w:firstColumn="0" w:lastColumn="0" w:oddVBand="0" w:evenVBand="0" w:oddHBand="0" w:evenHBand="1"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proofErr w:type="spellStart"/>
            <w:r w:rsidRPr="003058B1">
              <w:rPr>
                <w:rFonts w:ascii="Arial" w:hAnsi="Arial" w:cs="Arial"/>
                <w:b w:val="0"/>
                <w:sz w:val="20"/>
                <w:szCs w:val="20"/>
              </w:rPr>
              <w:t>trehalose</w:t>
            </w:r>
            <w:proofErr w:type="spellEnd"/>
          </w:p>
        </w:tc>
        <w:tc>
          <w:tcPr>
            <w:tcW w:w="159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glucose</w:t>
            </w:r>
          </w:p>
        </w:tc>
        <w:tc>
          <w:tcPr>
            <w:tcW w:w="135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1656</w:t>
            </w:r>
          </w:p>
        </w:tc>
        <w:tc>
          <w:tcPr>
            <w:tcW w:w="117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1.97</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0.23</w:t>
            </w:r>
          </w:p>
        </w:tc>
        <w:tc>
          <w:tcPr>
            <w:tcW w:w="153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2.9×10</w:t>
            </w:r>
            <w:r w:rsidRPr="003058B1">
              <w:rPr>
                <w:rFonts w:ascii="Arial" w:hAnsi="Arial" w:cs="Arial"/>
                <w:sz w:val="20"/>
                <w:szCs w:val="20"/>
                <w:vertAlign w:val="superscript"/>
              </w:rPr>
              <w:t>-17</w:t>
            </w:r>
          </w:p>
        </w:tc>
        <w:tc>
          <w:tcPr>
            <w:tcW w:w="19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058B1">
              <w:rPr>
                <w:rFonts w:ascii="Arial" w:hAnsi="Arial" w:cs="Arial"/>
                <w:sz w:val="20"/>
                <w:szCs w:val="20"/>
              </w:rPr>
              <w:t>cross-sectional</w:t>
            </w:r>
          </w:p>
        </w:tc>
      </w:tr>
      <w:tr w:rsidR="003058B1" w:rsidRPr="003058B1" w:rsidTr="003E71C2">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028"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rPr>
                <w:rFonts w:ascii="Arial" w:hAnsi="Arial" w:cs="Arial"/>
                <w:b w:val="0"/>
                <w:sz w:val="20"/>
                <w:szCs w:val="20"/>
              </w:rPr>
            </w:pPr>
            <w:proofErr w:type="spellStart"/>
            <w:r w:rsidRPr="003058B1">
              <w:rPr>
                <w:rFonts w:ascii="Arial" w:hAnsi="Arial" w:cs="Arial"/>
                <w:b w:val="0"/>
                <w:sz w:val="20"/>
                <w:szCs w:val="20"/>
              </w:rPr>
              <w:t>trehalose</w:t>
            </w:r>
            <w:proofErr w:type="spellEnd"/>
          </w:p>
        </w:tc>
        <w:tc>
          <w:tcPr>
            <w:tcW w:w="159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w:t>
            </w:r>
          </w:p>
        </w:tc>
        <w:tc>
          <w:tcPr>
            <w:tcW w:w="135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incident T2D</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1430</w:t>
            </w:r>
          </w:p>
        </w:tc>
        <w:tc>
          <w:tcPr>
            <w:tcW w:w="117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0.29</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1.34</w:t>
            </w:r>
          </w:p>
        </w:tc>
        <w:tc>
          <w:tcPr>
            <w:tcW w:w="10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0.07</w:t>
            </w:r>
          </w:p>
        </w:tc>
        <w:tc>
          <w:tcPr>
            <w:tcW w:w="153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2.0×10</w:t>
            </w:r>
            <w:r w:rsidRPr="003058B1">
              <w:rPr>
                <w:rFonts w:ascii="Arial" w:hAnsi="Arial" w:cs="Arial"/>
                <w:sz w:val="20"/>
                <w:szCs w:val="20"/>
                <w:vertAlign w:val="superscript"/>
              </w:rPr>
              <w:t>-5</w:t>
            </w:r>
          </w:p>
        </w:tc>
        <w:tc>
          <w:tcPr>
            <w:tcW w:w="1980" w:type="dxa"/>
            <w:tcBorders>
              <w:top w:val="none" w:sz="0" w:space="0" w:color="auto"/>
              <w:left w:val="none" w:sz="0" w:space="0" w:color="auto"/>
              <w:bottom w:val="none" w:sz="0" w:space="0" w:color="auto"/>
              <w:right w:val="none" w:sz="0" w:space="0" w:color="auto"/>
            </w:tcBorders>
            <w:noWrap/>
            <w:vAlign w:val="center"/>
            <w:hideMark/>
          </w:tcPr>
          <w:p w:rsidR="003058B1" w:rsidRPr="003058B1" w:rsidRDefault="003058B1" w:rsidP="003E7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58B1">
              <w:rPr>
                <w:rFonts w:ascii="Arial" w:hAnsi="Arial" w:cs="Arial"/>
                <w:sz w:val="20"/>
                <w:szCs w:val="20"/>
              </w:rPr>
              <w:t>longitudinal</w:t>
            </w:r>
          </w:p>
        </w:tc>
      </w:tr>
    </w:tbl>
    <w:p w:rsidR="003058B1" w:rsidRPr="003058B1" w:rsidRDefault="003058B1" w:rsidP="003058B1">
      <w:pPr>
        <w:spacing w:after="0"/>
        <w:rPr>
          <w:rFonts w:ascii="Arial" w:hAnsi="Arial" w:cs="Arial"/>
          <w:sz w:val="19"/>
          <w:szCs w:val="19"/>
        </w:rPr>
      </w:pPr>
      <w:r w:rsidRPr="003058B1">
        <w:rPr>
          <w:rFonts w:ascii="Arial" w:hAnsi="Arial" w:cs="Arial"/>
          <w:sz w:val="19"/>
          <w:szCs w:val="19"/>
        </w:rPr>
        <w:t xml:space="preserve">N indicates sample size; SD, standard deviation; HR, hazard ratio; SE standard error; DBP, diastolic blood pressure; </w:t>
      </w:r>
      <w:proofErr w:type="spellStart"/>
      <w:r w:rsidRPr="003058B1">
        <w:rPr>
          <w:rFonts w:ascii="Arial" w:hAnsi="Arial" w:cs="Arial"/>
          <w:sz w:val="19"/>
          <w:szCs w:val="19"/>
        </w:rPr>
        <w:t>eGFR</w:t>
      </w:r>
      <w:r w:rsidRPr="003058B1">
        <w:rPr>
          <w:rFonts w:ascii="Arial" w:hAnsi="Arial" w:cs="Arial"/>
          <w:sz w:val="19"/>
          <w:szCs w:val="19"/>
          <w:vertAlign w:val="subscript"/>
        </w:rPr>
        <w:t>CKD</w:t>
      </w:r>
      <w:proofErr w:type="spellEnd"/>
      <w:r w:rsidRPr="003058B1">
        <w:rPr>
          <w:rFonts w:ascii="Arial" w:hAnsi="Arial" w:cs="Arial"/>
          <w:sz w:val="19"/>
          <w:szCs w:val="19"/>
          <w:vertAlign w:val="subscript"/>
        </w:rPr>
        <w:t>-EPI</w:t>
      </w:r>
      <w:r w:rsidRPr="003058B1">
        <w:rPr>
          <w:rFonts w:ascii="Arial" w:hAnsi="Arial" w:cs="Arial"/>
          <w:sz w:val="19"/>
          <w:szCs w:val="19"/>
        </w:rPr>
        <w:t xml:space="preserve">, estimate glomerular filtration rate calculated by The Chronic Kidney Disease Epidemiology Collaboration equation; SBP, systolic blood pressure, HDL, high-density lipoprotein; LDL, low-density lipoprotein; CHD, coronary heart disease; CKD, chronic kidney disease; T2D, type 2 diabetes; BMI, body mass index. </w:t>
      </w:r>
      <w:r w:rsidRPr="003058B1">
        <w:rPr>
          <w:rFonts w:ascii="Arial" w:eastAsia="SimSun" w:hAnsi="Arial" w:cs="Arial"/>
          <w:sz w:val="19"/>
          <w:szCs w:val="19"/>
        </w:rPr>
        <w:t>All metabolites values were natural log-transformed prior to the analyses.</w:t>
      </w:r>
    </w:p>
    <w:p w:rsidR="003058B1" w:rsidRPr="003058B1" w:rsidRDefault="003058B1" w:rsidP="003058B1">
      <w:pPr>
        <w:spacing w:after="0"/>
        <w:rPr>
          <w:rFonts w:ascii="Arial" w:hAnsi="Arial" w:cs="Arial"/>
          <w:sz w:val="19"/>
          <w:szCs w:val="19"/>
        </w:rPr>
      </w:pPr>
      <w:r w:rsidRPr="003058B1">
        <w:rPr>
          <w:rFonts w:ascii="Arial" w:hAnsi="Arial" w:cs="Arial"/>
          <w:sz w:val="19"/>
          <w:szCs w:val="19"/>
        </w:rPr>
        <w:t>Metabolite levels were treated continuously and were centered by its mean and scaled by its standard deviation. Linear regressions were applied to estimate the cross-sectional association and Cox proportional hazard regressions were conducted to estimate the longitudinal association. For the longitudinal analysis of incident disease endpoints, prevalent cases were excluded. In addition, prevalent hypertension cases were excluded for the diastolic blood pressure analyses; prevalent coronary heart disease (CHD) cases were excluded for the fibrinogen analysis; prevalent chronic kidney disease (CKD) cases were excluded for the estimated Glomerular Filtration Rate (</w:t>
      </w:r>
      <w:proofErr w:type="spellStart"/>
      <w:r w:rsidRPr="003058B1">
        <w:rPr>
          <w:rFonts w:ascii="Arial" w:hAnsi="Arial" w:cs="Arial"/>
          <w:sz w:val="19"/>
          <w:szCs w:val="19"/>
        </w:rPr>
        <w:t>eGFR</w:t>
      </w:r>
      <w:proofErr w:type="spellEnd"/>
      <w:r w:rsidRPr="003058B1">
        <w:rPr>
          <w:rFonts w:ascii="Arial" w:hAnsi="Arial" w:cs="Arial"/>
          <w:sz w:val="19"/>
          <w:szCs w:val="19"/>
        </w:rPr>
        <w:t>) analysis; and prevalent type 2 diabetes cases were excluded for the glucose analysis.</w:t>
      </w:r>
    </w:p>
    <w:p w:rsidR="005E34CF" w:rsidRPr="003058B1" w:rsidRDefault="003058B1">
      <w:pPr>
        <w:rPr>
          <w:rFonts w:ascii="Arial" w:hAnsi="Arial" w:cs="Arial"/>
          <w:sz w:val="19"/>
          <w:szCs w:val="19"/>
        </w:rPr>
      </w:pPr>
      <w:r w:rsidRPr="003058B1">
        <w:rPr>
          <w:rFonts w:ascii="Arial" w:hAnsi="Arial" w:cs="Arial"/>
          <w:sz w:val="19"/>
          <w:szCs w:val="19"/>
        </w:rPr>
        <w:t xml:space="preserve">Incident CKD was defined previously in those with a baseline </w:t>
      </w:r>
      <w:proofErr w:type="spellStart"/>
      <w:r w:rsidRPr="003058B1">
        <w:rPr>
          <w:rFonts w:ascii="Arial" w:hAnsi="Arial" w:cs="Arial"/>
          <w:sz w:val="19"/>
          <w:szCs w:val="19"/>
        </w:rPr>
        <w:t>eGFRCKD</w:t>
      </w:r>
      <w:proofErr w:type="spellEnd"/>
      <w:r w:rsidRPr="003058B1">
        <w:rPr>
          <w:rFonts w:ascii="Arial" w:hAnsi="Arial" w:cs="Arial"/>
          <w:sz w:val="19"/>
          <w:szCs w:val="19"/>
        </w:rPr>
        <w:t xml:space="preserve">-EPI ≥ 60mL/min/1.73m2 as either: at least one follow-up </w:t>
      </w:r>
      <w:proofErr w:type="spellStart"/>
      <w:r w:rsidRPr="003058B1">
        <w:rPr>
          <w:rFonts w:ascii="Arial" w:hAnsi="Arial" w:cs="Arial"/>
          <w:sz w:val="19"/>
          <w:szCs w:val="19"/>
        </w:rPr>
        <w:t>eGFRCKD</w:t>
      </w:r>
      <w:proofErr w:type="spellEnd"/>
      <w:r w:rsidRPr="003058B1">
        <w:rPr>
          <w:rFonts w:ascii="Arial" w:hAnsi="Arial" w:cs="Arial"/>
          <w:sz w:val="19"/>
          <w:szCs w:val="19"/>
        </w:rPr>
        <w:t xml:space="preserve">-EPI &lt; 60 mL/min/1.73m2 and &lt; 75% of baseline (i.e., &gt;=25% decrease); or the individual had at least one surveillance-based CKD event (hospitalization or CKD-related death) after baseline up to 2008. Incident diabetes was defined in those free of diabetes at baseline and having a follow-up visit with either: (1) a fasting glucose ≥7.0 </w:t>
      </w:r>
      <w:proofErr w:type="spellStart"/>
      <w:r w:rsidRPr="003058B1">
        <w:rPr>
          <w:rFonts w:ascii="Arial" w:hAnsi="Arial" w:cs="Arial"/>
          <w:sz w:val="19"/>
          <w:szCs w:val="19"/>
        </w:rPr>
        <w:t>mmol</w:t>
      </w:r>
      <w:proofErr w:type="spellEnd"/>
      <w:r w:rsidRPr="003058B1">
        <w:rPr>
          <w:rFonts w:ascii="Arial" w:hAnsi="Arial" w:cs="Arial"/>
          <w:sz w:val="19"/>
          <w:szCs w:val="19"/>
        </w:rPr>
        <w:t xml:space="preserve">/L, (2) a non-fasting glucose ≥11.1 </w:t>
      </w:r>
      <w:proofErr w:type="spellStart"/>
      <w:r w:rsidRPr="003058B1">
        <w:rPr>
          <w:rFonts w:ascii="Arial" w:hAnsi="Arial" w:cs="Arial"/>
          <w:sz w:val="19"/>
          <w:szCs w:val="19"/>
        </w:rPr>
        <w:t>mmol</w:t>
      </w:r>
      <w:proofErr w:type="spellEnd"/>
      <w:r w:rsidRPr="003058B1">
        <w:rPr>
          <w:rFonts w:ascii="Arial" w:hAnsi="Arial" w:cs="Arial"/>
          <w:sz w:val="19"/>
          <w:szCs w:val="19"/>
        </w:rPr>
        <w:t>/L, (3) use of a diabetes medication, or (4) self-reported physician diagnosis.</w:t>
      </w:r>
    </w:p>
    <w:sectPr w:rsidR="005E34CF" w:rsidRPr="003058B1" w:rsidSect="003058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1"/>
    <w:rsid w:val="003058B1"/>
    <w:rsid w:val="00404BC3"/>
    <w:rsid w:val="007C6226"/>
    <w:rsid w:val="00E6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3058B1"/>
    <w:pPr>
      <w:spacing w:after="0" w:line="240" w:lineRule="auto"/>
    </w:pPr>
    <w:rPr>
      <w:rFonts w:eastAsiaTheme="minorEastAsia"/>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3058B1"/>
    <w:pPr>
      <w:spacing w:after="0" w:line="240" w:lineRule="auto"/>
    </w:pPr>
    <w:rPr>
      <w:rFonts w:eastAsiaTheme="minorEastAsia"/>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Bing</dc:creator>
  <cp:lastModifiedBy>Yu, Bing</cp:lastModifiedBy>
  <cp:revision>2</cp:revision>
  <dcterms:created xsi:type="dcterms:W3CDTF">2013-12-12T20:54:00Z</dcterms:created>
  <dcterms:modified xsi:type="dcterms:W3CDTF">2014-01-08T19:24:00Z</dcterms:modified>
</cp:coreProperties>
</file>