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92" w:rsidRDefault="00CD7692" w:rsidP="00CD7692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" w:eastAsia="Times New Roman" w:hAnsi="Times" w:cs="Times New Roman"/>
          <w:sz w:val="24"/>
          <w:szCs w:val="20"/>
          <w:lang w:eastAsia="en-US"/>
        </w:rPr>
      </w:pPr>
      <w:r w:rsidRPr="008177E4">
        <w:rPr>
          <w:rFonts w:ascii="Times" w:eastAsia="Times New Roman" w:hAnsi="Times" w:cs="Times New Roman"/>
          <w:b/>
          <w:sz w:val="24"/>
          <w:szCs w:val="20"/>
          <w:lang w:eastAsia="en-US"/>
        </w:rPr>
        <w:t>Table S4.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8177E4">
        <w:rPr>
          <w:rFonts w:ascii="Times" w:eastAsia="Times New Roman" w:hAnsi="Times" w:cs="Times New Roman"/>
          <w:i/>
          <w:sz w:val="24"/>
          <w:szCs w:val="20"/>
          <w:lang w:eastAsia="en-US"/>
        </w:rPr>
        <w:t>E. coli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transposon mutants identified at GFP</w:t>
      </w:r>
      <w:r w:rsidRPr="008177E4">
        <w:rPr>
          <w:rFonts w:ascii="Times" w:eastAsia="Times New Roman" w:hAnsi="Times" w:cs="Times New Roman"/>
          <w:sz w:val="24"/>
          <w:szCs w:val="20"/>
          <w:vertAlign w:val="superscript"/>
          <w:lang w:eastAsia="en-US"/>
        </w:rPr>
        <w:t>-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in an </w:t>
      </w:r>
      <w:r w:rsidRPr="008177E4">
        <w:rPr>
          <w:rFonts w:ascii="Times" w:eastAsia="Times New Roman" w:hAnsi="Times" w:cs="Times New Roman"/>
          <w:i/>
          <w:sz w:val="24"/>
          <w:szCs w:val="20"/>
          <w:lang w:eastAsia="en-US"/>
        </w:rPr>
        <w:t>in vivo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assay in which splicing of the Ll.LtrB intron is linked to GFP expression.</w:t>
      </w:r>
    </w:p>
    <w:p w:rsidR="00CD7692" w:rsidRPr="008177E4" w:rsidRDefault="00CD7692" w:rsidP="00CD7692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" w:eastAsia="Times New Roman" w:hAnsi="Times" w:cs="Times New Roman"/>
          <w:sz w:val="24"/>
          <w:szCs w:val="20"/>
          <w:lang w:eastAsia="en-US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188"/>
        <w:gridCol w:w="963"/>
        <w:gridCol w:w="4689"/>
        <w:gridCol w:w="2160"/>
      </w:tblGrid>
      <w:tr w:rsidR="00CD7692" w:rsidRPr="008177E4" w:rsidTr="003B762F">
        <w:trPr>
          <w:trHeight w:val="263"/>
        </w:trPr>
        <w:tc>
          <w:tcPr>
            <w:tcW w:w="118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Gene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Strain</w:t>
            </w: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vertAlign w:val="superscript"/>
                <w:lang w:eastAsia="en-US"/>
              </w:rPr>
              <w:t>a</w:t>
            </w:r>
            <w:proofErr w:type="spellEnd"/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4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Gene product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Function</w:t>
            </w:r>
          </w:p>
        </w:tc>
      </w:tr>
      <w:tr w:rsidR="00CD7692" w:rsidRPr="008177E4" w:rsidTr="003B762F">
        <w:trPr>
          <w:trHeight w:val="262"/>
        </w:trPr>
        <w:tc>
          <w:tcPr>
            <w:tcW w:w="118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Transcription unit</w:t>
            </w:r>
          </w:p>
        </w:tc>
        <w:tc>
          <w:tcPr>
            <w:tcW w:w="21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</w:tr>
      <w:tr w:rsidR="00CD7692" w:rsidRPr="008177E4" w:rsidTr="003B762F">
        <w:trPr>
          <w:trHeight w:val="603"/>
        </w:trPr>
        <w:tc>
          <w:tcPr>
            <w:tcW w:w="90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7692" w:rsidRPr="008177E4" w:rsidRDefault="00CD7692" w:rsidP="00CD7692">
            <w:pPr>
              <w:keepLines/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 xml:space="preserve"> Induction</w:t>
            </w: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 xml:space="preserve"> at 30</w:t>
            </w:r>
            <w:r>
              <w:rPr>
                <w:rFonts w:ascii="Times" w:eastAsia="Times New Roman" w:hAnsi="Times" w:cs="Times"/>
                <w:b/>
                <w:sz w:val="24"/>
                <w:szCs w:val="20"/>
                <w:lang w:eastAsia="en-US"/>
              </w:rPr>
              <w:t>°</w:t>
            </w: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C</w:t>
            </w:r>
          </w:p>
        </w:tc>
      </w:tr>
      <w:tr w:rsidR="00CD7692" w:rsidRPr="008177E4" w:rsidTr="003B762F">
        <w:trPr>
          <w:trHeight w:val="603"/>
        </w:trPr>
        <w:tc>
          <w:tcPr>
            <w:tcW w:w="118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dppD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46</w:t>
            </w:r>
          </w:p>
        </w:tc>
        <w:tc>
          <w:tcPr>
            <w:tcW w:w="468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Dipeptide ABC transporter subunit</w:t>
            </w:r>
          </w:p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dppABCDF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Transporter</w:t>
            </w:r>
          </w:p>
        </w:tc>
      </w:tr>
      <w:tr w:rsidR="00CD7692" w:rsidRPr="008177E4" w:rsidTr="003B762F">
        <w:trPr>
          <w:trHeight w:val="603"/>
        </w:trPr>
        <w:tc>
          <w:tcPr>
            <w:tcW w:w="1188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kdsD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45</w:t>
            </w:r>
          </w:p>
        </w:tc>
        <w:tc>
          <w:tcPr>
            <w:tcW w:w="4689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Arabinose 5-phosphate isomerase</w:t>
            </w:r>
          </w:p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yrbG-kdsD</w:t>
            </w:r>
            <w:proofErr w:type="spellEnd"/>
          </w:p>
        </w:tc>
        <w:tc>
          <w:tcPr>
            <w:tcW w:w="2160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Enzyme</w:t>
            </w:r>
          </w:p>
        </w:tc>
      </w:tr>
      <w:tr w:rsidR="00CD7692" w:rsidRPr="008177E4" w:rsidTr="003B762F">
        <w:trPr>
          <w:trHeight w:val="603"/>
        </w:trPr>
        <w:tc>
          <w:tcPr>
            <w:tcW w:w="1188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malE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29</w:t>
            </w:r>
          </w:p>
        </w:tc>
        <w:tc>
          <w:tcPr>
            <w:tcW w:w="4689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Maltose ABC transporter subunit</w:t>
            </w:r>
          </w:p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malEFG</w:t>
            </w:r>
            <w:proofErr w:type="spellEnd"/>
          </w:p>
        </w:tc>
        <w:tc>
          <w:tcPr>
            <w:tcW w:w="2160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Transporter</w:t>
            </w:r>
          </w:p>
        </w:tc>
      </w:tr>
      <w:tr w:rsidR="00CD7692" w:rsidRPr="008177E4" w:rsidTr="003B762F">
        <w:trPr>
          <w:trHeight w:val="603"/>
        </w:trPr>
        <w:tc>
          <w:tcPr>
            <w:tcW w:w="1188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malE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30</w:t>
            </w:r>
          </w:p>
        </w:tc>
        <w:tc>
          <w:tcPr>
            <w:tcW w:w="4689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Maltose ABC transporter subunit</w:t>
            </w:r>
          </w:p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malEFG</w:t>
            </w:r>
            <w:proofErr w:type="spellEnd"/>
          </w:p>
        </w:tc>
        <w:tc>
          <w:tcPr>
            <w:tcW w:w="2160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Transporter</w:t>
            </w:r>
          </w:p>
        </w:tc>
      </w:tr>
      <w:tr w:rsidR="00CD7692" w:rsidRPr="008177E4" w:rsidTr="003B762F">
        <w:trPr>
          <w:trHeight w:val="603"/>
        </w:trPr>
        <w:tc>
          <w:tcPr>
            <w:tcW w:w="1188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T7RNP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01</w:t>
            </w:r>
          </w:p>
        </w:tc>
        <w:tc>
          <w:tcPr>
            <w:tcW w:w="4689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T7 RNA polymerase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Transcription</w:t>
            </w:r>
          </w:p>
        </w:tc>
      </w:tr>
      <w:tr w:rsidR="00CD7692" w:rsidRPr="008177E4" w:rsidTr="003B762F">
        <w:trPr>
          <w:trHeight w:val="630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T7RNP</w:t>
            </w: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D7692" w:rsidRPr="00BF465E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21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T7 RNA polymerase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Transcription</w:t>
            </w:r>
          </w:p>
        </w:tc>
      </w:tr>
      <w:tr w:rsidR="00CD7692" w:rsidRPr="008177E4" w:rsidTr="003B762F">
        <w:trPr>
          <w:trHeight w:val="630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92" w:rsidRPr="008177E4" w:rsidRDefault="00CD7692" w:rsidP="00CD7692">
            <w:pPr>
              <w:keepLines/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 xml:space="preserve"> Induction</w:t>
            </w: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 xml:space="preserve"> at 37</w:t>
            </w:r>
            <w:r>
              <w:rPr>
                <w:rFonts w:ascii="Times" w:eastAsia="Times New Roman" w:hAnsi="Times" w:cs="Times"/>
                <w:b/>
                <w:sz w:val="24"/>
                <w:szCs w:val="20"/>
                <w:lang w:eastAsia="en-US"/>
              </w:rPr>
              <w:t>°</w:t>
            </w:r>
            <w:r w:rsidRPr="008177E4">
              <w:rPr>
                <w:rFonts w:ascii="Times" w:eastAsia="Times New Roman" w:hAnsi="Times" w:cs="Times New Roman"/>
                <w:b/>
                <w:sz w:val="24"/>
                <w:szCs w:val="20"/>
                <w:lang w:eastAsia="en-US"/>
              </w:rPr>
              <w:t>C</w:t>
            </w:r>
          </w:p>
        </w:tc>
      </w:tr>
      <w:tr w:rsidR="00CD7692" w:rsidRPr="008177E4" w:rsidTr="003B762F">
        <w:trPr>
          <w:trHeight w:val="630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clcA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09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H</w:t>
            </w:r>
            <w:r w:rsidRPr="008177E4">
              <w:rPr>
                <w:rFonts w:ascii="Times" w:eastAsia="Times New Roman" w:hAnsi="Times" w:cs="Times New Roman"/>
                <w:sz w:val="24"/>
                <w:szCs w:val="20"/>
                <w:vertAlign w:val="superscript"/>
                <w:lang w:eastAsia="en-US"/>
              </w:rPr>
              <w:t>+</w:t>
            </w: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/</w:t>
            </w:r>
            <w:proofErr w:type="spellStart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Cl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vertAlign w:val="superscript"/>
                <w:lang w:eastAsia="en-US"/>
              </w:rPr>
              <w:t>-</w:t>
            </w: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exchange transporter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Transporter</w:t>
            </w:r>
          </w:p>
        </w:tc>
      </w:tr>
      <w:tr w:rsidR="00CD7692" w:rsidRPr="008177E4" w:rsidTr="003B762F">
        <w:trPr>
          <w:trHeight w:val="630"/>
        </w:trPr>
        <w:tc>
          <w:tcPr>
            <w:tcW w:w="1188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pgi</w:t>
            </w:r>
            <w:proofErr w:type="spellEnd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 xml:space="preserve"> / </w:t>
            </w: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yjbE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61</w:t>
            </w:r>
          </w:p>
        </w:tc>
        <w:tc>
          <w:tcPr>
            <w:tcW w:w="4689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Phosphoglucose isomerase / Predicted protein</w:t>
            </w:r>
          </w:p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yjbEFGH</w:t>
            </w:r>
            <w:proofErr w:type="spellEnd"/>
          </w:p>
        </w:tc>
        <w:tc>
          <w:tcPr>
            <w:tcW w:w="2160" w:type="dxa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Enzyme / Unknown</w:t>
            </w:r>
          </w:p>
        </w:tc>
      </w:tr>
      <w:tr w:rsidR="00CD7692" w:rsidRPr="008177E4" w:rsidTr="003B762F">
        <w:trPr>
          <w:trHeight w:val="630"/>
        </w:trPr>
        <w:tc>
          <w:tcPr>
            <w:tcW w:w="11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proofErr w:type="spellStart"/>
            <w:r w:rsidRPr="008177E4"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  <w:t>yfeN</w:t>
            </w:r>
            <w:proofErr w:type="spellEnd"/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i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30</w:t>
            </w:r>
          </w:p>
        </w:tc>
        <w:tc>
          <w:tcPr>
            <w:tcW w:w="468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Conserved outer membrane protein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7692" w:rsidRPr="008177E4" w:rsidRDefault="00CD7692" w:rsidP="003B762F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8177E4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Unknown</w:t>
            </w:r>
          </w:p>
        </w:tc>
      </w:tr>
    </w:tbl>
    <w:p w:rsidR="00CD7692" w:rsidRDefault="00CD7692" w:rsidP="00CD7692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outlineLvl w:val="6"/>
        <w:rPr>
          <w:rFonts w:ascii="Times" w:eastAsia="Times New Roman" w:hAnsi="Times" w:cs="Times New Roman"/>
          <w:sz w:val="24"/>
          <w:szCs w:val="20"/>
          <w:vertAlign w:val="superscript"/>
          <w:lang w:eastAsia="en-US"/>
        </w:rPr>
      </w:pPr>
    </w:p>
    <w:p w:rsidR="00853C41" w:rsidRDefault="00CD7692" w:rsidP="00CD7692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outlineLvl w:val="6"/>
      </w:pPr>
      <w:r w:rsidRPr="008177E4">
        <w:rPr>
          <w:rFonts w:ascii="Times" w:eastAsia="Times New Roman" w:hAnsi="Times" w:cs="Times New Roman"/>
          <w:sz w:val="24"/>
          <w:szCs w:val="20"/>
          <w:vertAlign w:val="superscript"/>
          <w:lang w:eastAsia="en-US"/>
        </w:rPr>
        <w:t>a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Mutants were identified in an assay in which </w:t>
      </w:r>
      <w:r w:rsidRPr="008177E4">
        <w:rPr>
          <w:rFonts w:ascii="Times" w:eastAsia="Times New Roman" w:hAnsi="Times" w:cs="Times New Roman"/>
          <w:i/>
          <w:sz w:val="24"/>
          <w:szCs w:val="20"/>
          <w:lang w:eastAsia="en-US"/>
        </w:rPr>
        <w:t>mariner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transposon library strains containing pALG2 were plated on LB agar and grown overnight at 37</w:t>
      </w:r>
      <w:r>
        <w:rPr>
          <w:rFonts w:ascii="Times" w:eastAsia="Times New Roman" w:hAnsi="Times" w:cs="Times"/>
          <w:sz w:val="24"/>
          <w:szCs w:val="20"/>
          <w:lang w:eastAsia="en-US"/>
        </w:rPr>
        <w:t>°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C. The resulting colonies </w:t>
      </w:r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>were lifted onto 35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>-</w:t>
      </w:r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>mm diameter nitrocellulose fil</w:t>
      </w:r>
      <w:bookmarkStart w:id="0" w:name="_GoBack"/>
      <w:bookmarkEnd w:id="0"/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 xml:space="preserve">ter circles and incubated on </w:t>
      </w:r>
      <w:proofErr w:type="spellStart"/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>petripads</w:t>
      </w:r>
      <w:proofErr w:type="spellEnd"/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 xml:space="preserve"> (Millipore) saturated with LB medium containing 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0.1 </w:t>
      </w:r>
      <w:proofErr w:type="spellStart"/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>mM</w:t>
      </w:r>
      <w:proofErr w:type="spellEnd"/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 xml:space="preserve">IPTG 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>for 3 h at 30 or 37°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C for induction of plasmid transcription. </w:t>
      </w:r>
      <w:r w:rsidRPr="008177E4">
        <w:rPr>
          <w:rFonts w:ascii="Times" w:eastAsia="Times New Roman" w:hAnsi="Times" w:cs="Times New Roman" w:hint="eastAsia"/>
          <w:sz w:val="24"/>
          <w:szCs w:val="20"/>
          <w:lang w:eastAsia="en-US"/>
        </w:rPr>
        <w:t xml:space="preserve">The filters were 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>then examined under 302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>-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>nm UV light to detect GFP</w:t>
      </w:r>
      <w:r w:rsidRPr="008177E4">
        <w:rPr>
          <w:rFonts w:ascii="Times" w:eastAsia="Times New Roman" w:hAnsi="Times" w:cs="Times New Roman"/>
          <w:sz w:val="24"/>
          <w:szCs w:val="20"/>
          <w:vertAlign w:val="superscript"/>
          <w:lang w:eastAsia="en-US"/>
        </w:rPr>
        <w:t>-</w:t>
      </w:r>
      <w:r w:rsidRPr="008177E4">
        <w:rPr>
          <w:rFonts w:ascii="Times" w:eastAsia="Times New Roman" w:hAnsi="Times" w:cs="Times New Roman"/>
          <w:sz w:val="24"/>
          <w:szCs w:val="20"/>
          <w:lang w:eastAsia="en-US"/>
        </w:rPr>
        <w:t xml:space="preserve"> colonies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>.</w:t>
      </w:r>
    </w:p>
    <w:sectPr w:rsidR="00853C41">
      <w:footerReference w:type="even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CD" w:rsidRDefault="00132ECD">
      <w:pPr>
        <w:spacing w:after="0" w:line="240" w:lineRule="auto"/>
      </w:pPr>
      <w:r>
        <w:separator/>
      </w:r>
    </w:p>
  </w:endnote>
  <w:endnote w:type="continuationSeparator" w:id="0">
    <w:p w:rsidR="00132ECD" w:rsidRDefault="001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BB" w:rsidRDefault="00CD7692" w:rsidP="00053D2A">
    <w:pPr>
      <w:pStyle w:val="Footer"/>
      <w:framePr w:wrap="around" w:vAnchor="text" w:hAnchor="margin" w:xAlign="center" w:y="1"/>
      <w:rPr>
        <w:rStyle w:val="PageNumber"/>
        <w:rFonts w:asciiTheme="minorHAnsi" w:eastAsiaTheme="minorEastAsia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7BB" w:rsidRDefault="0013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CD" w:rsidRDefault="00132ECD">
      <w:pPr>
        <w:spacing w:after="0" w:line="240" w:lineRule="auto"/>
      </w:pPr>
      <w:r>
        <w:separator/>
      </w:r>
    </w:p>
  </w:footnote>
  <w:footnote w:type="continuationSeparator" w:id="0">
    <w:p w:rsidR="00132ECD" w:rsidRDefault="0013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379F"/>
    <w:multiLevelType w:val="hybridMultilevel"/>
    <w:tmpl w:val="B25C0D6E"/>
    <w:lvl w:ilvl="0" w:tplc="8BEC408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92"/>
    <w:rsid w:val="00132ECD"/>
    <w:rsid w:val="005367B8"/>
    <w:rsid w:val="00853C41"/>
    <w:rsid w:val="00C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89538-1605-417B-8816-4A6E5CC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7692"/>
    <w:pPr>
      <w:tabs>
        <w:tab w:val="center" w:pos="4320"/>
        <w:tab w:val="right" w:pos="8640"/>
      </w:tabs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7692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7692"/>
  </w:style>
  <w:style w:type="paragraph" w:styleId="Header">
    <w:name w:val="header"/>
    <w:basedOn w:val="Normal"/>
    <w:link w:val="HeaderChar"/>
    <w:uiPriority w:val="99"/>
    <w:unhideWhenUsed/>
    <w:rsid w:val="00536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B8"/>
  </w:style>
  <w:style w:type="paragraph" w:styleId="BalloonText">
    <w:name w:val="Balloon Text"/>
    <w:basedOn w:val="Normal"/>
    <w:link w:val="BalloonTextChar"/>
    <w:uiPriority w:val="99"/>
    <w:semiHidden/>
    <w:unhideWhenUsed/>
    <w:rsid w:val="0053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2</cp:revision>
  <cp:lastPrinted>2013-02-05T18:07:00Z</cp:lastPrinted>
  <dcterms:created xsi:type="dcterms:W3CDTF">2013-02-05T18:07:00Z</dcterms:created>
  <dcterms:modified xsi:type="dcterms:W3CDTF">2013-02-05T18:07:00Z</dcterms:modified>
</cp:coreProperties>
</file>