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3" w:type="dxa"/>
        <w:tblInd w:w="108" w:type="dxa"/>
        <w:tblLayout w:type="fixed"/>
        <w:tblLook w:val="04A0"/>
      </w:tblPr>
      <w:tblGrid>
        <w:gridCol w:w="1024"/>
        <w:gridCol w:w="3371"/>
        <w:gridCol w:w="3402"/>
        <w:gridCol w:w="1256"/>
      </w:tblGrid>
      <w:tr w:rsidR="006E7BD3" w:rsidRPr="001C4FC7" w:rsidTr="00872B00">
        <w:trPr>
          <w:trHeight w:val="300"/>
        </w:trPr>
        <w:tc>
          <w:tcPr>
            <w:tcW w:w="9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Table 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  <w:r w:rsidRPr="001C4F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Primers used in this study</w:t>
            </w:r>
          </w:p>
        </w:tc>
      </w:tr>
      <w:tr w:rsidR="006E7BD3" w:rsidRPr="001C4FC7" w:rsidTr="00872B00">
        <w:trPr>
          <w:trHeight w:val="300"/>
        </w:trPr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Primer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Sequence (5′-3′)</w:t>
            </w:r>
            <w:r w:rsidRPr="001C4FC7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Description</w:t>
            </w:r>
            <w:r w:rsidRPr="001C4FC7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Restriction site</w:t>
            </w:r>
          </w:p>
        </w:tc>
      </w:tr>
      <w:tr w:rsidR="006E7BD3" w:rsidRPr="001C4FC7" w:rsidTr="00872B00">
        <w:trPr>
          <w:trHeight w:val="300"/>
        </w:trPr>
        <w:tc>
          <w:tcPr>
            <w:tcW w:w="10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E7BD3" w:rsidRPr="001C4FC7" w:rsidTr="00872B00">
        <w:trPr>
          <w:trHeight w:val="6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KD01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TTGGATCCGTTTTATCGACATTGTGAACC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FWD ToxIN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Pba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SCRI1039 pECA1039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BamHI</w:t>
            </w:r>
            <w:proofErr w:type="spellEnd"/>
          </w:p>
        </w:tc>
      </w:tr>
      <w:tr w:rsidR="006E7BD3" w:rsidRPr="001C4FC7" w:rsidTr="00872B00">
        <w:trPr>
          <w:trHeight w:val="6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MJ12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TTTTAAGCTTCATATTTTTCTCGTAAAAAAGGCGACTATG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REV ToxI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Pba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SCRI1039 pECA1039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6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PF162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GCAAATCACCTTAACTTAAGTATAC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ToxI promoter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12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PF16</w:t>
            </w:r>
            <w:r w:rsidR="006619E1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619E1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19E1">
              <w:rPr>
                <w:rFonts w:ascii="Arial" w:eastAsia="Times New Roman" w:hAnsi="Arial" w:cs="Arial"/>
                <w:color w:val="000000"/>
                <w:lang w:eastAsia="en-GB"/>
              </w:rPr>
              <w:t>ACTTAAGTTAAGGTGATTTGCTACCTTTAAGTGCAGCTAGAAATTTAGGTGATTTACTACCTTTAAGTAATAAAGTAAAAGAGG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619E1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FWD 1</w:t>
            </w:r>
            <w:r w:rsidR="006E7BD3" w:rsidRPr="001C4FC7">
              <w:rPr>
                <w:rFonts w:ascii="Arial" w:eastAsia="Times New Roman" w:hAnsi="Arial" w:cs="Arial"/>
                <w:color w:val="000000"/>
                <w:lang w:eastAsia="en-GB"/>
              </w:rPr>
              <w:t>.5 repeats ToxI and ToxN-FS, for overlap PCR with PF162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9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PF185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AAACAAATAGGGGTTCCG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FWD pQE-80L, for generating antitoxic inserts for pTA100. Use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XhoI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cut resulting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amplicon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PF217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CGACGTAAAACGACGGCCAGT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FWD sequencing primer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pBluescript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PF218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GGAAACAGCTATGACCATG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REV sequencing primer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pBluescript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PF221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TTTTGAATTCGTTTTATCGACATTGTGAACC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ToxI promoter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EcoRI</w:t>
            </w:r>
            <w:proofErr w:type="spellEnd"/>
          </w:p>
        </w:tc>
      </w:tr>
      <w:tr w:rsidR="006E7BD3" w:rsidRPr="001C4FC7" w:rsidTr="00872B00">
        <w:trPr>
          <w:trHeight w:val="6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PF222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TTTTCGGCCGTTTTAAGCTTTTTTGGATCCTTATTACTCGCCTTCTTCCGTATCCTC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ToxN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TRB57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TTTGAGCTCAAGGTGATTTGCTACCTTTAAG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FWD ToxI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Pba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SCRI1039 pECA1039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SacI</w:t>
            </w:r>
            <w:proofErr w:type="spellEnd"/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TRB63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TTTAAGCTTCTATTACTCGCCTTCTTCC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REV ToxN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Pba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SCRI1039 pECA1039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TRB164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cggaagctttcaatcagg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13186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TRB165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cggggtgtttaaggtaac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14362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TRB166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aaactggcgggatgtatg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39996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TRB167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aataaagcggcgcttttc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41005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TRB168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acaattgcagatcacgcc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41489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TRB169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ttgaaaccaacgtttgcc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42620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TRB170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cgcgaccaatagaaaagg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49323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TRB171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ccttctgtgacaccttcc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50420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TRB172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tgcatcaatagatcctcc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56907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TRB173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taaggttcttgaagaccg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58028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TRB174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cgtctttgaacaggaagc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74985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TRB175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tcgctgtggtacagtacc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76030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TRB176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aacatcggctgagtcagg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76745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TRB177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cttcaagaaatccgctgc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77764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TRB178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cctcttgtcttatctgcc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87983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TRB179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aagagccttggtctatgc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89012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TRB180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ttatggtcaccgaacagc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92100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TRB181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aaaacggcgcaagctatg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93133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TRB182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taatcccatctaccaccc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98777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TRB183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ggatgatggagacatacc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99813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TRB184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gataagtgacgaacttgc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109200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TRB185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taattcctgatgccacgg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110727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TRB186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tagacttcaccaagctgg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115077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TRB187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cttttgttcgtcagtgcg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116171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TRB188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taaaggtgacaccggagc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118277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TRB189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catcatagacgttaccgc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119275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TRB190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tgaacacaggtaatctgg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139881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TRB191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ccagtcgtatcttgctcg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140934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TRB192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gctgcaaactccattacg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140993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TRB193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tgccgacttgtaaattcc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142077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TRB194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agttctcttttgacgggc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106196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TRB195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aagacaagctgcccttgg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107232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TRB196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aggttgccgccattgttg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141836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TRB197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cgatgacgtgccattctg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555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TRB198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tagtgaccatcgacgtgg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104363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TRB199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cttaaagttgggcagagg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105340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7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TRB200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ACTTAAAGGTAGCGAATCACCTGGATTTTCGTCCCGC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ΦTE-A DNA repeat (3T)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7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TRB201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ACTTAAGGTAGCGAATCACCTGGATTTTCGTCCCGC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ΦTE-A DNA repeat (2T)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7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TRB202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TTTCGTCCCGCACTTAAAGGTAGCGAATCACCTGGAT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ΦTE-A RNA repeat (3T)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7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TRB203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TTTCGTCCCGCACTTAAGGTAGCGAATCACCTGGAT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ΦTE-A RNA repeat (2T)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7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TRB204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GGATTTTCGTCCCGCACTTAAAGGTAGCGAATCACCTTTGAATCTATTATAATTGTTATCCG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ΦTE-A DNA repeat (3T) matching phasing of ToxI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7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TRB205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GGATTTTCGTCCCGCACTTAAGGTAGCGAATCACCT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ΦTE-A DNA repeat (2T) matching phasing of ToxI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7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TRB206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ACTTAAAGGTAGCAAATCACCTGAATTTCTAGCTGC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ΦTE-F DNA repeat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7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TRB208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CAATTATAATAGATTCAAATTGACTCTATAGCTCAG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ΦTE-F DNA repeat matching phasing of ToxI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AanI</w:t>
            </w:r>
            <w:proofErr w:type="spellEnd"/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TRB209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TTAAGCTTTCGAACCTCGGACCTGCG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REV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ΦTEescape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locus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TRB210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CAATTATAATAGATTCAATCAGGTATACTTAAGTTA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FWD ToxI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Pba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SCRI1039 pECA1039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AanI</w:t>
            </w:r>
            <w:proofErr w:type="spellEnd"/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TRB211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TTAAGCTTCGCCTCTTTTACTTTATTAC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REV ToxI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Pba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SCRI1039 pECA1039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HindIII</w:t>
            </w:r>
            <w:proofErr w:type="spellEnd"/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TRB217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TTGTATACTTAAGTTATTGACTCTATAGCTCAG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FWD ToxI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Pba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SCRI1039 pECA1039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BstZ171</w:t>
            </w:r>
          </w:p>
        </w:tc>
      </w:tr>
      <w:tr w:rsidR="006E7BD3" w:rsidRPr="001C4FC7" w:rsidTr="00872B00">
        <w:trPr>
          <w:trHeight w:val="7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TRB218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TTGACTATGTAGTCGCCTCTTTTACTTTATTTCGAACCTCGGACCTGCG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REV ToxI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Pba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SCRI1039 pECA1039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DrdI</w:t>
            </w:r>
            <w:proofErr w:type="spellEnd"/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TRB246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TTGAATTCACACCCTCCTTTGAAACC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99536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EcoRI</w:t>
            </w:r>
            <w:proofErr w:type="spellEnd"/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TRB251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TTGAATTCATCAGGTATACTTAAGTTA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FWD ToxI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Pba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SCRI1039 pECA1039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EcoRI</w:t>
            </w:r>
            <w:proofErr w:type="spellEnd"/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TRB252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TTGAATTCATTGACTCTATAGCTCAG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ΦTE escape locus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EcoRI</w:t>
            </w:r>
            <w:proofErr w:type="spellEnd"/>
          </w:p>
        </w:tc>
      </w:tr>
      <w:tr w:rsidR="006E7BD3" w:rsidRPr="001C4FC7" w:rsidTr="00872B00">
        <w:trPr>
          <w:trHeight w:val="40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TRB265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TTTCTAGAGTAAGATCTATATAAGATC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FWD 99267 bp ΦTE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XbaI</w:t>
            </w:r>
            <w:proofErr w:type="spellEnd"/>
          </w:p>
        </w:tc>
      </w:tr>
      <w:tr w:rsidR="006E7BD3" w:rsidRPr="001C4FC7" w:rsidTr="00872B00">
        <w:trPr>
          <w:trHeight w:val="91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TRB281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GAATTTCTAGCTGCACTTAAAGGTAGCAAATCACCTGAATTTCT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ToxI altered phase to include whole pseudoknot and cutting sites (3T)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91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TRB282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GAATTTCTAGCTGCACTTAAGGTAGCAAATCACCTGAATTTCT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REV Single repeat ToxI altered phase to include whole pseudoknot and cutting sites (2T)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ie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. mutation 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91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TRB292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GAATTTCTAGCTGCACTTAAAGGTAGCAAATCACCTGGATTTCT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variant ToxI altered phase to include whole pseudoknot and cutting sites (3T); mutation 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91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TRB293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GAATTTCTAGCCGCACTTAAAGGTAGCGAATCACCTGAATTTCT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variant ToxI altered phase to include whole pseudoknot and cutting sites (3T); mutation 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91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TRB294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GAATTTCGTCCTGCACTTAAAGGTAGCAAATCACCTGAATTTCT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variant ToxI altered phase to include whole pseudoknot and cutting sites (3T); mutation 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91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TRB295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GAATTTTCTAGCTGCACTTAAAGGTAGCAAATCACCTGAATTTCT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variant ToxI altered phase to include whole pseudoknot and cutting sites (3T); mutation 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12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TRB297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GAATTTTCGTCCCGCACTTAAGGTAGCGAATCACCTGGATTTCT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REV Single repeat pseudo-ToxI altered phase to include whole pseudoknot and cutting sites (2T);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ie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., ToxI with mutations 1, 2, 3, 4, 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91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TRB308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GAATTTTCTAGCCGCACTTAAGGTAGCGAATCACCTGGATTTCT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variant ToxI altered phase to include whole pseudoknot and cutting sites (2T); mutations 1, 2, 3, 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12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TRB309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GAATTTTCGAGCCGCACTTAAGGTAGCGAATCACCTGGATTTCT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variant ToxI altered phase to include whole pseudoknot and cutting sites (2T); mutations 1, 2, 3, 5, A29C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12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TRB310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GAATTTTCTTGCCGCACTTAAGGTAGCGAATCACCTGGATTTCT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variant ToxI altered phase to include whole pseudoknot and cutting sites (2T); mutations 1, 2, 3, 5, U28A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12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TRB311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GAATTTTCTACCCGCACTTAAGGTAGCGAATCACCTGGATTTCT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variant ToxI altered phase to include whole pseudoknot and cutting sites (2T); mutations 1, 2, 3, 5, C27G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91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TRB315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GAATTTCGAGCTGCACTTAAAGGTAGCAAATCACCTGAATTTCT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variant ToxI altered phase to include whole pseudoknot and cutting sites (3T); mutation A29C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91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TRB316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GAATTTCTTGCTGCACTTAAAGGTAGCAAATCACCTGAATTTCT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variant ToxI altered phase to include whole pseudoknot and cutting sites (3T); mutation U28A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91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TRB317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TTTAAGCTT</w:t>
            </w: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GAATTTCTACCTGCACTTAAAGGTAGCAAATCACCTGAATTTCT</w:t>
            </w:r>
            <w:r w:rsidRPr="001C4FC7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TTGAATCTATTATAATTGTTATCCG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REV Single repeat variant ToxI altered phase to include whole pseudoknot and cutting sites (3T); mutation C27G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</w:p>
        </w:tc>
      </w:tr>
      <w:tr w:rsidR="006E7BD3" w:rsidRPr="001C4FC7" w:rsidTr="00872B00">
        <w:trPr>
          <w:trHeight w:val="60"/>
        </w:trPr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E7BD3" w:rsidRPr="001C4FC7" w:rsidTr="00872B00">
        <w:trPr>
          <w:trHeight w:val="60"/>
        </w:trPr>
        <w:tc>
          <w:tcPr>
            <w:tcW w:w="90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C4FC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E7BD3" w:rsidRPr="001C4FC7" w:rsidTr="00872B00">
        <w:trPr>
          <w:trHeight w:val="600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4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a.</w:t>
            </w:r>
            <w:r w:rsidRPr="001C4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Primers in lower case were used to generate </w:t>
            </w:r>
            <w:proofErr w:type="spellStart"/>
            <w:r w:rsidRPr="001C4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amplicons</w:t>
            </w:r>
            <w:proofErr w:type="spellEnd"/>
            <w:r w:rsidRPr="001C4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Sanger sequencing specific regions of ΦTE. Italics indicate primer bases forming part of the pTA100 vector backbone bordering the inserted antitoxic sequence.</w:t>
            </w:r>
          </w:p>
        </w:tc>
      </w:tr>
      <w:tr w:rsidR="006E7BD3" w:rsidRPr="001C4FC7" w:rsidTr="00872B00">
        <w:trPr>
          <w:trHeight w:val="405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BD3" w:rsidRPr="001C4FC7" w:rsidRDefault="006E7BD3" w:rsidP="00872B0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C4F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b.</w:t>
            </w:r>
            <w:r w:rsidRPr="001C4F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FWD, forward; REV, reverse.</w:t>
            </w:r>
          </w:p>
        </w:tc>
      </w:tr>
    </w:tbl>
    <w:p w:rsidR="003D4D05" w:rsidRDefault="003D4D05"/>
    <w:sectPr w:rsidR="003D4D05" w:rsidSect="003D4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2EA"/>
    <w:multiLevelType w:val="hybridMultilevel"/>
    <w:tmpl w:val="A2807FC0"/>
    <w:lvl w:ilvl="0" w:tplc="535C6A98">
      <w:start w:val="1"/>
      <w:numFmt w:val="decimal"/>
      <w:pStyle w:val="THead1"/>
      <w:lvlText w:val="2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0C2B"/>
    <w:multiLevelType w:val="multilevel"/>
    <w:tmpl w:val="F26A84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THead2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pStyle w:val="THead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7BD3"/>
    <w:rsid w:val="0005270D"/>
    <w:rsid w:val="000F45D0"/>
    <w:rsid w:val="00107956"/>
    <w:rsid w:val="002E7844"/>
    <w:rsid w:val="003D4D05"/>
    <w:rsid w:val="004C2BBB"/>
    <w:rsid w:val="00644921"/>
    <w:rsid w:val="006619E1"/>
    <w:rsid w:val="006E7BD3"/>
    <w:rsid w:val="0089661E"/>
    <w:rsid w:val="00A2029C"/>
    <w:rsid w:val="00AA6C92"/>
    <w:rsid w:val="00AD3690"/>
    <w:rsid w:val="00BC0F6A"/>
    <w:rsid w:val="00D7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6E7BD3"/>
    <w:pPr>
      <w:spacing w:before="120" w:after="12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4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hesis title"/>
    <w:basedOn w:val="Normal"/>
    <w:next w:val="Normal"/>
    <w:link w:val="TitleChar"/>
    <w:autoRedefine/>
    <w:uiPriority w:val="10"/>
    <w:qFormat/>
    <w:rsid w:val="000F45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aliases w:val="Thesis title Char"/>
    <w:basedOn w:val="DefaultParagraphFont"/>
    <w:link w:val="Title"/>
    <w:uiPriority w:val="10"/>
    <w:rsid w:val="000F45D0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customStyle="1" w:styleId="ThesisHeading1">
    <w:name w:val="Thesis Heading 1"/>
    <w:basedOn w:val="Heading1"/>
    <w:autoRedefine/>
    <w:qFormat/>
    <w:rsid w:val="000F45D0"/>
    <w:rPr>
      <w:rFonts w:ascii="Arial" w:hAnsi="Arial"/>
      <w:b w:val="0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0F4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aliases w:val="Fig/Tab"/>
    <w:autoRedefine/>
    <w:uiPriority w:val="1"/>
    <w:qFormat/>
    <w:rsid w:val="00BC0F6A"/>
  </w:style>
  <w:style w:type="paragraph" w:customStyle="1" w:styleId="THead2">
    <w:name w:val="T Head 2"/>
    <w:basedOn w:val="Heading2"/>
    <w:autoRedefine/>
    <w:qFormat/>
    <w:rsid w:val="002E7844"/>
    <w:pPr>
      <w:numPr>
        <w:ilvl w:val="1"/>
        <w:numId w:val="4"/>
      </w:numPr>
      <w:spacing w:before="0"/>
    </w:pPr>
    <w:rPr>
      <w:rFonts w:asciiTheme="minorHAnsi" w:hAnsiTheme="minorHAnsi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Head3">
    <w:name w:val="T Head 3"/>
    <w:basedOn w:val="Heading3"/>
    <w:autoRedefine/>
    <w:qFormat/>
    <w:rsid w:val="002E7844"/>
    <w:pPr>
      <w:numPr>
        <w:ilvl w:val="2"/>
        <w:numId w:val="4"/>
      </w:numPr>
      <w:spacing w:before="0" w:line="240" w:lineRule="auto"/>
    </w:pPr>
    <w:rPr>
      <w:rFonts w:asciiTheme="minorHAnsi" w:hAnsiTheme="minorHAnsi"/>
      <w:b w:val="0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Head1">
    <w:name w:val="T Head1"/>
    <w:basedOn w:val="Heading1"/>
    <w:link w:val="THead1Char"/>
    <w:autoRedefine/>
    <w:qFormat/>
    <w:rsid w:val="00644921"/>
    <w:pPr>
      <w:numPr>
        <w:numId w:val="5"/>
      </w:numPr>
      <w:spacing w:before="120" w:after="120"/>
      <w:jc w:val="both"/>
    </w:pPr>
    <w:rPr>
      <w:rFonts w:asciiTheme="minorHAnsi" w:hAnsiTheme="minorHAnsi"/>
      <w:color w:val="auto"/>
    </w:rPr>
  </w:style>
  <w:style w:type="character" w:customStyle="1" w:styleId="THead1Char">
    <w:name w:val="T Head1 Char"/>
    <w:basedOn w:val="Heading1Char"/>
    <w:link w:val="THead1"/>
    <w:rsid w:val="00644921"/>
    <w:rPr>
      <w:b/>
      <w:bCs/>
    </w:rPr>
  </w:style>
  <w:style w:type="paragraph" w:customStyle="1" w:styleId="TTitle">
    <w:name w:val="T Title"/>
    <w:basedOn w:val="Title"/>
    <w:autoRedefine/>
    <w:qFormat/>
    <w:rsid w:val="002E7844"/>
    <w:rPr>
      <w:rFonts w:asciiTheme="minorHAnsi" w:hAnsiTheme="minorHAnsi" w:cs="Arial"/>
      <w:sz w:val="44"/>
      <w:szCs w:val="40"/>
    </w:rPr>
  </w:style>
  <w:style w:type="paragraph" w:customStyle="1" w:styleId="ThTitle">
    <w:name w:val="Th Title"/>
    <w:basedOn w:val="Title"/>
    <w:autoRedefine/>
    <w:qFormat/>
    <w:rsid w:val="00644921"/>
    <w:pPr>
      <w:spacing w:before="0" w:after="0"/>
      <w:jc w:val="center"/>
    </w:pPr>
    <w:rPr>
      <w:rFonts w:asciiTheme="minorHAnsi" w:hAnsiTheme="minorHAnsi" w:cs="Arial"/>
      <w:b/>
      <w:sz w:val="44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6308</Characters>
  <Application>Microsoft Office Word</Application>
  <DocSecurity>0</DocSecurity>
  <Lines>52</Lines>
  <Paragraphs>14</Paragraphs>
  <ScaleCrop>false</ScaleCrop>
  <Company>TOSHIBA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Blower</dc:creator>
  <cp:lastModifiedBy>Tim Blower</cp:lastModifiedBy>
  <cp:revision>2</cp:revision>
  <dcterms:created xsi:type="dcterms:W3CDTF">2012-08-15T12:26:00Z</dcterms:created>
  <dcterms:modified xsi:type="dcterms:W3CDTF">2012-08-17T11:38:00Z</dcterms:modified>
</cp:coreProperties>
</file>