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17" w:rsidRPr="00567AB2" w:rsidRDefault="00923117" w:rsidP="00923117">
      <w:pPr>
        <w:rPr>
          <w:rFonts w:cs="Calibri"/>
          <w:b/>
          <w:bCs/>
          <w:color w:val="000000" w:themeColor="text1"/>
          <w:sz w:val="24"/>
          <w:szCs w:val="24"/>
        </w:rPr>
      </w:pPr>
      <w:r w:rsidRPr="00567AB2">
        <w:rPr>
          <w:rFonts w:cs="Calibri"/>
          <w:b/>
          <w:bCs/>
          <w:color w:val="000000" w:themeColor="text1"/>
          <w:sz w:val="24"/>
          <w:szCs w:val="24"/>
        </w:rPr>
        <w:t xml:space="preserve">Table </w:t>
      </w:r>
      <w:r w:rsidR="00A94ED5"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567AB2">
        <w:rPr>
          <w:rFonts w:cs="Calibri"/>
          <w:b/>
          <w:bCs/>
          <w:color w:val="000000" w:themeColor="text1"/>
          <w:sz w:val="24"/>
          <w:szCs w:val="24"/>
        </w:rPr>
        <w:t>1</w:t>
      </w:r>
      <w:r w:rsidRPr="00567AB2" w:rsidDel="004769BB">
        <w:rPr>
          <w:rFonts w:cs="Calibri"/>
          <w:b/>
          <w:bCs/>
          <w:color w:val="000000" w:themeColor="text1"/>
          <w:sz w:val="24"/>
          <w:szCs w:val="24"/>
        </w:rPr>
        <w:t xml:space="preserve">. </w:t>
      </w:r>
      <w:r w:rsidRPr="00567AB2">
        <w:rPr>
          <w:rFonts w:cs="Calibri"/>
          <w:b/>
          <w:bCs/>
          <w:color w:val="000000" w:themeColor="text1"/>
          <w:sz w:val="24"/>
          <w:szCs w:val="24"/>
        </w:rPr>
        <w:t>Characteristics of high myopia cases and controls in three Singapore cohorts</w:t>
      </w:r>
      <w:r w:rsidR="003F38A6">
        <w:rPr>
          <w:rFonts w:cs="Calibri"/>
          <w:b/>
          <w:bCs/>
          <w:color w:val="000000" w:themeColor="text1"/>
          <w:sz w:val="24"/>
          <w:szCs w:val="24"/>
        </w:rPr>
        <w:t>.</w:t>
      </w:r>
    </w:p>
    <w:tbl>
      <w:tblPr>
        <w:tblW w:w="10260" w:type="dxa"/>
        <w:tblInd w:w="-72" w:type="dxa"/>
        <w:tblLayout w:type="fixed"/>
        <w:tblLook w:val="04A0"/>
      </w:tblPr>
      <w:tblGrid>
        <w:gridCol w:w="2430"/>
        <w:gridCol w:w="1260"/>
        <w:gridCol w:w="1260"/>
        <w:gridCol w:w="1530"/>
        <w:gridCol w:w="1260"/>
        <w:gridCol w:w="1260"/>
        <w:gridCol w:w="1260"/>
      </w:tblGrid>
      <w:tr w:rsidR="00923117" w:rsidRPr="00567AB2" w:rsidTr="00D93D1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b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b/>
                <w:color w:val="000000" w:themeColor="text1"/>
                <w:sz w:val="18"/>
                <w:szCs w:val="18"/>
              </w:rPr>
              <w:t>SCES</w:t>
            </w:r>
            <w:r w:rsidRPr="00567AB2">
              <w:rPr>
                <w:rFonts w:cs="Calibri"/>
                <w:b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b/>
                <w:color w:val="000000" w:themeColor="text1"/>
                <w:sz w:val="18"/>
                <w:szCs w:val="18"/>
              </w:rPr>
              <w:t>SCORM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b/>
                <w:color w:val="000000" w:themeColor="text1"/>
                <w:sz w:val="18"/>
                <w:szCs w:val="18"/>
              </w:rPr>
              <w:t>SiMES</w:t>
            </w:r>
          </w:p>
        </w:tc>
      </w:tr>
      <w:tr w:rsidR="00923117" w:rsidRPr="00567AB2" w:rsidTr="00D93D1C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High myopia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Controls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High myopia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Controls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High myopia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Controls</w:t>
            </w:r>
          </w:p>
        </w:tc>
      </w:tr>
      <w:tr w:rsidR="00923117" w:rsidRPr="00567AB2" w:rsidTr="00D93D1C">
        <w:tc>
          <w:tcPr>
            <w:tcW w:w="243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Individuals (n)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1,305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2,052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Male (%)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46.7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50.5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61.5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52.4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55.6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49.8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Age</w:t>
            </w:r>
            <w:r w:rsidRPr="00567AB2">
              <w:rPr>
                <w:rFonts w:cs="Calibr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(yrs)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53.2 (8.7)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57.4 (8.7)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11.2 (0.9)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10.8 (0.8)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55.2 (12.7)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 xml:space="preserve">57.6 (10.5) 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Range of age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[45, 75]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[44, 84]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[10, 12]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[10, 12]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[40, 79]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[40, 80]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Height</w:t>
            </w:r>
            <w:r w:rsidRPr="00567AB2">
              <w:rPr>
                <w:rFonts w:cs="Calibr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(cm)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Male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168.4 (7.7)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168.9 (6.4)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148.2 (9.2)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145.0 (8.0)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165.0 (8.1)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165.6 [6.3]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Female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158.9 (4.5)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157.0 (5.5)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149.2 (8.2)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144.7 (9.0)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151.2 (5.6)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152.2 [6.2]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Education levels</w:t>
            </w:r>
            <w:r w:rsidRPr="00567AB2">
              <w:rPr>
                <w:rFonts w:cs="Calibr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No formal education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13.6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19.6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22.2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18.0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Primary education 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11.4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38.9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16.9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23.3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8.9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Secondary education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31.8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25.7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42.0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33.3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47.7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Polytechnic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36.4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27.7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14.8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16.7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19.0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     University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27.7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14.2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22.2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6.4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Average AL</w:t>
            </w:r>
            <w:r w:rsidRPr="00567AB2">
              <w:rPr>
                <w:rFonts w:eastAsia="Times New Roman" w:cs="Calibri"/>
                <w:b/>
                <w:bCs/>
                <w:color w:val="000000" w:themeColor="text1"/>
                <w:vertAlign w:val="superscript"/>
              </w:rPr>
              <w:t>a</w:t>
            </w: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(mm)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27.46 (1.43)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24.13 (1.18)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25.97 (0.90)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23.28 (0.77)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27.84 (1.45)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23.43 (0.82)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Range of AL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[25.24, 32.66]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[21.05,28.20]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[23.76, 28.20]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[21.05, 26.09]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[25.20,31.11]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[20.48 -26.52]</w:t>
            </w:r>
          </w:p>
        </w:tc>
      </w:tr>
      <w:tr w:rsidR="00923117" w:rsidRPr="00567AB2" w:rsidTr="00D93D1C">
        <w:tc>
          <w:tcPr>
            <w:tcW w:w="2430" w:type="dxa"/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Average SE</w:t>
            </w:r>
            <w:r w:rsidRPr="00567AB2">
              <w:rPr>
                <w:rFonts w:eastAsia="Times New Roman" w:cs="Calibri"/>
                <w:b/>
                <w:bCs/>
                <w:color w:val="000000" w:themeColor="text1"/>
                <w:vertAlign w:val="superscript"/>
              </w:rPr>
              <w:t>a</w:t>
            </w: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 xml:space="preserve"> (diopter)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-10.03 (2.25)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0.24 (1.33)</w:t>
            </w:r>
          </w:p>
        </w:tc>
        <w:tc>
          <w:tcPr>
            <w:tcW w:w="153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-6.89 (1.06)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0.20 (0.62)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-9.55 (2.92)</w:t>
            </w:r>
          </w:p>
        </w:tc>
        <w:tc>
          <w:tcPr>
            <w:tcW w:w="1260" w:type="dxa"/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0.35 (1.14)</w:t>
            </w:r>
          </w:p>
        </w:tc>
      </w:tr>
      <w:tr w:rsidR="00923117" w:rsidRPr="00567AB2" w:rsidTr="00D93D1C">
        <w:tc>
          <w:tcPr>
            <w:tcW w:w="243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67AB2">
              <w:rPr>
                <w:rFonts w:cs="Calibri"/>
                <w:color w:val="000000" w:themeColor="text1"/>
                <w:sz w:val="20"/>
                <w:szCs w:val="20"/>
              </w:rPr>
              <w:t>Range of 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[-15.40,-5.63]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[-3.0, 6.25]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[-11.09,  -5.38]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eastAsia="Times New Roman" w:cs="Calibri"/>
                <w:color w:val="000000" w:themeColor="text1"/>
                <w:sz w:val="18"/>
                <w:szCs w:val="18"/>
              </w:rPr>
              <w:t>[-0.93,3.78]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[-6.21,-17.46]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23117" w:rsidRPr="00567AB2" w:rsidRDefault="00923117" w:rsidP="00D93D1C">
            <w:pPr>
              <w:spacing w:after="0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67AB2">
              <w:rPr>
                <w:rFonts w:cs="Calibri"/>
                <w:color w:val="000000" w:themeColor="text1"/>
                <w:sz w:val="18"/>
                <w:szCs w:val="18"/>
              </w:rPr>
              <w:t>[-2.94, 8.56]</w:t>
            </w:r>
          </w:p>
        </w:tc>
      </w:tr>
    </w:tbl>
    <w:p w:rsidR="00923117" w:rsidRPr="00567AB2" w:rsidRDefault="00923117" w:rsidP="00923117">
      <w:pPr>
        <w:spacing w:line="240" w:lineRule="auto"/>
        <w:contextualSpacing/>
        <w:rPr>
          <w:rFonts w:cs="Calibri"/>
          <w:bCs/>
          <w:color w:val="000000" w:themeColor="text1"/>
          <w:sz w:val="24"/>
          <w:szCs w:val="24"/>
        </w:rPr>
      </w:pPr>
      <w:r w:rsidRPr="00567AB2">
        <w:rPr>
          <w:rFonts w:cs="Calibri"/>
          <w:bCs/>
          <w:color w:val="000000" w:themeColor="text1"/>
          <w:sz w:val="24"/>
          <w:szCs w:val="24"/>
          <w:vertAlign w:val="superscript"/>
        </w:rPr>
        <w:t>a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Data presented are means ( standard deviation). AL, ocular axial length; SE, spherical equivalent. </w:t>
      </w:r>
    </w:p>
    <w:p w:rsidR="00923117" w:rsidRPr="00567AB2" w:rsidRDefault="00923117" w:rsidP="00923117">
      <w:pPr>
        <w:spacing w:line="240" w:lineRule="auto"/>
        <w:contextualSpacing/>
        <w:rPr>
          <w:rFonts w:cs="Calibri"/>
          <w:bCs/>
          <w:color w:val="000000" w:themeColor="text1"/>
          <w:sz w:val="24"/>
          <w:szCs w:val="24"/>
        </w:rPr>
      </w:pPr>
      <w:r w:rsidRPr="00567AB2">
        <w:rPr>
          <w:rFonts w:cs="Calibri"/>
          <w:bCs/>
          <w:color w:val="000000" w:themeColor="text1"/>
          <w:sz w:val="24"/>
          <w:szCs w:val="24"/>
          <w:vertAlign w:val="superscript"/>
        </w:rPr>
        <w:t xml:space="preserve">b 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The education levels of the children in SOCRM was presented by the educational attainment of the father. </w:t>
      </w:r>
    </w:p>
    <w:p w:rsidR="00567AB2" w:rsidRDefault="00923117" w:rsidP="00923117">
      <w:pPr>
        <w:spacing w:line="240" w:lineRule="auto"/>
        <w:contextualSpacing/>
        <w:rPr>
          <w:rFonts w:cs="Calibri"/>
          <w:bCs/>
          <w:color w:val="000000" w:themeColor="text1"/>
          <w:sz w:val="24"/>
          <w:szCs w:val="24"/>
        </w:rPr>
      </w:pPr>
      <w:r w:rsidRPr="00567AB2">
        <w:rPr>
          <w:rFonts w:cs="Calibri"/>
          <w:color w:val="000000" w:themeColor="text1"/>
          <w:sz w:val="24"/>
          <w:szCs w:val="24"/>
          <w:vertAlign w:val="superscript"/>
        </w:rPr>
        <w:t>c</w:t>
      </w:r>
      <w:r w:rsidRPr="00567AB2">
        <w:rPr>
          <w:rFonts w:cs="Calibri"/>
          <w:color w:val="000000" w:themeColor="text1"/>
          <w:sz w:val="24"/>
          <w:szCs w:val="24"/>
        </w:rPr>
        <w:t xml:space="preserve">GWAS cohorts. SCES, </w:t>
      </w:r>
      <w:r w:rsidRPr="00567AB2">
        <w:rPr>
          <w:rFonts w:cs="Calibri"/>
          <w:bCs/>
          <w:color w:val="000000" w:themeColor="text1"/>
          <w:sz w:val="24"/>
          <w:szCs w:val="24"/>
        </w:rPr>
        <w:t>Singapore Chinese Eye Study</w:t>
      </w:r>
      <w:r w:rsidRPr="00567AB2">
        <w:rPr>
          <w:rFonts w:cs="Calibri"/>
          <w:color w:val="000000" w:themeColor="text1"/>
          <w:sz w:val="24"/>
          <w:szCs w:val="24"/>
        </w:rPr>
        <w:t>;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 SCORM, Singapore Cohort study of the Risk factors for Myopia;</w:t>
      </w:r>
      <w:r w:rsidR="00567AB2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 SiMES</w:t>
      </w:r>
      <w:r w:rsidRPr="00567AB2">
        <w:rPr>
          <w:rFonts w:cs="Calibri"/>
          <w:color w:val="000000" w:themeColor="text1"/>
          <w:sz w:val="24"/>
          <w:szCs w:val="24"/>
        </w:rPr>
        <w:t xml:space="preserve">, 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Singapore Malay Eye Study. </w:t>
      </w:r>
    </w:p>
    <w:p w:rsidR="00923117" w:rsidRPr="00567AB2" w:rsidRDefault="00923117" w:rsidP="00923117">
      <w:pPr>
        <w:spacing w:line="240" w:lineRule="auto"/>
        <w:contextualSpacing/>
        <w:rPr>
          <w:rFonts w:cs="Calibri"/>
          <w:bCs/>
          <w:color w:val="000000" w:themeColor="text1"/>
          <w:sz w:val="24"/>
          <w:szCs w:val="24"/>
        </w:rPr>
      </w:pPr>
      <w:r w:rsidRPr="00567AB2">
        <w:rPr>
          <w:rFonts w:cs="Calibri"/>
          <w:bCs/>
          <w:color w:val="000000" w:themeColor="text1"/>
          <w:sz w:val="24"/>
          <w:szCs w:val="24"/>
        </w:rPr>
        <w:t xml:space="preserve">For SCES and SiMES, high myopia: </w:t>
      </w:r>
      <w:r w:rsidRPr="00567AB2">
        <w:rPr>
          <w:rFonts w:cs="Calibri"/>
          <w:color w:val="000000" w:themeColor="text1"/>
          <w:sz w:val="24"/>
          <w:szCs w:val="24"/>
        </w:rPr>
        <w:t>SE ≤ -9.00 D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 for either eye; </w:t>
      </w:r>
      <w:r w:rsidRPr="00567AB2">
        <w:rPr>
          <w:rFonts w:cs="Calibri"/>
          <w:color w:val="000000" w:themeColor="text1"/>
          <w:sz w:val="24"/>
          <w:szCs w:val="24"/>
        </w:rPr>
        <w:t xml:space="preserve">controls: SE ≥ -3.00 D for both eyes; For SCORM, 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high myopia: </w:t>
      </w:r>
      <w:r w:rsidRPr="00567AB2">
        <w:rPr>
          <w:rFonts w:cs="Calibri"/>
          <w:color w:val="000000" w:themeColor="text1"/>
          <w:sz w:val="24"/>
          <w:szCs w:val="24"/>
        </w:rPr>
        <w:t>SE ≤ -6.00 D</w:t>
      </w:r>
      <w:r w:rsidRPr="00567AB2">
        <w:rPr>
          <w:rFonts w:cs="Calibri"/>
          <w:bCs/>
          <w:color w:val="000000" w:themeColor="text1"/>
          <w:sz w:val="24"/>
          <w:szCs w:val="24"/>
        </w:rPr>
        <w:t xml:space="preserve"> for either eye; </w:t>
      </w:r>
      <w:r w:rsidRPr="00567AB2">
        <w:rPr>
          <w:rFonts w:cs="Calibri"/>
          <w:color w:val="000000" w:themeColor="text1"/>
          <w:sz w:val="24"/>
          <w:szCs w:val="24"/>
        </w:rPr>
        <w:t>controls: SE ≥ -1.00 D for both eyes</w:t>
      </w:r>
      <w:r w:rsidR="00C212E5" w:rsidRPr="00567AB2">
        <w:rPr>
          <w:rFonts w:cs="Calibri"/>
          <w:color w:val="000000" w:themeColor="text1"/>
          <w:sz w:val="24"/>
          <w:szCs w:val="24"/>
        </w:rPr>
        <w:t>.</w:t>
      </w:r>
    </w:p>
    <w:p w:rsidR="003B0DA8" w:rsidRPr="00567AB2" w:rsidRDefault="003F38A6">
      <w:pPr>
        <w:rPr>
          <w:color w:val="000000" w:themeColor="text1"/>
        </w:rPr>
      </w:pPr>
    </w:p>
    <w:sectPr w:rsidR="003B0DA8" w:rsidRPr="00567AB2" w:rsidSect="001B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23117"/>
    <w:rsid w:val="001B4516"/>
    <w:rsid w:val="003F38A6"/>
    <w:rsid w:val="00567AB2"/>
    <w:rsid w:val="00646CF3"/>
    <w:rsid w:val="008A438F"/>
    <w:rsid w:val="00923117"/>
    <w:rsid w:val="00A94ED5"/>
    <w:rsid w:val="00C212E5"/>
    <w:rsid w:val="00C671E7"/>
    <w:rsid w:val="00CA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>National University of Singapore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G0900032</dc:creator>
  <cp:lastModifiedBy>G0900032</cp:lastModifiedBy>
  <cp:revision>6</cp:revision>
  <dcterms:created xsi:type="dcterms:W3CDTF">2012-03-30T02:32:00Z</dcterms:created>
  <dcterms:modified xsi:type="dcterms:W3CDTF">2012-04-30T09:39:00Z</dcterms:modified>
</cp:coreProperties>
</file>