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6348" w:type="dxa"/>
        <w:jc w:val="center"/>
        <w:tblLayout w:type="fixed"/>
        <w:tblLook w:val="04A0" w:firstRow="1" w:lastRow="0" w:firstColumn="1" w:lastColumn="0" w:noHBand="0" w:noVBand="1"/>
      </w:tblPr>
      <w:tblGrid>
        <w:gridCol w:w="873"/>
        <w:gridCol w:w="1135"/>
        <w:gridCol w:w="1162"/>
        <w:gridCol w:w="2372"/>
        <w:gridCol w:w="1063"/>
        <w:gridCol w:w="846"/>
        <w:gridCol w:w="1485"/>
        <w:gridCol w:w="981"/>
        <w:gridCol w:w="2106"/>
        <w:gridCol w:w="1260"/>
        <w:gridCol w:w="1592"/>
        <w:gridCol w:w="1473"/>
      </w:tblGrid>
      <w:tr w:rsidR="00137904" w:rsidRPr="007E5370" w:rsidTr="009F799A">
        <w:trPr>
          <w:trHeight w:val="411"/>
          <w:tblHeader/>
          <w:jc w:val="center"/>
        </w:trPr>
        <w:tc>
          <w:tcPr>
            <w:tcW w:w="873" w:type="dxa"/>
            <w:shd w:val="clear" w:color="auto" w:fill="D9D9D9" w:themeFill="background1" w:themeFillShade="D9"/>
            <w:vAlign w:val="center"/>
          </w:tcPr>
          <w:p w:rsidR="00137904" w:rsidRPr="006C3554" w:rsidRDefault="00137904" w:rsidP="00A9014E">
            <w:pPr>
              <w:jc w:val="center"/>
              <w:rPr>
                <w:b/>
                <w:color w:val="000000" w:themeColor="text1"/>
                <w:sz w:val="16"/>
                <w:szCs w:val="16"/>
              </w:rPr>
            </w:pPr>
          </w:p>
        </w:tc>
        <w:tc>
          <w:tcPr>
            <w:tcW w:w="1135" w:type="dxa"/>
            <w:shd w:val="clear" w:color="auto" w:fill="D9D9D9" w:themeFill="background1" w:themeFillShade="D9"/>
            <w:vAlign w:val="center"/>
          </w:tcPr>
          <w:p w:rsidR="00137904" w:rsidRPr="006C3554" w:rsidRDefault="00137904" w:rsidP="00A9014E">
            <w:pPr>
              <w:jc w:val="center"/>
              <w:rPr>
                <w:b/>
                <w:color w:val="000000" w:themeColor="text1"/>
                <w:sz w:val="16"/>
                <w:szCs w:val="16"/>
              </w:rPr>
            </w:pPr>
          </w:p>
        </w:tc>
        <w:tc>
          <w:tcPr>
            <w:tcW w:w="1162" w:type="dxa"/>
            <w:shd w:val="clear" w:color="auto" w:fill="D9D9D9" w:themeFill="background1" w:themeFillShade="D9"/>
            <w:vAlign w:val="center"/>
          </w:tcPr>
          <w:p w:rsidR="00137904" w:rsidRPr="006C3554" w:rsidRDefault="00137904" w:rsidP="00A9014E">
            <w:pPr>
              <w:jc w:val="center"/>
              <w:rPr>
                <w:b/>
                <w:color w:val="000000" w:themeColor="text1"/>
                <w:sz w:val="16"/>
                <w:szCs w:val="16"/>
              </w:rPr>
            </w:pPr>
          </w:p>
        </w:tc>
        <w:tc>
          <w:tcPr>
            <w:tcW w:w="2372" w:type="dxa"/>
            <w:shd w:val="clear" w:color="auto" w:fill="D9D9D9" w:themeFill="background1" w:themeFillShade="D9"/>
            <w:vAlign w:val="center"/>
          </w:tcPr>
          <w:p w:rsidR="00137904" w:rsidRPr="006C3554" w:rsidRDefault="00137904" w:rsidP="00A9014E">
            <w:pPr>
              <w:jc w:val="center"/>
              <w:rPr>
                <w:b/>
                <w:color w:val="000000" w:themeColor="text1"/>
                <w:sz w:val="16"/>
                <w:szCs w:val="16"/>
              </w:rPr>
            </w:pPr>
          </w:p>
        </w:tc>
        <w:tc>
          <w:tcPr>
            <w:tcW w:w="1063" w:type="dxa"/>
            <w:shd w:val="clear" w:color="auto" w:fill="D9D9D9" w:themeFill="background1" w:themeFillShade="D9"/>
            <w:vAlign w:val="center"/>
          </w:tcPr>
          <w:p w:rsidR="00137904" w:rsidRPr="006C3554" w:rsidRDefault="00137904" w:rsidP="00A9014E">
            <w:pPr>
              <w:jc w:val="center"/>
              <w:rPr>
                <w:b/>
                <w:color w:val="000000" w:themeColor="text1"/>
                <w:sz w:val="16"/>
                <w:szCs w:val="16"/>
              </w:rPr>
            </w:pPr>
          </w:p>
        </w:tc>
        <w:tc>
          <w:tcPr>
            <w:tcW w:w="2331" w:type="dxa"/>
            <w:gridSpan w:val="2"/>
            <w:shd w:val="clear" w:color="auto" w:fill="D9D9D9" w:themeFill="background1" w:themeFillShade="D9"/>
            <w:vAlign w:val="center"/>
          </w:tcPr>
          <w:p w:rsidR="00137904" w:rsidRPr="007E5370" w:rsidRDefault="00137904" w:rsidP="00A9014E">
            <w:pPr>
              <w:jc w:val="center"/>
              <w:rPr>
                <w:b/>
                <w:color w:val="000000" w:themeColor="text1"/>
                <w:sz w:val="16"/>
                <w:szCs w:val="16"/>
              </w:rPr>
            </w:pPr>
            <w:r w:rsidRPr="007E5370">
              <w:rPr>
                <w:rFonts w:eastAsia="Times New Roman" w:cs="Times New Roman"/>
                <w:b/>
                <w:color w:val="000000" w:themeColor="text1"/>
                <w:sz w:val="16"/>
                <w:szCs w:val="16"/>
                <w:lang w:val="en-GB" w:eastAsia="en-GB"/>
              </w:rPr>
              <w:t>Sample QC</w:t>
            </w:r>
          </w:p>
        </w:tc>
        <w:tc>
          <w:tcPr>
            <w:tcW w:w="5939" w:type="dxa"/>
            <w:gridSpan w:val="4"/>
            <w:shd w:val="clear" w:color="auto" w:fill="D9D9D9" w:themeFill="background1" w:themeFillShade="D9"/>
            <w:vAlign w:val="center"/>
          </w:tcPr>
          <w:p w:rsidR="00137904" w:rsidRPr="007E5370" w:rsidRDefault="00137904" w:rsidP="00A9014E">
            <w:pPr>
              <w:jc w:val="center"/>
              <w:rPr>
                <w:b/>
                <w:color w:val="000000" w:themeColor="text1"/>
                <w:sz w:val="16"/>
                <w:szCs w:val="16"/>
              </w:rPr>
            </w:pPr>
            <w:r w:rsidRPr="007E5370">
              <w:rPr>
                <w:rFonts w:eastAsia="Times New Roman" w:cs="Times New Roman"/>
                <w:b/>
                <w:color w:val="000000" w:themeColor="text1"/>
                <w:sz w:val="16"/>
                <w:szCs w:val="16"/>
                <w:lang w:val="en-GB" w:eastAsia="en-GB"/>
              </w:rPr>
              <w:t>Variant QC</w:t>
            </w:r>
          </w:p>
        </w:tc>
        <w:tc>
          <w:tcPr>
            <w:tcW w:w="1473" w:type="dxa"/>
            <w:shd w:val="clear" w:color="auto" w:fill="D9D9D9" w:themeFill="background1" w:themeFillShade="D9"/>
            <w:vAlign w:val="center"/>
          </w:tcPr>
          <w:p w:rsidR="00137904" w:rsidRPr="007E5370" w:rsidRDefault="00137904" w:rsidP="00A9014E">
            <w:pPr>
              <w:jc w:val="center"/>
              <w:rPr>
                <w:b/>
                <w:color w:val="000000" w:themeColor="text1"/>
                <w:sz w:val="16"/>
                <w:szCs w:val="16"/>
              </w:rPr>
            </w:pPr>
          </w:p>
        </w:tc>
      </w:tr>
      <w:tr w:rsidR="00137904" w:rsidRPr="007E5370" w:rsidTr="00A9014E">
        <w:trPr>
          <w:trHeight w:val="20"/>
          <w:tblHeader/>
          <w:jc w:val="center"/>
        </w:trPr>
        <w:tc>
          <w:tcPr>
            <w:tcW w:w="873" w:type="dxa"/>
            <w:shd w:val="clear" w:color="auto" w:fill="D9D9D9" w:themeFill="background1" w:themeFillShade="D9"/>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Ancestry</w:t>
            </w:r>
          </w:p>
        </w:tc>
        <w:tc>
          <w:tcPr>
            <w:tcW w:w="1135" w:type="dxa"/>
            <w:shd w:val="clear" w:color="auto" w:fill="D9D9D9" w:themeFill="background1" w:themeFillShade="D9"/>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Study</w:t>
            </w:r>
          </w:p>
        </w:tc>
        <w:tc>
          <w:tcPr>
            <w:tcW w:w="1162" w:type="dxa"/>
            <w:shd w:val="clear" w:color="auto" w:fill="D9D9D9" w:themeFill="background1" w:themeFillShade="D9"/>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Citation (s)</w:t>
            </w:r>
          </w:p>
        </w:tc>
        <w:tc>
          <w:tcPr>
            <w:tcW w:w="2372"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Sample Ascertainment</w:t>
            </w:r>
          </w:p>
        </w:tc>
        <w:tc>
          <w:tcPr>
            <w:tcW w:w="1063" w:type="dxa"/>
            <w:shd w:val="clear" w:color="auto" w:fill="D9D9D9" w:themeFill="background1" w:themeFillShade="D9"/>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 xml:space="preserve">Genotyping </w:t>
            </w:r>
          </w:p>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array</w:t>
            </w:r>
          </w:p>
        </w:tc>
        <w:tc>
          <w:tcPr>
            <w:tcW w:w="846"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Call rate</w:t>
            </w:r>
          </w:p>
        </w:tc>
        <w:tc>
          <w:tcPr>
            <w:tcW w:w="1485"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Exclusion criteria</w:t>
            </w:r>
          </w:p>
        </w:tc>
        <w:tc>
          <w:tcPr>
            <w:tcW w:w="981"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Call rate</w:t>
            </w:r>
          </w:p>
        </w:tc>
        <w:tc>
          <w:tcPr>
            <w:tcW w:w="2106"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Filtering criteria</w:t>
            </w:r>
          </w:p>
        </w:tc>
        <w:tc>
          <w:tcPr>
            <w:tcW w:w="1260"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Calling algorithm</w:t>
            </w:r>
          </w:p>
        </w:tc>
        <w:tc>
          <w:tcPr>
            <w:tcW w:w="1592" w:type="dxa"/>
            <w:shd w:val="clear" w:color="auto" w:fill="D9D9D9" w:themeFill="background1" w:themeFillShade="D9"/>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Number of variants analysed (N) for FG and FI</w:t>
            </w:r>
          </w:p>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 xml:space="preserve">[% of variants in frequency bins: </w:t>
            </w:r>
          </w:p>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 xml:space="preserve">MAF &lt; 0.05% / </w:t>
            </w:r>
          </w:p>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0.05% ≤ MAF &lt; 5% / MAF ≥ 5%]</w:t>
            </w:r>
          </w:p>
        </w:tc>
        <w:tc>
          <w:tcPr>
            <w:tcW w:w="1473" w:type="dxa"/>
            <w:shd w:val="clear" w:color="auto" w:fill="D9D9D9" w:themeFill="background1" w:themeFillShade="D9"/>
            <w:noWrap/>
            <w:vAlign w:val="center"/>
            <w:hideMark/>
          </w:tcPr>
          <w:p w:rsidR="00137904" w:rsidRPr="007E5370" w:rsidRDefault="00137904" w:rsidP="00A9014E">
            <w:pPr>
              <w:jc w:val="cente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Association covariates</w:t>
            </w:r>
          </w:p>
        </w:tc>
      </w:tr>
      <w:tr w:rsidR="00137904" w:rsidRPr="007E5370" w:rsidTr="00A9014E">
        <w:trPr>
          <w:trHeight w:val="1969"/>
          <w:jc w:val="center"/>
        </w:trPr>
        <w:tc>
          <w:tcPr>
            <w:tcW w:w="873" w:type="dxa"/>
            <w:hideMark/>
          </w:tcPr>
          <w:p w:rsidR="00137904" w:rsidRPr="007E5370" w:rsidRDefault="00137904" w:rsidP="00A9014E">
            <w:pPr>
              <w:rPr>
                <w:rFonts w:eastAsia="Times New Roman" w:cs="Times New Roman"/>
                <w:b/>
                <w:color w:val="000000" w:themeColor="text1"/>
                <w:sz w:val="16"/>
                <w:szCs w:val="16"/>
                <w:lang w:val="en-GB" w:eastAsia="en-GB"/>
              </w:rPr>
            </w:pPr>
            <w:r w:rsidRPr="007E5370">
              <w:rPr>
                <w:rFonts w:eastAsia="Times New Roman" w:cs="Times New Roman"/>
                <w:b/>
                <w:color w:val="000000" w:themeColor="text1"/>
                <w:sz w:val="16"/>
                <w:szCs w:val="16"/>
                <w:lang w:val="en-GB" w:eastAsia="en-GB"/>
              </w:rPr>
              <w:t>European [Finnish]</w:t>
            </w:r>
          </w:p>
        </w:tc>
        <w:tc>
          <w:tcPr>
            <w:tcW w:w="1135" w:type="dxa"/>
            <w:noWrap/>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FIN-D2D 2007</w:t>
            </w:r>
          </w:p>
        </w:tc>
        <w:tc>
          <w:tcPr>
            <w:tcW w:w="1162" w:type="dxa"/>
            <w:noWrap/>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 xml:space="preserve">20459722 </w:t>
            </w:r>
            <w:r w:rsidRPr="007E5370">
              <w:rPr>
                <w:rFonts w:eastAsia="Times New Roman" w:cs="Times New Roman"/>
                <w:noProof/>
                <w:color w:val="000000" w:themeColor="text1"/>
                <w:sz w:val="16"/>
                <w:szCs w:val="16"/>
                <w:lang w:val="en-GB" w:eastAsia="en-GB"/>
              </w:rPr>
              <w:t>[</w:t>
            </w:r>
            <w:r w:rsidR="0012558C">
              <w:rPr>
                <w:rFonts w:eastAsia="Times New Roman" w:cs="Times New Roman"/>
                <w:noProof/>
                <w:color w:val="000000" w:themeColor="text1"/>
                <w:sz w:val="16"/>
                <w:szCs w:val="16"/>
                <w:lang w:val="en-GB" w:eastAsia="en-GB"/>
              </w:rPr>
              <w:t>43</w:t>
            </w:r>
            <w:r w:rsidRPr="007E5370">
              <w:rPr>
                <w:rFonts w:eastAsia="Times New Roman" w:cs="Times New Roman"/>
                <w:noProof/>
                <w:color w:val="000000" w:themeColor="text1"/>
                <w:sz w:val="16"/>
                <w:szCs w:val="16"/>
                <w:lang w:val="en-GB" w:eastAsia="en-GB"/>
              </w:rPr>
              <w:t>]</w:t>
            </w:r>
          </w:p>
        </w:tc>
        <w:tc>
          <w:tcPr>
            <w:tcW w:w="2372" w:type="dxa"/>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 Population-based survey</w:t>
            </w:r>
            <w:r w:rsidRPr="007E5370">
              <w:rPr>
                <w:rFonts w:eastAsia="Times New Roman" w:cs="Times New Roman"/>
                <w:color w:val="000000" w:themeColor="text1"/>
                <w:sz w:val="16"/>
                <w:szCs w:val="16"/>
                <w:lang w:val="en-GB" w:eastAsia="en-GB"/>
              </w:rPr>
              <w:br/>
              <w:t>- Glucose tolerance classified according to WHO 1999 criteria</w:t>
            </w:r>
            <w:r w:rsidRPr="007E5370">
              <w:rPr>
                <w:rFonts w:eastAsia="Times New Roman" w:cs="Times New Roman"/>
                <w:color w:val="000000" w:themeColor="text1"/>
                <w:sz w:val="16"/>
                <w:szCs w:val="16"/>
                <w:lang w:val="en-GB" w:eastAsia="en-GB"/>
              </w:rPr>
              <w:br/>
              <w:t xml:space="preserve">- T1D and T2D (fasting plasma glucose concentration ≥7.0 </w:t>
            </w:r>
            <w:proofErr w:type="spellStart"/>
            <w:r w:rsidRPr="007E5370">
              <w:rPr>
                <w:rFonts w:eastAsia="Times New Roman" w:cs="Times New Roman"/>
                <w:color w:val="000000" w:themeColor="text1"/>
                <w:sz w:val="16"/>
                <w:szCs w:val="16"/>
                <w:lang w:val="en-GB" w:eastAsia="en-GB"/>
              </w:rPr>
              <w:t>mmol</w:t>
            </w:r>
            <w:proofErr w:type="spellEnd"/>
            <w:r w:rsidRPr="007E5370">
              <w:rPr>
                <w:rFonts w:eastAsia="Times New Roman" w:cs="Times New Roman"/>
                <w:color w:val="000000" w:themeColor="text1"/>
                <w:sz w:val="16"/>
                <w:szCs w:val="16"/>
                <w:lang w:val="en-GB" w:eastAsia="en-GB"/>
              </w:rPr>
              <w:t xml:space="preserve">/l or 2-h plasma glucose concentration ≥11.1 </w:t>
            </w:r>
            <w:proofErr w:type="spellStart"/>
            <w:r w:rsidRPr="007E5370">
              <w:rPr>
                <w:rFonts w:eastAsia="Times New Roman" w:cs="Times New Roman"/>
                <w:color w:val="000000" w:themeColor="text1"/>
                <w:sz w:val="16"/>
                <w:szCs w:val="16"/>
                <w:lang w:val="en-GB" w:eastAsia="en-GB"/>
              </w:rPr>
              <w:t>mmol</w:t>
            </w:r>
            <w:proofErr w:type="spellEnd"/>
            <w:r w:rsidRPr="007E5370">
              <w:rPr>
                <w:rFonts w:eastAsia="Times New Roman" w:cs="Times New Roman"/>
                <w:color w:val="000000" w:themeColor="text1"/>
                <w:sz w:val="16"/>
                <w:szCs w:val="16"/>
                <w:lang w:val="en-GB" w:eastAsia="en-GB"/>
              </w:rPr>
              <w:t>/l) cases excluded</w:t>
            </w:r>
            <w:r w:rsidRPr="007E5370">
              <w:rPr>
                <w:rFonts w:eastAsia="Times New Roman" w:cs="Times New Roman"/>
                <w:color w:val="000000" w:themeColor="text1"/>
                <w:sz w:val="16"/>
                <w:szCs w:val="16"/>
                <w:lang w:val="en-GB" w:eastAsia="en-GB"/>
              </w:rPr>
              <w:br/>
              <w:t>- Further excluded individuals with HbA1c ≥6.5% according to ADA 2012 criteria for T2D</w:t>
            </w:r>
          </w:p>
        </w:tc>
        <w:tc>
          <w:tcPr>
            <w:tcW w:w="1063" w:type="dxa"/>
            <w:noWrap/>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HumanExome-12v1-1_A</w:t>
            </w:r>
          </w:p>
        </w:tc>
        <w:tc>
          <w:tcPr>
            <w:tcW w:w="846" w:type="dxa"/>
            <w:noWrap/>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&gt;99%</w:t>
            </w:r>
          </w:p>
        </w:tc>
        <w:tc>
          <w:tcPr>
            <w:tcW w:w="1485" w:type="dxa"/>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 call rate ≤99%</w:t>
            </w:r>
            <w:r w:rsidRPr="007E5370">
              <w:rPr>
                <w:rFonts w:eastAsia="Times New Roman" w:cs="Times New Roman"/>
                <w:color w:val="000000" w:themeColor="text1"/>
                <w:sz w:val="16"/>
                <w:szCs w:val="16"/>
                <w:lang w:val="en-GB" w:eastAsia="en-GB"/>
              </w:rPr>
              <w:br/>
              <w:t xml:space="preserve">- </w:t>
            </w:r>
            <w:proofErr w:type="spellStart"/>
            <w:r w:rsidRPr="007E5370">
              <w:rPr>
                <w:rFonts w:eastAsia="Times New Roman" w:cs="Times New Roman"/>
                <w:color w:val="000000" w:themeColor="text1"/>
                <w:sz w:val="16"/>
                <w:szCs w:val="16"/>
                <w:lang w:val="en-GB" w:eastAsia="en-GB"/>
              </w:rPr>
              <w:t>heterozygosity</w:t>
            </w:r>
            <w:proofErr w:type="spellEnd"/>
            <w:r w:rsidRPr="007E5370">
              <w:rPr>
                <w:rFonts w:eastAsia="Times New Roman" w:cs="Times New Roman"/>
                <w:color w:val="000000" w:themeColor="text1"/>
                <w:sz w:val="16"/>
                <w:szCs w:val="16"/>
                <w:lang w:val="en-GB" w:eastAsia="en-GB"/>
              </w:rPr>
              <w:t xml:space="preserve"> &gt;median + 3*IQR</w:t>
            </w:r>
            <w:r w:rsidRPr="007E5370">
              <w:rPr>
                <w:rFonts w:eastAsia="Times New Roman" w:cs="Times New Roman"/>
                <w:color w:val="000000" w:themeColor="text1"/>
                <w:sz w:val="16"/>
                <w:szCs w:val="16"/>
                <w:lang w:val="en-GB" w:eastAsia="en-GB"/>
              </w:rPr>
              <w:br/>
              <w:t>- technical duplicates with lower call rate</w:t>
            </w:r>
            <w:r w:rsidRPr="007E5370">
              <w:rPr>
                <w:rFonts w:eastAsia="Times New Roman" w:cs="Times New Roman"/>
                <w:color w:val="000000" w:themeColor="text1"/>
                <w:sz w:val="16"/>
                <w:szCs w:val="16"/>
                <w:lang w:val="en-GB" w:eastAsia="en-GB"/>
              </w:rPr>
              <w:br/>
              <w:t>- Non-European population outliers</w:t>
            </w:r>
            <w:r w:rsidRPr="007E5370">
              <w:rPr>
                <w:rFonts w:eastAsia="Times New Roman" w:cs="Times New Roman"/>
                <w:color w:val="000000" w:themeColor="text1"/>
                <w:sz w:val="16"/>
                <w:szCs w:val="16"/>
                <w:lang w:val="en-GB" w:eastAsia="en-GB"/>
              </w:rPr>
              <w:br/>
              <w:t>- sex discrepancy</w:t>
            </w:r>
            <w:r w:rsidRPr="007E5370">
              <w:rPr>
                <w:rFonts w:eastAsia="Times New Roman" w:cs="Times New Roman"/>
                <w:color w:val="000000" w:themeColor="text1"/>
                <w:sz w:val="16"/>
                <w:szCs w:val="16"/>
                <w:lang w:val="en-GB" w:eastAsia="en-GB"/>
              </w:rPr>
              <w:br/>
              <w:t>- contamination score &gt;10%</w:t>
            </w:r>
          </w:p>
        </w:tc>
        <w:tc>
          <w:tcPr>
            <w:tcW w:w="981" w:type="dxa"/>
            <w:noWrap/>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≥95%</w:t>
            </w:r>
          </w:p>
        </w:tc>
        <w:tc>
          <w:tcPr>
            <w:tcW w:w="2106" w:type="dxa"/>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 xml:space="preserve">- exclude 101 </w:t>
            </w:r>
            <w:proofErr w:type="spellStart"/>
            <w:r w:rsidRPr="007E5370">
              <w:rPr>
                <w:rFonts w:eastAsia="Times New Roman" w:cs="Times New Roman"/>
                <w:color w:val="000000" w:themeColor="text1"/>
                <w:sz w:val="16"/>
                <w:szCs w:val="16"/>
                <w:lang w:val="en-GB" w:eastAsia="en-GB"/>
              </w:rPr>
              <w:t>indels</w:t>
            </w:r>
            <w:proofErr w:type="spellEnd"/>
            <w:r w:rsidRPr="007E5370">
              <w:rPr>
                <w:rFonts w:eastAsia="Times New Roman" w:cs="Times New Roman"/>
                <w:color w:val="000000" w:themeColor="text1"/>
                <w:sz w:val="16"/>
                <w:szCs w:val="16"/>
                <w:lang w:val="en-GB" w:eastAsia="en-GB"/>
              </w:rPr>
              <w:t xml:space="preserve"> with different allele mapping across the two sites</w:t>
            </w:r>
            <w:r w:rsidRPr="007E5370">
              <w:rPr>
                <w:rFonts w:eastAsia="Times New Roman" w:cs="Times New Roman"/>
                <w:color w:val="000000" w:themeColor="text1"/>
                <w:sz w:val="16"/>
                <w:szCs w:val="16"/>
                <w:lang w:val="en-GB" w:eastAsia="en-GB"/>
              </w:rPr>
              <w:br/>
              <w:t>- exclude variants that had chromosome or position or allele mismatch</w:t>
            </w:r>
            <w:r w:rsidRPr="007E5370">
              <w:rPr>
                <w:rFonts w:eastAsia="Times New Roman" w:cs="Times New Roman"/>
                <w:color w:val="000000" w:themeColor="text1"/>
                <w:sz w:val="16"/>
                <w:szCs w:val="16"/>
                <w:lang w:val="en-GB" w:eastAsia="en-GB"/>
              </w:rPr>
              <w:br/>
              <w:t>- exclude duplicated variants, keeping the one with higher call rate. If the call rate is the same, arbitrarily take the one with that comes first in the file</w:t>
            </w:r>
            <w:r w:rsidRPr="007E5370">
              <w:rPr>
                <w:rFonts w:eastAsia="Times New Roman" w:cs="Times New Roman"/>
                <w:color w:val="000000" w:themeColor="text1"/>
                <w:sz w:val="16"/>
                <w:szCs w:val="16"/>
                <w:lang w:val="en-GB" w:eastAsia="en-GB"/>
              </w:rPr>
              <w:br/>
              <w:t>- call rate &lt;95%</w:t>
            </w:r>
            <w:r w:rsidRPr="007E5370">
              <w:rPr>
                <w:rFonts w:eastAsia="Times New Roman" w:cs="Times New Roman"/>
                <w:color w:val="000000" w:themeColor="text1"/>
                <w:sz w:val="16"/>
                <w:szCs w:val="16"/>
                <w:lang w:val="en-GB" w:eastAsia="en-GB"/>
              </w:rPr>
              <w:br/>
              <w:t>- exact HWE &lt;10</w:t>
            </w:r>
            <w:r w:rsidRPr="007E5370">
              <w:rPr>
                <w:rFonts w:eastAsia="Times New Roman" w:cs="Times New Roman"/>
                <w:color w:val="000000" w:themeColor="text1"/>
                <w:sz w:val="16"/>
                <w:szCs w:val="16"/>
                <w:vertAlign w:val="superscript"/>
                <w:lang w:val="en-GB" w:eastAsia="en-GB"/>
              </w:rPr>
              <w:t>-5</w:t>
            </w:r>
          </w:p>
        </w:tc>
        <w:tc>
          <w:tcPr>
            <w:tcW w:w="1260" w:type="dxa"/>
            <w:hideMark/>
          </w:tcPr>
          <w:p w:rsidR="00137904" w:rsidRPr="007E5370" w:rsidRDefault="00137904" w:rsidP="00A9014E">
            <w:pPr>
              <w:rPr>
                <w:rFonts w:eastAsia="Times New Roman" w:cs="Times New Roman"/>
                <w:color w:val="000000" w:themeColor="text1"/>
                <w:sz w:val="16"/>
                <w:szCs w:val="16"/>
                <w:lang w:val="en-GB" w:eastAsia="en-GB"/>
              </w:rPr>
            </w:pPr>
            <w:proofErr w:type="spellStart"/>
            <w:r w:rsidRPr="007E5370">
              <w:rPr>
                <w:rFonts w:eastAsia="Times New Roman" w:cs="Times New Roman"/>
                <w:color w:val="000000" w:themeColor="text1"/>
                <w:sz w:val="16"/>
                <w:szCs w:val="16"/>
                <w:lang w:val="en-GB" w:eastAsia="en-GB"/>
              </w:rPr>
              <w:t>Illumina</w:t>
            </w:r>
            <w:proofErr w:type="spellEnd"/>
            <w:r w:rsidRPr="007E5370">
              <w:rPr>
                <w:rFonts w:eastAsia="Times New Roman" w:cs="Times New Roman"/>
                <w:color w:val="000000" w:themeColor="text1"/>
                <w:sz w:val="16"/>
                <w:szCs w:val="16"/>
                <w:lang w:val="en-GB" w:eastAsia="en-GB"/>
              </w:rPr>
              <w:t xml:space="preserve"> </w:t>
            </w:r>
            <w:proofErr w:type="spellStart"/>
            <w:r w:rsidRPr="007E5370">
              <w:rPr>
                <w:rFonts w:eastAsia="Times New Roman" w:cs="Times New Roman"/>
                <w:color w:val="000000" w:themeColor="text1"/>
                <w:sz w:val="16"/>
                <w:szCs w:val="16"/>
                <w:lang w:val="en-GB" w:eastAsia="en-GB"/>
              </w:rPr>
              <w:t>GenCall</w:t>
            </w:r>
            <w:proofErr w:type="spellEnd"/>
            <w:r w:rsidRPr="007E5370">
              <w:rPr>
                <w:rFonts w:eastAsia="Times New Roman" w:cs="Times New Roman"/>
                <w:color w:val="000000" w:themeColor="text1"/>
                <w:sz w:val="16"/>
                <w:szCs w:val="16"/>
                <w:lang w:val="en-GB" w:eastAsia="en-GB"/>
              </w:rPr>
              <w:t xml:space="preserve"> using standard </w:t>
            </w:r>
            <w:proofErr w:type="spellStart"/>
            <w:r w:rsidRPr="007E5370">
              <w:rPr>
                <w:rFonts w:eastAsia="Times New Roman" w:cs="Times New Roman"/>
                <w:color w:val="000000" w:themeColor="text1"/>
                <w:sz w:val="16"/>
                <w:szCs w:val="16"/>
                <w:lang w:val="en-GB" w:eastAsia="en-GB"/>
              </w:rPr>
              <w:t>Illumina</w:t>
            </w:r>
            <w:proofErr w:type="spellEnd"/>
            <w:r w:rsidRPr="007E5370">
              <w:rPr>
                <w:rFonts w:eastAsia="Times New Roman" w:cs="Times New Roman"/>
                <w:color w:val="000000" w:themeColor="text1"/>
                <w:sz w:val="16"/>
                <w:szCs w:val="16"/>
                <w:lang w:val="en-GB" w:eastAsia="en-GB"/>
              </w:rPr>
              <w:t xml:space="preserve"> cluster files + </w:t>
            </w:r>
            <w:proofErr w:type="spellStart"/>
            <w:r w:rsidRPr="007E5370">
              <w:rPr>
                <w:rFonts w:eastAsia="Times New Roman" w:cs="Times New Roman"/>
                <w:color w:val="000000" w:themeColor="text1"/>
                <w:sz w:val="16"/>
                <w:szCs w:val="16"/>
                <w:lang w:val="en-GB" w:eastAsia="en-GB"/>
              </w:rPr>
              <w:t>Zcall</w:t>
            </w:r>
            <w:proofErr w:type="spellEnd"/>
          </w:p>
        </w:tc>
        <w:tc>
          <w:tcPr>
            <w:tcW w:w="1592" w:type="dxa"/>
            <w:tcBorders>
              <w:bottom w:val="single" w:sz="4" w:space="0" w:color="auto"/>
            </w:tcBorders>
            <w:shd w:val="clear" w:color="auto" w:fill="auto"/>
          </w:tcPr>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FG</w:t>
            </w: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N = 59,745 [0.00/56.90/43.10]</w:t>
            </w:r>
          </w:p>
          <w:p w:rsidR="00137904" w:rsidRPr="007E5370" w:rsidRDefault="00137904" w:rsidP="00A9014E">
            <w:pPr>
              <w:autoSpaceDE w:val="0"/>
              <w:autoSpaceDN w:val="0"/>
              <w:adjustRightInd w:val="0"/>
              <w:rPr>
                <w:rFonts w:cs="Courier New"/>
                <w:color w:val="000000" w:themeColor="text1"/>
                <w:sz w:val="16"/>
                <w:szCs w:val="16"/>
              </w:rPr>
            </w:pP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FI</w:t>
            </w: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N = 59,647 [0.00/56.82/43.18]</w:t>
            </w:r>
          </w:p>
          <w:p w:rsidR="00137904" w:rsidRPr="007E5370" w:rsidRDefault="00137904" w:rsidP="00A9014E">
            <w:pPr>
              <w:rPr>
                <w:rFonts w:eastAsia="Times New Roman" w:cs="Times New Roman"/>
                <w:color w:val="000000" w:themeColor="text1"/>
                <w:sz w:val="16"/>
                <w:szCs w:val="16"/>
                <w:lang w:val="en-GB" w:eastAsia="en-GB"/>
              </w:rPr>
            </w:pPr>
          </w:p>
        </w:tc>
        <w:tc>
          <w:tcPr>
            <w:tcW w:w="1473" w:type="dxa"/>
            <w:hideMark/>
          </w:tcPr>
          <w:p w:rsidR="00137904" w:rsidRPr="007E5370" w:rsidRDefault="00137904" w:rsidP="00A9014E">
            <w:pPr>
              <w:rPr>
                <w:rFonts w:eastAsia="Times New Roman" w:cs="Times New Roman"/>
                <w:color w:val="000000" w:themeColor="text1"/>
                <w:sz w:val="16"/>
                <w:szCs w:val="16"/>
                <w:lang w:val="en-GB" w:eastAsia="en-GB"/>
              </w:rPr>
            </w:pPr>
            <w:r w:rsidRPr="007E5370">
              <w:rPr>
                <w:rFonts w:eastAsia="Times New Roman" w:cs="Times New Roman"/>
                <w:color w:val="000000" w:themeColor="text1"/>
                <w:sz w:val="16"/>
                <w:szCs w:val="16"/>
                <w:lang w:val="en-GB" w:eastAsia="en-GB"/>
              </w:rPr>
              <w:t>- age, age2, sex, BMI for EMMAX-analysis</w:t>
            </w:r>
            <w:r w:rsidRPr="007E5370">
              <w:rPr>
                <w:rFonts w:eastAsia="Times New Roman" w:cs="Times New Roman"/>
                <w:color w:val="000000" w:themeColor="text1"/>
                <w:sz w:val="16"/>
                <w:szCs w:val="16"/>
                <w:lang w:val="en-GB" w:eastAsia="en-GB"/>
              </w:rPr>
              <w:br/>
              <w:t xml:space="preserve">- age, age2, sex, BMI, PC1, PC2, PC3, PC4 for </w:t>
            </w:r>
            <w:proofErr w:type="spellStart"/>
            <w:r w:rsidRPr="007E5370">
              <w:rPr>
                <w:rFonts w:eastAsia="Times New Roman" w:cs="Times New Roman"/>
                <w:color w:val="000000" w:themeColor="text1"/>
                <w:sz w:val="16"/>
                <w:szCs w:val="16"/>
                <w:lang w:val="en-GB" w:eastAsia="en-GB"/>
              </w:rPr>
              <w:t>rvtest</w:t>
            </w:r>
            <w:proofErr w:type="spellEnd"/>
            <w:r w:rsidRPr="007E5370">
              <w:rPr>
                <w:rFonts w:eastAsia="Times New Roman"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The Finnish Diabetes Prevention Study (DPS)</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11333990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44</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Randomised controlled trial</w:t>
            </w:r>
            <w:r w:rsidRPr="007E5370">
              <w:rPr>
                <w:rFonts w:ascii="Calibri" w:eastAsia="Times New Roman" w:hAnsi="Calibri" w:cs="Times New Roman"/>
                <w:color w:val="000000" w:themeColor="text1"/>
                <w:sz w:val="16"/>
                <w:szCs w:val="16"/>
                <w:lang w:val="en-GB" w:eastAsia="en-GB"/>
              </w:rPr>
              <w:br/>
              <w:t>- All subjects were impaired glucose tolerant at baseline, from mean of two OGTTs using WHO 1985 criteria</w:t>
            </w:r>
            <w:r w:rsidRPr="007E5370">
              <w:rPr>
                <w:rFonts w:ascii="Calibri" w:eastAsia="Times New Roman" w:hAnsi="Calibri" w:cs="Times New Roman"/>
                <w:color w:val="000000" w:themeColor="text1"/>
                <w:sz w:val="16"/>
                <w:szCs w:val="16"/>
                <w:lang w:val="en-GB" w:eastAsia="en-GB"/>
              </w:rPr>
              <w:br/>
              <w:t xml:space="preserve">- Excluded individuals with fasting plasma glucose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w:t>
            </w:r>
            <w:r w:rsidRPr="007E5370">
              <w:rPr>
                <w:rFonts w:ascii="Calibri" w:eastAsia="Times New Roman" w:hAnsi="Calibri" w:cs="Times New Roman"/>
                <w:color w:val="000000" w:themeColor="text1"/>
                <w:sz w:val="16"/>
                <w:szCs w:val="16"/>
                <w:lang w:val="en-GB" w:eastAsia="en-GB"/>
              </w:rPr>
              <w:lastRenderedPageBreak/>
              <w:t>HbA1c ≥6.5% according to ADA 2012 criteria for T2D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&gt;median + 3*IQR</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r>
            <w:r w:rsidRPr="007E5370">
              <w:rPr>
                <w:rFonts w:ascii="Calibri" w:eastAsia="Times New Roman" w:hAnsi="Calibri" w:cs="Times New Roman"/>
                <w:color w:val="000000" w:themeColor="text1"/>
                <w:sz w:val="16"/>
                <w:szCs w:val="16"/>
                <w:lang w:val="en-GB" w:eastAsia="en-GB"/>
              </w:rPr>
              <w:lastRenderedPageBreak/>
              <w:t>- contamination score &gt;10%</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≥95%</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101 </w:t>
            </w:r>
            <w:proofErr w:type="spellStart"/>
            <w:r w:rsidRPr="007E5370">
              <w:rPr>
                <w:rFonts w:ascii="Calibri" w:eastAsia="Times New Roman" w:hAnsi="Calibri" w:cs="Times New Roman"/>
                <w:color w:val="000000" w:themeColor="text1"/>
                <w:sz w:val="16"/>
                <w:szCs w:val="16"/>
                <w:lang w:val="en-GB" w:eastAsia="en-GB"/>
              </w:rPr>
              <w:t>indels</w:t>
            </w:r>
            <w:proofErr w:type="spellEnd"/>
            <w:r w:rsidRPr="007E5370">
              <w:rPr>
                <w:rFonts w:ascii="Calibri" w:eastAsia="Times New Roman" w:hAnsi="Calibri" w:cs="Times New Roman"/>
                <w:color w:val="000000" w:themeColor="text1"/>
                <w:sz w:val="16"/>
                <w:szCs w:val="16"/>
                <w:lang w:val="en-GB" w:eastAsia="en-GB"/>
              </w:rPr>
              <w:t xml:space="preserve"> with different allele mapping across the two sites</w:t>
            </w:r>
            <w:r w:rsidRPr="007E5370">
              <w:rPr>
                <w:rFonts w:ascii="Calibri" w:eastAsia="Times New Roman" w:hAnsi="Calibri" w:cs="Times New Roman"/>
                <w:color w:val="000000" w:themeColor="text1"/>
                <w:sz w:val="16"/>
                <w:szCs w:val="16"/>
                <w:lang w:val="en-GB" w:eastAsia="en-GB"/>
              </w:rPr>
              <w:b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with higher call rate. If the call rate is the same, arbitrarily take the one with </w:t>
            </w:r>
            <w:r w:rsidRPr="007E5370">
              <w:rPr>
                <w:rFonts w:ascii="Calibri" w:eastAsia="Times New Roman" w:hAnsi="Calibri" w:cs="Times New Roman"/>
                <w:color w:val="000000" w:themeColor="text1"/>
                <w:sz w:val="16"/>
                <w:szCs w:val="16"/>
                <w:lang w:val="en-GB" w:eastAsia="en-GB"/>
              </w:rPr>
              <w:lastRenderedPageBreak/>
              <w:t>that comes first in the file</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-5</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xml:space="preserve">Genotype calls generated on cluster boundaries trained on using study samples + manual review of </w:t>
            </w:r>
            <w:proofErr w:type="spellStart"/>
            <w:r w:rsidRPr="007E5370">
              <w:rPr>
                <w:rFonts w:ascii="Calibri" w:eastAsia="Times New Roman" w:hAnsi="Calibri" w:cs="Times New Roman"/>
                <w:color w:val="000000" w:themeColor="text1"/>
                <w:sz w:val="16"/>
                <w:szCs w:val="16"/>
                <w:lang w:val="en-GB" w:eastAsia="en-GB"/>
              </w:rPr>
              <w:t>clusterplots</w:t>
            </w:r>
            <w:proofErr w:type="spellEnd"/>
          </w:p>
        </w:tc>
        <w:tc>
          <w:tcPr>
            <w:tcW w:w="1592" w:type="dxa"/>
            <w:shd w:val="clear" w:color="auto" w:fill="auto"/>
          </w:tcPr>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FG</w:t>
            </w: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N = 44,140 [0.00/40.04/59.96]</w:t>
            </w:r>
          </w:p>
          <w:p w:rsidR="00137904" w:rsidRPr="007E5370" w:rsidRDefault="00137904" w:rsidP="00A9014E">
            <w:pPr>
              <w:autoSpaceDE w:val="0"/>
              <w:autoSpaceDN w:val="0"/>
              <w:adjustRightInd w:val="0"/>
              <w:rPr>
                <w:rFonts w:cs="Courier New"/>
                <w:color w:val="000000" w:themeColor="text1"/>
                <w:sz w:val="16"/>
                <w:szCs w:val="16"/>
              </w:rPr>
            </w:pP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FI</w:t>
            </w:r>
          </w:p>
          <w:p w:rsidR="00137904" w:rsidRPr="007E5370" w:rsidRDefault="00137904" w:rsidP="00A9014E">
            <w:pPr>
              <w:autoSpaceDE w:val="0"/>
              <w:autoSpaceDN w:val="0"/>
              <w:adjustRightInd w:val="0"/>
              <w:rPr>
                <w:rFonts w:cs="Courier New"/>
                <w:color w:val="000000" w:themeColor="text1"/>
                <w:sz w:val="16"/>
                <w:szCs w:val="16"/>
              </w:rPr>
            </w:pPr>
            <w:r w:rsidRPr="007E5370">
              <w:rPr>
                <w:rFonts w:cs="Courier New"/>
                <w:color w:val="000000" w:themeColor="text1"/>
                <w:sz w:val="16"/>
                <w:szCs w:val="16"/>
              </w:rPr>
              <w:t>N = 43574 (0.00/39.31/60.69)</w:t>
            </w:r>
          </w:p>
          <w:p w:rsidR="00137904" w:rsidRPr="007E5370" w:rsidRDefault="00137904" w:rsidP="00A9014E">
            <w:pPr>
              <w:rPr>
                <w:rFonts w:ascii="Calibri" w:eastAsia="Times New Roman" w:hAnsi="Calibri" w:cs="Times New Roman"/>
                <w:color w:val="000000" w:themeColor="text1"/>
                <w:sz w:val="16"/>
                <w:szCs w:val="16"/>
                <w:lang w:val="en-GB" w:eastAsia="en-GB"/>
              </w:rPr>
            </w:pP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age2, sex, BMI for EMMAX-analysis</w:t>
            </w:r>
            <w:r w:rsidRPr="007E5370">
              <w:rPr>
                <w:rFonts w:ascii="Calibri" w:eastAsia="Times New Roman" w:hAnsi="Calibri" w:cs="Times New Roman"/>
                <w:color w:val="000000" w:themeColor="text1"/>
                <w:sz w:val="16"/>
                <w:szCs w:val="16"/>
                <w:lang w:val="en-GB" w:eastAsia="en-GB"/>
              </w:rPr>
              <w:br/>
              <w:t xml:space="preserve">- age, age2, sex, BMI, PC1, PC2, PC3, PC4 for </w:t>
            </w:r>
            <w:proofErr w:type="spellStart"/>
            <w:r w:rsidRPr="007E5370">
              <w:rPr>
                <w:rFonts w:ascii="Calibri" w:eastAsia="Times New Roman" w:hAnsi="Calibri" w:cs="Times New Roman"/>
                <w:color w:val="000000" w:themeColor="text1"/>
                <w:sz w:val="16"/>
                <w:szCs w:val="16"/>
                <w:lang w:val="en-GB" w:eastAsia="en-GB"/>
              </w:rPr>
              <w:t>rvtest</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The Dose Responses to Exercise Training (DR's EXTRA) Study</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21186108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45</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Randomised controlled trial</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or physician diagnosed) cases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HumanExome-12v1-1_A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&gt;median + 3*IQR</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contamination score &gt;10%</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≥95%</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101 </w:t>
            </w:r>
            <w:proofErr w:type="spellStart"/>
            <w:r w:rsidRPr="007E5370">
              <w:rPr>
                <w:rFonts w:ascii="Calibri" w:eastAsia="Times New Roman" w:hAnsi="Calibri" w:cs="Times New Roman"/>
                <w:color w:val="000000" w:themeColor="text1"/>
                <w:sz w:val="16"/>
                <w:szCs w:val="16"/>
                <w:lang w:val="en-GB" w:eastAsia="en-GB"/>
              </w:rPr>
              <w:t>indels</w:t>
            </w:r>
            <w:proofErr w:type="spellEnd"/>
            <w:r w:rsidRPr="007E5370">
              <w:rPr>
                <w:rFonts w:ascii="Calibri" w:eastAsia="Times New Roman" w:hAnsi="Calibri" w:cs="Times New Roman"/>
                <w:color w:val="000000" w:themeColor="text1"/>
                <w:sz w:val="16"/>
                <w:szCs w:val="16"/>
                <w:lang w:val="en-GB" w:eastAsia="en-GB"/>
              </w:rPr>
              <w:t xml:space="preserve"> with different allele mapping across the two sites</w:t>
            </w:r>
            <w:r w:rsidRPr="007E5370">
              <w:rPr>
                <w:rFonts w:ascii="Calibri" w:eastAsia="Times New Roman" w:hAnsi="Calibri" w:cs="Times New Roman"/>
                <w:color w:val="000000" w:themeColor="text1"/>
                <w:sz w:val="16"/>
                <w:szCs w:val="16"/>
                <w:lang w:val="en-GB" w:eastAsia="en-GB"/>
              </w:rPr>
              <w:b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exclude duplicated variants, keeping the one with higher call rate. If the call rate is the same, arbitrarily take the one with that comes first in the file</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-5</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 xml:space="preserve">FG </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46,656 (0.00/45.07/54.93)</w:t>
            </w:r>
          </w:p>
          <w:p w:rsidR="00137904" w:rsidRPr="007E5370" w:rsidRDefault="00137904" w:rsidP="00A9014E">
            <w:pPr>
              <w:rPr>
                <w:rFonts w:ascii="Calibri" w:hAnsi="Calibri" w:cs="Calibri"/>
                <w:color w:val="000000" w:themeColor="text1"/>
                <w:sz w:val="16"/>
                <w:szCs w:val="16"/>
              </w:rPr>
            </w:pPr>
          </w:p>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47,062 (0.00/45.40/54.60)</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age2, sex, BMI for EMMAX-analysis</w:t>
            </w:r>
            <w:r w:rsidRPr="007E5370">
              <w:rPr>
                <w:rFonts w:ascii="Calibri" w:eastAsia="Times New Roman" w:hAnsi="Calibri" w:cs="Times New Roman"/>
                <w:color w:val="000000" w:themeColor="text1"/>
                <w:sz w:val="16"/>
                <w:szCs w:val="16"/>
                <w:lang w:val="en-GB" w:eastAsia="en-GB"/>
              </w:rPr>
              <w:br/>
              <w:t xml:space="preserve">- age, age2, sex, BMI, PC1, PC2, PC3, PC4 for </w:t>
            </w:r>
            <w:proofErr w:type="spellStart"/>
            <w:r w:rsidRPr="007E5370">
              <w:rPr>
                <w:rFonts w:ascii="Calibri" w:eastAsia="Times New Roman" w:hAnsi="Calibri" w:cs="Times New Roman"/>
                <w:color w:val="000000" w:themeColor="text1"/>
                <w:sz w:val="16"/>
                <w:szCs w:val="16"/>
                <w:lang w:val="en-GB" w:eastAsia="en-GB"/>
              </w:rPr>
              <w:t>rvtest</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806"/>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National FINRISK 2007 Study (FINRISK 2007)</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19959603 </w:t>
            </w:r>
            <w:r w:rsidRPr="007E5370">
              <w:rPr>
                <w:rFonts w:ascii="Calibri" w:eastAsia="Times New Roman" w:hAnsi="Calibri" w:cs="Times New Roman"/>
                <w:noProof/>
                <w:color w:val="000000" w:themeColor="text1"/>
                <w:sz w:val="16"/>
                <w:szCs w:val="16"/>
                <w:lang w:val="en-GB" w:eastAsia="en-GB"/>
              </w:rPr>
              <w:t>[4</w:t>
            </w:r>
            <w:r w:rsidR="0012558C">
              <w:rPr>
                <w:rFonts w:ascii="Calibri" w:eastAsia="Times New Roman" w:hAnsi="Calibri" w:cs="Times New Roman"/>
                <w:noProof/>
                <w:color w:val="000000" w:themeColor="text1"/>
                <w:sz w:val="16"/>
                <w:szCs w:val="16"/>
                <w:lang w:val="en-GB" w:eastAsia="en-GB"/>
              </w:rPr>
              <w:t>6</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T2D case control study</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w:t>
            </w:r>
            <w:r w:rsidRPr="007E5370">
              <w:rPr>
                <w:rFonts w:ascii="Calibri" w:eastAsia="Times New Roman" w:hAnsi="Calibri" w:cs="Times New Roman"/>
                <w:color w:val="000000" w:themeColor="text1"/>
                <w:sz w:val="16"/>
                <w:szCs w:val="16"/>
                <w:lang w:val="en-GB" w:eastAsia="en-GB"/>
              </w:rPr>
              <w:lastRenderedPageBreak/>
              <w:t xml:space="preserve">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cases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HumanExome-12v1-1_A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&gt;median + 3*IQR</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xml:space="preserve">- Non-European </w:t>
            </w:r>
            <w:r w:rsidRPr="007E5370">
              <w:rPr>
                <w:rFonts w:ascii="Calibri" w:eastAsia="Times New Roman" w:hAnsi="Calibri" w:cs="Times New Roman"/>
                <w:color w:val="000000" w:themeColor="text1"/>
                <w:sz w:val="16"/>
                <w:szCs w:val="16"/>
                <w:lang w:val="en-GB" w:eastAsia="en-GB"/>
              </w:rPr>
              <w:lastRenderedPageBreak/>
              <w:t>population outliers</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contamination score &gt;10%</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≥95%</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101 </w:t>
            </w:r>
            <w:proofErr w:type="spellStart"/>
            <w:r w:rsidRPr="007E5370">
              <w:rPr>
                <w:rFonts w:ascii="Calibri" w:eastAsia="Times New Roman" w:hAnsi="Calibri" w:cs="Times New Roman"/>
                <w:color w:val="000000" w:themeColor="text1"/>
                <w:sz w:val="16"/>
                <w:szCs w:val="16"/>
                <w:lang w:val="en-GB" w:eastAsia="en-GB"/>
              </w:rPr>
              <w:t>indels</w:t>
            </w:r>
            <w:proofErr w:type="spellEnd"/>
            <w:r w:rsidRPr="007E5370">
              <w:rPr>
                <w:rFonts w:ascii="Calibri" w:eastAsia="Times New Roman" w:hAnsi="Calibri" w:cs="Times New Roman"/>
                <w:color w:val="000000" w:themeColor="text1"/>
                <w:sz w:val="16"/>
                <w:szCs w:val="16"/>
                <w:lang w:val="en-GB" w:eastAsia="en-GB"/>
              </w:rPr>
              <w:t xml:space="preserve"> with different allele mapping across the two sites</w:t>
            </w:r>
            <w:r w:rsidRPr="007E5370">
              <w:rPr>
                <w:rFonts w:ascii="Calibri" w:eastAsia="Times New Roman" w:hAnsi="Calibri" w:cs="Times New Roman"/>
                <w:color w:val="000000" w:themeColor="text1"/>
                <w:sz w:val="16"/>
                <w:szCs w:val="16"/>
                <w:lang w:val="en-GB" w:eastAsia="en-GB"/>
              </w:rPr>
              <w:b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w:t>
            </w:r>
            <w:r w:rsidRPr="007E5370">
              <w:rPr>
                <w:rFonts w:ascii="Calibri" w:eastAsia="Times New Roman" w:hAnsi="Calibri" w:cs="Times New Roman"/>
                <w:color w:val="000000" w:themeColor="text1"/>
                <w:sz w:val="16"/>
                <w:szCs w:val="16"/>
                <w:lang w:val="en-GB" w:eastAsia="en-GB"/>
              </w:rPr>
              <w:lastRenderedPageBreak/>
              <w:t>variants, keeping the one with higher call rate. If the call rate is the same, arbitrarily take the one with that comes first in the file</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-5</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47,041 (0.00/45.12/54.88)</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lastRenderedPageBreak/>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47,024 (0.00/45.12/54.88)</w:t>
            </w:r>
          </w:p>
          <w:p w:rsidR="00137904" w:rsidRPr="007E5370" w:rsidRDefault="00137904" w:rsidP="00A9014E">
            <w:pPr>
              <w:rPr>
                <w:rFonts w:ascii="Calibri" w:eastAsia="Times New Roman" w:hAnsi="Calibri" w:cs="Times New Roman"/>
                <w:color w:val="000000" w:themeColor="text1"/>
                <w:sz w:val="16"/>
                <w:szCs w:val="16"/>
                <w:lang w:val="en-GB" w:eastAsia="en-GB"/>
              </w:rPr>
            </w:pP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age2, sex, BMI for EMMAX-analysis</w:t>
            </w:r>
            <w:r w:rsidRPr="007E5370">
              <w:rPr>
                <w:rFonts w:ascii="Calibri" w:eastAsia="Times New Roman" w:hAnsi="Calibri" w:cs="Times New Roman"/>
                <w:color w:val="000000" w:themeColor="text1"/>
                <w:sz w:val="16"/>
                <w:szCs w:val="16"/>
                <w:lang w:val="en-GB" w:eastAsia="en-GB"/>
              </w:rPr>
              <w:br/>
              <w:t xml:space="preserve">- age, age2, sex, BMI, PC1, PC2, </w:t>
            </w:r>
            <w:r w:rsidRPr="007E5370">
              <w:rPr>
                <w:rFonts w:ascii="Calibri" w:eastAsia="Times New Roman" w:hAnsi="Calibri" w:cs="Times New Roman"/>
                <w:color w:val="000000" w:themeColor="text1"/>
                <w:sz w:val="16"/>
                <w:szCs w:val="16"/>
                <w:lang w:val="en-GB" w:eastAsia="en-GB"/>
              </w:rPr>
              <w:lastRenderedPageBreak/>
              <w:t xml:space="preserve">PC3, PC4 for </w:t>
            </w:r>
            <w:proofErr w:type="spellStart"/>
            <w:r w:rsidRPr="007E5370">
              <w:rPr>
                <w:rFonts w:ascii="Calibri" w:eastAsia="Times New Roman" w:hAnsi="Calibri" w:cs="Times New Roman"/>
                <w:color w:val="000000" w:themeColor="text1"/>
                <w:sz w:val="16"/>
                <w:szCs w:val="16"/>
                <w:lang w:val="en-GB" w:eastAsia="en-GB"/>
              </w:rPr>
              <w:t>rvtest</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54"/>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Finland-United States Investigation of NIDDM Genetics (FUSION) Study</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9614613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47</w:t>
            </w:r>
            <w:r w:rsidRPr="007E5370">
              <w:rPr>
                <w:rFonts w:ascii="Calibri" w:eastAsia="Times New Roman" w:hAnsi="Calibri" w:cs="Times New Roman"/>
                <w:noProof/>
                <w:color w:val="000000" w:themeColor="text1"/>
                <w:sz w:val="16"/>
                <w:szCs w:val="16"/>
                <w:lang w:val="en-GB" w:eastAsia="en-GB"/>
              </w:rPr>
              <w:t>]</w:t>
            </w:r>
            <w:r w:rsidRPr="007E5370">
              <w:rPr>
                <w:rFonts w:ascii="Calibri" w:eastAsia="Times New Roman" w:hAnsi="Calibri" w:cs="Times New Roman"/>
                <w:color w:val="000000" w:themeColor="text1"/>
                <w:sz w:val="16"/>
                <w:szCs w:val="16"/>
                <w:lang w:val="en-GB" w:eastAsia="en-GB"/>
              </w:rPr>
              <w:t xml:space="preserve">; 17463248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48</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T2D case control study</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by report of diabetes medication use, or based on medical record review), and known or probable T1D among their first degree relatives were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HumanExome-12v1-1_A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&gt;median + 3*IQR</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contamination score &gt;10%</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≥95%</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101 </w:t>
            </w:r>
            <w:proofErr w:type="spellStart"/>
            <w:r w:rsidRPr="007E5370">
              <w:rPr>
                <w:rFonts w:ascii="Calibri" w:eastAsia="Times New Roman" w:hAnsi="Calibri" w:cs="Times New Roman"/>
                <w:color w:val="000000" w:themeColor="text1"/>
                <w:sz w:val="16"/>
                <w:szCs w:val="16"/>
                <w:lang w:val="en-GB" w:eastAsia="en-GB"/>
              </w:rPr>
              <w:t>indels</w:t>
            </w:r>
            <w:proofErr w:type="spellEnd"/>
            <w:r w:rsidRPr="007E5370">
              <w:rPr>
                <w:rFonts w:ascii="Calibri" w:eastAsia="Times New Roman" w:hAnsi="Calibri" w:cs="Times New Roman"/>
                <w:color w:val="000000" w:themeColor="text1"/>
                <w:sz w:val="16"/>
                <w:szCs w:val="16"/>
                <w:lang w:val="en-GB" w:eastAsia="en-GB"/>
              </w:rPr>
              <w:t xml:space="preserve"> with different allele mapping across the two sites</w:t>
            </w:r>
            <w:r w:rsidRPr="007E5370">
              <w:rPr>
                <w:rFonts w:ascii="Calibri" w:eastAsia="Times New Roman" w:hAnsi="Calibri" w:cs="Times New Roman"/>
                <w:color w:val="000000" w:themeColor="text1"/>
                <w:sz w:val="16"/>
                <w:szCs w:val="16"/>
                <w:lang w:val="en-GB" w:eastAsia="en-GB"/>
              </w:rPr>
              <w:b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exclude duplicated variants, keeping the one with higher call rate. If the call rate is the same, arbitrarily take the one with that comes first in the file</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-5</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56,003 (0.00/54.11/45.89)</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55,545 (0.00/53.73/46.27)</w:t>
            </w:r>
          </w:p>
          <w:p w:rsidR="00137904" w:rsidRPr="007E5370" w:rsidRDefault="00137904" w:rsidP="00A9014E">
            <w:pPr>
              <w:rPr>
                <w:rFonts w:ascii="Calibri" w:eastAsia="Times New Roman" w:hAnsi="Calibri" w:cs="Times New Roman"/>
                <w:color w:val="000000" w:themeColor="text1"/>
                <w:sz w:val="16"/>
                <w:szCs w:val="16"/>
                <w:lang w:val="en-GB" w:eastAsia="en-GB"/>
              </w:rPr>
            </w:pP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age2, sex, BMI, study origin for EMMAX-analysis</w:t>
            </w:r>
            <w:r w:rsidRPr="007E5370">
              <w:rPr>
                <w:rFonts w:ascii="Calibri" w:eastAsia="Times New Roman" w:hAnsi="Calibri" w:cs="Times New Roman"/>
                <w:color w:val="000000" w:themeColor="text1"/>
                <w:sz w:val="16"/>
                <w:szCs w:val="16"/>
                <w:lang w:val="en-GB" w:eastAsia="en-GB"/>
              </w:rPr>
              <w:br/>
              <w:t xml:space="preserve">- age, age2, sex, BMI, study origin, PC1, PC2, PC3, PC4 for </w:t>
            </w:r>
            <w:proofErr w:type="spellStart"/>
            <w:r w:rsidRPr="007E5370">
              <w:rPr>
                <w:rFonts w:ascii="Calibri" w:eastAsia="Times New Roman" w:hAnsi="Calibri" w:cs="Times New Roman"/>
                <w:color w:val="000000" w:themeColor="text1"/>
                <w:sz w:val="16"/>
                <w:szCs w:val="16"/>
                <w:lang w:val="en-GB" w:eastAsia="en-GB"/>
              </w:rPr>
              <w:t>rvtest</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Metabolic Syndrome in </w:t>
            </w:r>
            <w:r w:rsidRPr="007E5370">
              <w:rPr>
                <w:rFonts w:ascii="Calibri" w:eastAsia="Times New Roman" w:hAnsi="Calibri" w:cs="Times New Roman"/>
                <w:color w:val="000000" w:themeColor="text1"/>
                <w:sz w:val="16"/>
                <w:szCs w:val="16"/>
                <w:lang w:val="en-GB" w:eastAsia="en-GB"/>
              </w:rPr>
              <w:lastRenderedPageBreak/>
              <w:t>Men Study (METSIM)</w:t>
            </w:r>
          </w:p>
        </w:tc>
        <w:tc>
          <w:tcPr>
            <w:tcW w:w="1162" w:type="dxa"/>
          </w:tcPr>
          <w:p w:rsidR="00137904" w:rsidRPr="007E5370" w:rsidRDefault="00137904" w:rsidP="0012558C">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xml:space="preserve">19223598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49</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cross-sectional study</w:t>
            </w:r>
            <w:r w:rsidRPr="007E5370">
              <w:rPr>
                <w:rFonts w:ascii="Calibri" w:eastAsia="Times New Roman" w:hAnsi="Calibri" w:cs="Times New Roman"/>
                <w:color w:val="000000" w:themeColor="text1"/>
                <w:sz w:val="16"/>
                <w:szCs w:val="16"/>
                <w:lang w:val="en-GB" w:eastAsia="en-GB"/>
              </w:rPr>
              <w:br/>
              <w:t xml:space="preserve">- Glucose tolerance classified </w:t>
            </w:r>
            <w:r w:rsidRPr="007E5370">
              <w:rPr>
                <w:rFonts w:ascii="Calibri" w:eastAsia="Times New Roman" w:hAnsi="Calibri" w:cs="Times New Roman"/>
                <w:color w:val="000000" w:themeColor="text1"/>
                <w:sz w:val="16"/>
                <w:szCs w:val="16"/>
                <w:lang w:val="en-GB" w:eastAsia="en-GB"/>
              </w:rPr>
              <w:lastRenderedPageBreak/>
              <w:t>according to WHO 1997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cases excluded</w:t>
            </w:r>
            <w:r w:rsidRPr="007E5370">
              <w:rPr>
                <w:rFonts w:ascii="Calibri" w:eastAsia="Times New Roman" w:hAnsi="Calibri" w:cs="Times New Roman"/>
                <w:color w:val="000000" w:themeColor="text1"/>
                <w:sz w:val="16"/>
                <w:szCs w:val="16"/>
                <w:lang w:val="en-GB" w:eastAsia="en-GB"/>
              </w:rPr>
              <w:br/>
              <w:t>- Further excluded individuals with HbA1c ≥6.5% according to ADA 2012 criteria for T2D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&gt;median + 3*IQR</w:t>
            </w:r>
            <w:r w:rsidRPr="007E5370">
              <w:rPr>
                <w:rFonts w:ascii="Calibri" w:eastAsia="Times New Roman" w:hAnsi="Calibri" w:cs="Times New Roman"/>
                <w:color w:val="000000" w:themeColor="text1"/>
                <w:sz w:val="16"/>
                <w:szCs w:val="16"/>
                <w:lang w:val="en-GB" w:eastAsia="en-GB"/>
              </w:rPr>
              <w:br/>
            </w:r>
            <w:r w:rsidRPr="007E5370">
              <w:rPr>
                <w:rFonts w:ascii="Calibri" w:eastAsia="Times New Roman" w:hAnsi="Calibri" w:cs="Times New Roman"/>
                <w:color w:val="000000" w:themeColor="text1"/>
                <w:sz w:val="16"/>
                <w:szCs w:val="16"/>
                <w:lang w:val="en-GB" w:eastAsia="en-GB"/>
              </w:rPr>
              <w:lastRenderedPageBreak/>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contamination score &gt;10%</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≥95%</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101 </w:t>
            </w:r>
            <w:proofErr w:type="spellStart"/>
            <w:r w:rsidRPr="007E5370">
              <w:rPr>
                <w:rFonts w:ascii="Calibri" w:eastAsia="Times New Roman" w:hAnsi="Calibri" w:cs="Times New Roman"/>
                <w:color w:val="000000" w:themeColor="text1"/>
                <w:sz w:val="16"/>
                <w:szCs w:val="16"/>
                <w:lang w:val="en-GB" w:eastAsia="en-GB"/>
              </w:rPr>
              <w:t>indels</w:t>
            </w:r>
            <w:proofErr w:type="spellEnd"/>
            <w:r w:rsidRPr="007E5370">
              <w:rPr>
                <w:rFonts w:ascii="Calibri" w:eastAsia="Times New Roman" w:hAnsi="Calibri" w:cs="Times New Roman"/>
                <w:color w:val="000000" w:themeColor="text1"/>
                <w:sz w:val="16"/>
                <w:szCs w:val="16"/>
                <w:lang w:val="en-GB" w:eastAsia="en-GB"/>
              </w:rPr>
              <w:t xml:space="preserve"> with different allele mapping across the two sites</w:t>
            </w:r>
            <w:r w:rsidRPr="007E5370">
              <w:rPr>
                <w:rFonts w:ascii="Calibri" w:eastAsia="Times New Roman" w:hAnsi="Calibri" w:cs="Times New Roman"/>
                <w:color w:val="000000" w:themeColor="text1"/>
                <w:sz w:val="16"/>
                <w:szCs w:val="16"/>
                <w:lang w:val="en-GB" w:eastAsia="en-GB"/>
              </w:rPr>
              <w:br/>
            </w:r>
            <w:r w:rsidRPr="007E5370">
              <w:rPr>
                <w:rFonts w:ascii="Calibri" w:eastAsia="Times New Roman" w:hAnsi="Calibri" w:cs="Times New Roman"/>
                <w:color w:val="000000" w:themeColor="text1"/>
                <w:sz w:val="16"/>
                <w:szCs w:val="16"/>
                <w:lang w:val="en-GB" w:eastAsia="en-GB"/>
              </w:rPr>
              <w:lastRenderedPageBreak/>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exclude duplicated variants, keeping the one with higher call rate. If the call rate is the same, arbitrarily take the one with that comes first in the file</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-5</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xml:space="preserve">Genotype calls generated on cluster </w:t>
            </w:r>
            <w:r w:rsidRPr="007E5370">
              <w:rPr>
                <w:rFonts w:ascii="Calibri" w:eastAsia="Times New Roman" w:hAnsi="Calibri" w:cs="Times New Roman"/>
                <w:color w:val="000000" w:themeColor="text1"/>
                <w:sz w:val="16"/>
                <w:szCs w:val="16"/>
                <w:lang w:val="en-GB" w:eastAsia="en-GB"/>
              </w:rPr>
              <w:lastRenderedPageBreak/>
              <w:t xml:space="preserve">boundaries trained on using study samples + manual review of </w:t>
            </w:r>
            <w:proofErr w:type="spellStart"/>
            <w:r w:rsidRPr="007E5370">
              <w:rPr>
                <w:rFonts w:ascii="Calibri" w:eastAsia="Times New Roman" w:hAnsi="Calibri" w:cs="Times New Roman"/>
                <w:color w:val="000000" w:themeColor="text1"/>
                <w:sz w:val="16"/>
                <w:szCs w:val="16"/>
                <w:lang w:val="en-GB" w:eastAsia="en-GB"/>
              </w:rPr>
              <w:t>clusterplots</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lastRenderedPageBreak/>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lastRenderedPageBreak/>
              <w:t>N = 67,415 (13.37/47.47/39.16)</w:t>
            </w:r>
          </w:p>
          <w:p w:rsidR="00137904" w:rsidRPr="007E5370" w:rsidRDefault="00137904" w:rsidP="00A9014E">
            <w:pPr>
              <w:rPr>
                <w:rFonts w:ascii="Calibri" w:hAnsi="Calibri" w:cs="Calibri"/>
                <w:color w:val="000000" w:themeColor="text1"/>
                <w:sz w:val="16"/>
                <w:szCs w:val="16"/>
              </w:rPr>
            </w:pPr>
          </w:p>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67,414 (13.38/47.47/39.15)</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age2, BMI for EMMAX-analysis</w:t>
            </w:r>
            <w:r w:rsidRPr="007E5370">
              <w:rPr>
                <w:rFonts w:ascii="Calibri" w:eastAsia="Times New Roman" w:hAnsi="Calibri" w:cs="Times New Roman"/>
                <w:color w:val="000000" w:themeColor="text1"/>
                <w:sz w:val="16"/>
                <w:szCs w:val="16"/>
                <w:lang w:val="en-GB" w:eastAsia="en-GB"/>
              </w:rPr>
              <w:br/>
            </w:r>
            <w:r w:rsidRPr="007E5370">
              <w:rPr>
                <w:rFonts w:ascii="Calibri" w:eastAsia="Times New Roman" w:hAnsi="Calibri" w:cs="Times New Roman"/>
                <w:color w:val="000000" w:themeColor="text1"/>
                <w:sz w:val="16"/>
                <w:szCs w:val="16"/>
                <w:lang w:val="en-GB" w:eastAsia="en-GB"/>
              </w:rPr>
              <w:lastRenderedPageBreak/>
              <w:t xml:space="preserve">- age, age2, BMI, PC1, PC2, PC3, PC4 for </w:t>
            </w:r>
            <w:proofErr w:type="spellStart"/>
            <w:r w:rsidRPr="007E5370">
              <w:rPr>
                <w:rFonts w:ascii="Calibri" w:eastAsia="Times New Roman" w:hAnsi="Calibri" w:cs="Times New Roman"/>
                <w:color w:val="000000" w:themeColor="text1"/>
                <w:sz w:val="16"/>
                <w:szCs w:val="16"/>
                <w:lang w:val="en-GB" w:eastAsia="en-GB"/>
              </w:rPr>
              <w:t>rvtest</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[Danish]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Health2006</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23615486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50</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cohort</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cases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&lt;98%</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discordance with previous genotypes</w:t>
            </w:r>
          </w:p>
          <w:p w:rsidR="00137904" w:rsidRPr="007E5370" w:rsidRDefault="00137904" w:rsidP="00A358EF">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w:t>
            </w:r>
            <w:r w:rsidRPr="007E5370">
              <w:rPr>
                <w:color w:val="000000" w:themeColor="text1"/>
                <w:sz w:val="16"/>
                <w:szCs w:val="16"/>
              </w:rPr>
              <w:t xml:space="preserve">Removal of population outliers </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cluster separation score 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87,275 (9.43/62.52/28.06)</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87,248 (9.43/62.50/28.07)</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BMI, PC1-10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[Danish]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Inter99</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14663300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51</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cohort</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cases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&lt;98%</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discordance with previous genotypes</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w:t>
            </w:r>
            <w:r w:rsidRPr="007E5370">
              <w:rPr>
                <w:color w:val="000000" w:themeColor="text1"/>
                <w:sz w:val="16"/>
                <w:szCs w:val="16"/>
              </w:rPr>
              <w:t>Removal of population outliers</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cluster separation score 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97,766 (20.50/54.42/25.07)</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96,578 (20.53/54.09/25.38)</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BMI, PC1-10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 [Danish]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Vejle</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Biobank</w:t>
            </w:r>
            <w:proofErr w:type="spellEnd"/>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23160641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52</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Controls from T2D case-control</w:t>
            </w:r>
            <w:r w:rsidRPr="007E5370">
              <w:rPr>
                <w:rFonts w:ascii="Calibri" w:eastAsia="Times New Roman" w:hAnsi="Calibri" w:cs="Times New Roman"/>
                <w:color w:val="000000" w:themeColor="text1"/>
                <w:sz w:val="16"/>
                <w:szCs w:val="16"/>
                <w:lang w:val="en-GB" w:eastAsia="en-GB"/>
              </w:rPr>
              <w:br/>
              <w:t>- Glucose tolerance classified according to WHO 1999 criteria</w:t>
            </w:r>
            <w:r w:rsidRPr="007E5370">
              <w:rPr>
                <w:rFonts w:ascii="Calibri" w:eastAsia="Times New Roman" w:hAnsi="Calibri" w:cs="Times New Roman"/>
                <w:color w:val="000000" w:themeColor="text1"/>
                <w:sz w:val="16"/>
                <w:szCs w:val="16"/>
                <w:lang w:val="en-GB" w:eastAsia="en-GB"/>
              </w:rPr>
              <w:br/>
              <w:t xml:space="preserve">- T1D and T2D (fasting plasma glucose concentration ≥7.0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or 2-h plasma glucose concentration ≥11.1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cases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&lt;98%</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w:t>
            </w:r>
            <w:r w:rsidRPr="007E5370">
              <w:rPr>
                <w:rFonts w:ascii="Calibri" w:eastAsia="Times New Roman" w:hAnsi="Calibri" w:cs="Times New Roman"/>
                <w:color w:val="000000" w:themeColor="text1"/>
                <w:sz w:val="16"/>
                <w:szCs w:val="16"/>
                <w:lang w:val="en-GB" w:eastAsia="en-GB"/>
              </w:rPr>
              <w:br/>
              <w:t>- sex discrepancy</w:t>
            </w:r>
            <w:r w:rsidRPr="007E5370">
              <w:rPr>
                <w:rFonts w:ascii="Calibri" w:eastAsia="Times New Roman" w:hAnsi="Calibri" w:cs="Times New Roman"/>
                <w:color w:val="000000" w:themeColor="text1"/>
                <w:sz w:val="16"/>
                <w:szCs w:val="16"/>
                <w:lang w:val="en-GB" w:eastAsia="en-GB"/>
              </w:rPr>
              <w:br/>
              <w:t>- discordance with previous genotypes</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w:t>
            </w:r>
            <w:r w:rsidRPr="007E5370">
              <w:rPr>
                <w:color w:val="000000" w:themeColor="text1"/>
                <w:sz w:val="16"/>
                <w:szCs w:val="16"/>
              </w:rPr>
              <w:t>Removal of population outliers</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≥98%</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call rate &lt;95%</w:t>
            </w:r>
            <w:r w:rsidRPr="007E5370">
              <w:rPr>
                <w:rFonts w:ascii="Calibri" w:eastAsia="Times New Roman" w:hAnsi="Calibri" w:cs="Times New Roman"/>
                <w:color w:val="000000" w:themeColor="text1"/>
                <w:sz w:val="16"/>
                <w:szCs w:val="16"/>
                <w:lang w:val="en-GB" w:eastAsia="en-GB"/>
              </w:rPr>
              <w:br/>
              <w: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cluster separation score 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46,098 (0.00/46.88/53.12)</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BMI, PC1-10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w:t>
            </w:r>
          </w:p>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[UK]</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Genetics of Diabetes Audit and Research </w:t>
            </w:r>
            <w:r w:rsidRPr="007E5370">
              <w:rPr>
                <w:rFonts w:ascii="Calibri" w:eastAsia="Times New Roman" w:hAnsi="Calibri" w:cs="Times New Roman"/>
                <w:color w:val="000000" w:themeColor="text1"/>
                <w:sz w:val="16"/>
                <w:szCs w:val="16"/>
                <w:lang w:val="en-GB" w:eastAsia="en-GB"/>
              </w:rPr>
              <w:lastRenderedPageBreak/>
              <w:t>Tayside (</w:t>
            </w:r>
            <w:proofErr w:type="spellStart"/>
            <w:r w:rsidRPr="007E5370">
              <w:rPr>
                <w:rFonts w:ascii="Calibri" w:eastAsia="Times New Roman" w:hAnsi="Calibri" w:cs="Times New Roman"/>
                <w:color w:val="000000" w:themeColor="text1"/>
                <w:sz w:val="16"/>
                <w:szCs w:val="16"/>
                <w:lang w:val="en-GB" w:eastAsia="en-GB"/>
              </w:rPr>
              <w:t>GoDARTS</w:t>
            </w:r>
            <w:proofErr w:type="spellEnd"/>
            <w:r w:rsidRPr="007E5370">
              <w:rPr>
                <w:rFonts w:ascii="Calibri" w:eastAsia="Times New Roman" w:hAnsi="Calibri" w:cs="Times New Roman"/>
                <w:color w:val="000000" w:themeColor="text1"/>
                <w:sz w:val="16"/>
                <w:szCs w:val="16"/>
                <w:lang w:val="en-GB" w:eastAsia="en-GB"/>
              </w:rPr>
              <w:t>)</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xml:space="preserve">9329309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53</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cohort</w:t>
            </w:r>
            <w:r w:rsidRPr="007E5370">
              <w:rPr>
                <w:rFonts w:ascii="Calibri" w:eastAsia="Times New Roman" w:hAnsi="Calibri" w:cs="Times New Roman"/>
                <w:color w:val="000000" w:themeColor="text1"/>
                <w:sz w:val="16"/>
                <w:szCs w:val="16"/>
                <w:lang w:val="en-GB" w:eastAsia="en-GB"/>
              </w:rPr>
              <w:br/>
              <w:t xml:space="preserve">- T2D cases, sample with fasting plasma glucose concentration </w:t>
            </w:r>
            <w:r w:rsidRPr="007E5370">
              <w:rPr>
                <w:rFonts w:ascii="Calibri" w:eastAsia="Times New Roman" w:hAnsi="Calibri" w:cs="Times New Roman"/>
                <w:color w:val="000000" w:themeColor="text1"/>
                <w:sz w:val="16"/>
                <w:szCs w:val="16"/>
                <w:lang w:val="en-GB" w:eastAsia="en-GB"/>
              </w:rPr>
              <w:lastRenderedPageBreak/>
              <w:t xml:space="preserve">≥7.0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and pregnant women were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xml:space="preserve">- technical duplicates with </w:t>
            </w:r>
            <w:r w:rsidRPr="007E5370">
              <w:rPr>
                <w:rFonts w:ascii="Calibri" w:eastAsia="Times New Roman" w:hAnsi="Calibri" w:cs="Times New Roman"/>
                <w:color w:val="000000" w:themeColor="text1"/>
                <w:sz w:val="16"/>
                <w:szCs w:val="16"/>
                <w:lang w:val="en-GB" w:eastAsia="en-GB"/>
              </w:rPr>
              <w:lastRenderedPageBreak/>
              <w:t>lower call rate</w:t>
            </w:r>
            <w:r w:rsidRPr="007E5370">
              <w:rPr>
                <w:rFonts w:ascii="Calibri" w:eastAsia="Times New Roman" w:hAnsi="Calibri" w:cs="Times New Roman"/>
                <w:color w:val="000000" w:themeColor="text1"/>
                <w:sz w:val="16"/>
                <w:szCs w:val="16"/>
                <w:lang w:val="en-GB" w:eastAsia="en-GB"/>
              </w:rPr>
              <w:br/>
              <w:t>- Non-European population outliers</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sex discrepancy</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t>
            </w:r>
            <w:r w:rsidRPr="007E5370">
              <w:rPr>
                <w:rFonts w:ascii="Calibri" w:eastAsia="Times New Roman" w:hAnsi="Calibri" w:cs="Times New Roman"/>
                <w:color w:val="000000" w:themeColor="text1"/>
                <w:sz w:val="16"/>
                <w:szCs w:val="16"/>
                <w:lang w:val="en-GB" w:eastAsia="en-GB"/>
              </w:rPr>
              <w:lastRenderedPageBreak/>
              <w:t xml:space="preserve">with higher call rate. </w:t>
            </w:r>
            <w:r w:rsidRPr="007E5370">
              <w:rPr>
                <w:rFonts w:ascii="Calibri" w:eastAsia="Times New Roman" w:hAnsi="Calibri" w:cs="Times New Roman"/>
                <w:color w:val="000000" w:themeColor="text1"/>
                <w:sz w:val="16"/>
                <w:szCs w:val="16"/>
                <w:lang w:val="en-GB" w:eastAsia="en-GB"/>
              </w:rPr>
              <w:br/>
              <w:t xml:space="preserve">- call rate &lt;98% for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and &lt;99% for </w:t>
            </w:r>
            <w:proofErr w:type="spellStart"/>
            <w:r w:rsidRPr="007E5370">
              <w:rPr>
                <w:rFonts w:ascii="Calibri" w:eastAsia="Times New Roman" w:hAnsi="Calibri" w:cs="Times New Roman"/>
                <w:color w:val="000000" w:themeColor="text1"/>
                <w:sz w:val="16"/>
                <w:szCs w:val="16"/>
                <w:lang w:val="en-GB" w:eastAsia="en-GB"/>
              </w:rPr>
              <w:t>zCall</w:t>
            </w:r>
            <w:proofErr w:type="spellEnd"/>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GenTrain</w:t>
            </w:r>
            <w:proofErr w:type="spellEnd"/>
            <w:r w:rsidRPr="007E5370">
              <w:rPr>
                <w:rFonts w:ascii="Calibri" w:eastAsia="Times New Roman" w:hAnsi="Calibri" w:cs="Times New Roman"/>
                <w:color w:val="000000" w:themeColor="text1"/>
                <w:sz w:val="16"/>
                <w:szCs w:val="16"/>
                <w:lang w:val="en-GB" w:eastAsia="en-GB"/>
              </w:rPr>
              <w:t xml:space="preserve"> score &lt;0.6 and Cluster separation score &lt;0.4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lastRenderedPageBreak/>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52,172 (0.00/52.63/47.37)</w:t>
            </w:r>
          </w:p>
          <w:p w:rsidR="00137904" w:rsidRPr="007E5370" w:rsidRDefault="00137904" w:rsidP="00A9014E">
            <w:pPr>
              <w:rPr>
                <w:rFonts w:ascii="Calibri" w:hAnsi="Calibri" w:cs="Calibri"/>
                <w:color w:val="000000" w:themeColor="text1"/>
                <w:sz w:val="16"/>
                <w:szCs w:val="16"/>
              </w:rPr>
            </w:pPr>
          </w:p>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39,422 (0.00/37.25/62.75)</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sex, and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sex, BMI, PC1,  and PC2 </w:t>
            </w:r>
            <w:r w:rsidRPr="007E5370">
              <w:rPr>
                <w:rFonts w:ascii="Calibri" w:eastAsia="Times New Roman" w:hAnsi="Calibri" w:cs="Times New Roman"/>
                <w:color w:val="000000" w:themeColor="text1"/>
                <w:sz w:val="16"/>
                <w:szCs w:val="16"/>
                <w:lang w:val="en-GB" w:eastAsia="en-GB"/>
              </w:rPr>
              <w:lastRenderedPageBreak/>
              <w:t xml:space="preserve">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w:t>
            </w:r>
          </w:p>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[UK]</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Twins UK</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23088889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54</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Unrelated samples selected as controls from the Twins UK study</w:t>
            </w:r>
            <w:r w:rsidRPr="007E5370">
              <w:rPr>
                <w:rFonts w:ascii="Calibri" w:eastAsia="Times New Roman" w:hAnsi="Calibri" w:cs="Times New Roman"/>
                <w:color w:val="000000" w:themeColor="text1"/>
                <w:sz w:val="16"/>
                <w:szCs w:val="16"/>
                <w:lang w:val="en-GB" w:eastAsia="en-GB"/>
              </w:rPr>
              <w:br/>
              <w:t>- T1D and T2D cases and samples with recorded family history of diabetes, or if either twin was ever recorded as impaired glucose tolerant (defined as fasting plasma glucose concentration &gt;6.1mmol/L in any reading), non-fasting were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 or non-European reported ancestry</w:t>
            </w:r>
            <w:r w:rsidRPr="007E5370">
              <w:rPr>
                <w:rFonts w:ascii="Calibri" w:eastAsia="Times New Roman" w:hAnsi="Calibri" w:cs="Times New Roman"/>
                <w:color w:val="000000" w:themeColor="text1"/>
                <w:sz w:val="16"/>
                <w:szCs w:val="16"/>
                <w:lang w:val="en-GB" w:eastAsia="en-GB"/>
              </w:rPr>
              <w:br/>
              <w:t>- sex discrepancy</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xml:space="preserve">- call rate &lt;98% for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and &lt;99% for </w:t>
            </w:r>
            <w:proofErr w:type="spellStart"/>
            <w:r w:rsidRPr="007E5370">
              <w:rPr>
                <w:rFonts w:ascii="Calibri" w:eastAsia="Times New Roman" w:hAnsi="Calibri" w:cs="Times New Roman"/>
                <w:color w:val="000000" w:themeColor="text1"/>
                <w:sz w:val="16"/>
                <w:szCs w:val="16"/>
                <w:lang w:val="en-GB" w:eastAsia="en-GB"/>
              </w:rPr>
              <w:t>zCall</w:t>
            </w:r>
            <w:proofErr w:type="spellEnd"/>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GenTrain</w:t>
            </w:r>
            <w:proofErr w:type="spellEnd"/>
            <w:r w:rsidRPr="007E5370">
              <w:rPr>
                <w:rFonts w:ascii="Calibri" w:eastAsia="Times New Roman" w:hAnsi="Calibri" w:cs="Times New Roman"/>
                <w:color w:val="000000" w:themeColor="text1"/>
                <w:sz w:val="16"/>
                <w:szCs w:val="16"/>
                <w:lang w:val="en-GB" w:eastAsia="en-GB"/>
              </w:rPr>
              <w:t xml:space="preserve"> score &lt;0.6 and Cluster separation score &lt;0.4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50,643 (0.00/51.06/48.94)</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sex, and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sex, BMI, PC1,  and PC2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 xml:space="preserve">European </w:t>
            </w:r>
          </w:p>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[UK]</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Oxford </w:t>
            </w:r>
            <w:proofErr w:type="spellStart"/>
            <w:r w:rsidRPr="007E5370">
              <w:rPr>
                <w:rFonts w:ascii="Calibri" w:eastAsia="Times New Roman" w:hAnsi="Calibri" w:cs="Times New Roman"/>
                <w:color w:val="000000" w:themeColor="text1"/>
                <w:sz w:val="16"/>
                <w:szCs w:val="16"/>
                <w:lang w:val="en-GB" w:eastAsia="en-GB"/>
              </w:rPr>
              <w:t>BioBank</w:t>
            </w:r>
            <w:proofErr w:type="spellEnd"/>
            <w:r w:rsidRPr="007E5370">
              <w:rPr>
                <w:rFonts w:ascii="Calibri" w:eastAsia="Times New Roman" w:hAnsi="Calibri" w:cs="Times New Roman"/>
                <w:color w:val="000000" w:themeColor="text1"/>
                <w:sz w:val="16"/>
                <w:szCs w:val="16"/>
                <w:lang w:val="en-GB" w:eastAsia="en-GB"/>
              </w:rPr>
              <w:t xml:space="preserve"> (OBB)</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http://www.oxfordbiobank.org.uk/</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T2D cases (on diabetic treatment or fasting </w:t>
            </w:r>
            <w:proofErr w:type="gramStart"/>
            <w:r w:rsidRPr="007E5370">
              <w:rPr>
                <w:rFonts w:ascii="Calibri" w:eastAsia="Times New Roman" w:hAnsi="Calibri" w:cs="Times New Roman"/>
                <w:color w:val="000000" w:themeColor="text1"/>
                <w:sz w:val="16"/>
                <w:szCs w:val="16"/>
                <w:lang w:val="en-GB" w:eastAsia="en-GB"/>
              </w:rPr>
              <w:t>glucose  ≥</w:t>
            </w:r>
            <w:proofErr w:type="gramEnd"/>
            <w:r w:rsidRPr="007E5370">
              <w:rPr>
                <w:rFonts w:ascii="Calibri" w:eastAsia="Times New Roman" w:hAnsi="Calibri" w:cs="Times New Roman"/>
                <w:color w:val="000000" w:themeColor="text1"/>
                <w:sz w:val="16"/>
                <w:szCs w:val="16"/>
                <w:lang w:val="en-GB" w:eastAsia="en-GB"/>
              </w:rPr>
              <w:t xml:space="preserve">7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were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xml:space="preserve">- technical duplicates with </w:t>
            </w:r>
            <w:r w:rsidRPr="007E5370">
              <w:rPr>
                <w:rFonts w:ascii="Calibri" w:eastAsia="Times New Roman" w:hAnsi="Calibri" w:cs="Times New Roman"/>
                <w:color w:val="000000" w:themeColor="text1"/>
                <w:sz w:val="16"/>
                <w:szCs w:val="16"/>
                <w:lang w:val="en-GB" w:eastAsia="en-GB"/>
              </w:rPr>
              <w:lastRenderedPageBreak/>
              <w:t>lower call rate</w:t>
            </w:r>
            <w:r w:rsidRPr="007E5370">
              <w:rPr>
                <w:rFonts w:ascii="Calibri" w:eastAsia="Times New Roman" w:hAnsi="Calibri" w:cs="Times New Roman"/>
                <w:color w:val="000000" w:themeColor="text1"/>
                <w:sz w:val="16"/>
                <w:szCs w:val="16"/>
                <w:lang w:val="en-GB" w:eastAsia="en-GB"/>
              </w:rPr>
              <w:br/>
              <w:t>- Non-European population outliers, or non-European reported ancestry</w:t>
            </w:r>
            <w:r w:rsidRPr="007E5370">
              <w:rPr>
                <w:rFonts w:ascii="Calibri" w:eastAsia="Times New Roman" w:hAnsi="Calibri" w:cs="Times New Roman"/>
                <w:color w:val="000000" w:themeColor="text1"/>
                <w:sz w:val="16"/>
                <w:szCs w:val="16"/>
                <w:lang w:val="en-GB" w:eastAsia="en-GB"/>
              </w:rPr>
              <w:br/>
              <w:t>- sex discrepancy</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t>
            </w:r>
            <w:r w:rsidRPr="007E5370">
              <w:rPr>
                <w:rFonts w:ascii="Calibri" w:eastAsia="Times New Roman" w:hAnsi="Calibri" w:cs="Times New Roman"/>
                <w:color w:val="000000" w:themeColor="text1"/>
                <w:sz w:val="16"/>
                <w:szCs w:val="16"/>
                <w:lang w:val="en-GB" w:eastAsia="en-GB"/>
              </w:rPr>
              <w:lastRenderedPageBreak/>
              <w:t xml:space="preserve">with higher call rate. </w:t>
            </w:r>
            <w:r w:rsidRPr="007E5370">
              <w:rPr>
                <w:rFonts w:ascii="Calibri" w:eastAsia="Times New Roman" w:hAnsi="Calibri" w:cs="Times New Roman"/>
                <w:color w:val="000000" w:themeColor="text1"/>
                <w:sz w:val="16"/>
                <w:szCs w:val="16"/>
                <w:lang w:val="en-GB" w:eastAsia="en-GB"/>
              </w:rPr>
              <w:br/>
              <w:t xml:space="preserve">- call rate &lt;98% for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and &lt;99% for </w:t>
            </w:r>
            <w:proofErr w:type="spellStart"/>
            <w:r w:rsidRPr="007E5370">
              <w:rPr>
                <w:rFonts w:ascii="Calibri" w:eastAsia="Times New Roman" w:hAnsi="Calibri" w:cs="Times New Roman"/>
                <w:color w:val="000000" w:themeColor="text1"/>
                <w:sz w:val="16"/>
                <w:szCs w:val="16"/>
                <w:lang w:val="en-GB" w:eastAsia="en-GB"/>
              </w:rPr>
              <w:t>zCall</w:t>
            </w:r>
            <w:proofErr w:type="spellEnd"/>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GenTrain</w:t>
            </w:r>
            <w:proofErr w:type="spellEnd"/>
            <w:r w:rsidRPr="007E5370">
              <w:rPr>
                <w:rFonts w:ascii="Calibri" w:eastAsia="Times New Roman" w:hAnsi="Calibri" w:cs="Times New Roman"/>
                <w:color w:val="000000" w:themeColor="text1"/>
                <w:sz w:val="16"/>
                <w:szCs w:val="16"/>
                <w:lang w:val="en-GB" w:eastAsia="en-GB"/>
              </w:rPr>
              <w:t xml:space="preserve"> score &lt;0.6 and Cluster separation score &lt;0.4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lastRenderedPageBreak/>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lastRenderedPageBreak/>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86,094 (17.18/54.02/28.80)</w:t>
            </w:r>
          </w:p>
          <w:p w:rsidR="00137904" w:rsidRPr="007E5370" w:rsidRDefault="00137904" w:rsidP="00A9014E">
            <w:pPr>
              <w:rPr>
                <w:rFonts w:ascii="Calibri" w:hAnsi="Calibri" w:cs="Calibri"/>
                <w:color w:val="000000" w:themeColor="text1"/>
                <w:sz w:val="16"/>
                <w:szCs w:val="16"/>
              </w:rPr>
            </w:pPr>
          </w:p>
          <w:p w:rsidR="00137904" w:rsidRPr="007E5370" w:rsidRDefault="00137904" w:rsidP="00A9014E">
            <w:pPr>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hAnsi="Calibri" w:cs="Calibri"/>
                <w:color w:val="000000" w:themeColor="text1"/>
                <w:sz w:val="16"/>
                <w:szCs w:val="16"/>
              </w:rPr>
              <w:t>N = 83,805 (17.22/53.20/29.58)</w:t>
            </w: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sex, and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sex, BMI, PC1,  and PC2 </w:t>
            </w:r>
            <w:r w:rsidRPr="007E5370">
              <w:rPr>
                <w:rFonts w:ascii="Calibri" w:eastAsia="Times New Roman" w:hAnsi="Calibri" w:cs="Times New Roman"/>
                <w:color w:val="000000" w:themeColor="text1"/>
                <w:sz w:val="16"/>
                <w:szCs w:val="16"/>
                <w:lang w:val="en-GB" w:eastAsia="en-GB"/>
              </w:rPr>
              <w:lastRenderedPageBreak/>
              <w:t xml:space="preserve">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[Swedish]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Prospective Investigation of </w:t>
            </w:r>
            <w:r w:rsidRPr="007E5370">
              <w:rPr>
                <w:rFonts w:ascii="Calibri" w:eastAsia="Times New Roman" w:hAnsi="Calibri" w:cs="Times New Roman"/>
                <w:color w:val="000000" w:themeColor="text1"/>
                <w:sz w:val="16"/>
                <w:szCs w:val="16"/>
                <w:lang w:val="en-GB" w:eastAsia="en-GB"/>
              </w:rPr>
              <w:br/>
              <w:t>the Vasculature in Uppsala Seniors (PIVUS)</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16141402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55</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cohort</w:t>
            </w:r>
            <w:r w:rsidRPr="007E5370">
              <w:rPr>
                <w:rFonts w:ascii="Calibri" w:eastAsia="Times New Roman" w:hAnsi="Calibri" w:cs="Times New Roman"/>
                <w:color w:val="000000" w:themeColor="text1"/>
                <w:sz w:val="16"/>
                <w:szCs w:val="16"/>
                <w:lang w:val="en-GB" w:eastAsia="en-GB"/>
              </w:rPr>
              <w:br/>
              <w:t xml:space="preserve">- T1D, T2D cases or fasting plasma glucose concentration ≥7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pregnant individuals, and samples with non-fasting blood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xml:space="preserve">- call rate &lt;98% for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and &lt;99% for </w:t>
            </w:r>
            <w:proofErr w:type="spellStart"/>
            <w:r w:rsidRPr="007E5370">
              <w:rPr>
                <w:rFonts w:ascii="Calibri" w:eastAsia="Times New Roman" w:hAnsi="Calibri" w:cs="Times New Roman"/>
                <w:color w:val="000000" w:themeColor="text1"/>
                <w:sz w:val="16"/>
                <w:szCs w:val="16"/>
                <w:lang w:val="en-GB" w:eastAsia="en-GB"/>
              </w:rPr>
              <w:t>zCall</w:t>
            </w:r>
            <w:proofErr w:type="spellEnd"/>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GenTrain</w:t>
            </w:r>
            <w:proofErr w:type="spellEnd"/>
            <w:r w:rsidRPr="007E5370">
              <w:rPr>
                <w:rFonts w:ascii="Calibri" w:eastAsia="Times New Roman" w:hAnsi="Calibri" w:cs="Times New Roman"/>
                <w:color w:val="000000" w:themeColor="text1"/>
                <w:sz w:val="16"/>
                <w:szCs w:val="16"/>
                <w:lang w:val="en-GB" w:eastAsia="en-GB"/>
              </w:rPr>
              <w:t xml:space="preserve"> score &lt;0.6 and Cluster separation score &lt;0.4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67,776 (0.00/61.67/38.33)</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67,732 (0.00/61.68/38.32)</w:t>
            </w:r>
          </w:p>
          <w:p w:rsidR="00137904" w:rsidRPr="007E5370" w:rsidRDefault="00137904" w:rsidP="00A9014E">
            <w:pPr>
              <w:rPr>
                <w:rFonts w:ascii="Calibri" w:eastAsia="Times New Roman" w:hAnsi="Calibri" w:cs="Times New Roman"/>
                <w:color w:val="000000" w:themeColor="text1"/>
                <w:sz w:val="16"/>
                <w:szCs w:val="16"/>
                <w:lang w:val="en-GB" w:eastAsia="en-GB"/>
              </w:rPr>
            </w:pPr>
          </w:p>
          <w:p w:rsidR="00137904" w:rsidRPr="007E5370" w:rsidRDefault="00137904" w:rsidP="00A9014E">
            <w:pPr>
              <w:rPr>
                <w:rFonts w:ascii="Calibri" w:eastAsia="Times New Roman" w:hAnsi="Calibri" w:cs="Times New Roman"/>
                <w:color w:val="000000" w:themeColor="text1"/>
                <w:sz w:val="16"/>
                <w:szCs w:val="16"/>
                <w:lang w:val="en-GB" w:eastAsia="en-GB"/>
              </w:rPr>
            </w:pPr>
          </w:p>
          <w:p w:rsidR="00137904" w:rsidRPr="007E5370" w:rsidRDefault="00137904" w:rsidP="00A9014E">
            <w:pPr>
              <w:jc w:val="center"/>
              <w:rPr>
                <w:rFonts w:ascii="Calibri" w:eastAsia="Times New Roman" w:hAnsi="Calibri" w:cs="Times New Roman"/>
                <w:color w:val="000000" w:themeColor="text1"/>
                <w:sz w:val="16"/>
                <w:szCs w:val="16"/>
                <w:lang w:val="en-GB" w:eastAsia="en-GB"/>
              </w:rPr>
            </w:pP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sex, and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sex, BMI, PC1,  and PC2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7E5370"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lastRenderedPageBreak/>
              <w:t>European [Swedish]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Uppsala Longitudinal Study of Adult Men (ULSAM)</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1216390 </w:t>
            </w:r>
            <w:r w:rsidRPr="007E5370">
              <w:rPr>
                <w:rFonts w:ascii="Calibri" w:eastAsia="Times New Roman" w:hAnsi="Calibri" w:cs="Times New Roman"/>
                <w:noProof/>
                <w:color w:val="000000" w:themeColor="text1"/>
                <w:sz w:val="16"/>
                <w:szCs w:val="16"/>
                <w:lang w:val="en-GB" w:eastAsia="en-GB"/>
              </w:rPr>
              <w:t>[</w:t>
            </w:r>
            <w:r w:rsidR="0012558C">
              <w:rPr>
                <w:rFonts w:ascii="Calibri" w:eastAsia="Times New Roman" w:hAnsi="Calibri" w:cs="Times New Roman"/>
                <w:noProof/>
                <w:color w:val="000000" w:themeColor="text1"/>
                <w:sz w:val="16"/>
                <w:szCs w:val="16"/>
                <w:lang w:val="en-GB" w:eastAsia="en-GB"/>
              </w:rPr>
              <w:t>56</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Population-based cohort</w:t>
            </w:r>
            <w:r w:rsidRPr="007E5370">
              <w:rPr>
                <w:rFonts w:ascii="Calibri" w:eastAsia="Times New Roman" w:hAnsi="Calibri" w:cs="Times New Roman"/>
                <w:color w:val="000000" w:themeColor="text1"/>
                <w:sz w:val="16"/>
                <w:szCs w:val="16"/>
                <w:lang w:val="en-GB" w:eastAsia="en-GB"/>
              </w:rPr>
              <w:br/>
              <w:t xml:space="preserve">- T1D, T2D cases or fasting plasma glucose concentration ≥7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 xml:space="preserve">/l, and samples with non-fasting blood excluded </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HumanExome-12v1_A</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technical duplicates with lower call rate</w:t>
            </w:r>
            <w:r w:rsidRPr="007E5370">
              <w:rPr>
                <w:rFonts w:ascii="Calibri" w:eastAsia="Times New Roman" w:hAnsi="Calibri" w:cs="Times New Roman"/>
                <w:color w:val="000000" w:themeColor="text1"/>
                <w:sz w:val="16"/>
                <w:szCs w:val="16"/>
                <w:lang w:val="en-GB" w:eastAsia="en-GB"/>
              </w:rPr>
              <w:br/>
              <w:t>- Non-European population outliers</w:t>
            </w:r>
            <w:r w:rsidRPr="007E5370">
              <w:rPr>
                <w:rFonts w:ascii="Calibri" w:eastAsia="Times New Roman" w:hAnsi="Calibri" w:cs="Times New Roman"/>
                <w:color w:val="000000" w:themeColor="text1"/>
                <w:sz w:val="16"/>
                <w:szCs w:val="16"/>
                <w:lang w:val="en-GB" w:eastAsia="en-GB"/>
              </w:rPr>
              <w:br/>
              <w:t>- sex discrepancy</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exclude variants that had chromosome or position or allele mismatch</w:t>
            </w:r>
            <w:r w:rsidRPr="007E5370">
              <w:rPr>
                <w:rFonts w:ascii="Calibri" w:eastAsia="Times New Roman" w:hAnsi="Calibri" w:cs="Times New Roman"/>
                <w:color w:val="000000" w:themeColor="text1"/>
                <w:sz w:val="16"/>
                <w:szCs w:val="16"/>
                <w:lang w:val="en-GB" w:eastAsia="en-GB"/>
              </w:rPr>
              <w:br/>
              <w:t xml:space="preserve">- exclude duplicated variants, keeping the one with higher call rate. </w:t>
            </w:r>
            <w:r w:rsidRPr="007E5370">
              <w:rPr>
                <w:rFonts w:ascii="Calibri" w:eastAsia="Times New Roman" w:hAnsi="Calibri" w:cs="Times New Roman"/>
                <w:color w:val="000000" w:themeColor="text1"/>
                <w:sz w:val="16"/>
                <w:szCs w:val="16"/>
                <w:lang w:val="en-GB" w:eastAsia="en-GB"/>
              </w:rPr>
              <w:br/>
              <w:t xml:space="preserve">- call rate &lt;98% for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and &lt;99% for </w:t>
            </w:r>
            <w:proofErr w:type="spellStart"/>
            <w:r w:rsidRPr="007E5370">
              <w:rPr>
                <w:rFonts w:ascii="Calibri" w:eastAsia="Times New Roman" w:hAnsi="Calibri" w:cs="Times New Roman"/>
                <w:color w:val="000000" w:themeColor="text1"/>
                <w:sz w:val="16"/>
                <w:szCs w:val="16"/>
                <w:lang w:val="en-GB" w:eastAsia="en-GB"/>
              </w:rPr>
              <w:t>zCall</w:t>
            </w:r>
            <w:proofErr w:type="spellEnd"/>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GenTrain</w:t>
            </w:r>
            <w:proofErr w:type="spellEnd"/>
            <w:r w:rsidRPr="007E5370">
              <w:rPr>
                <w:rFonts w:ascii="Calibri" w:eastAsia="Times New Roman" w:hAnsi="Calibri" w:cs="Times New Roman"/>
                <w:color w:val="000000" w:themeColor="text1"/>
                <w:sz w:val="16"/>
                <w:szCs w:val="16"/>
                <w:lang w:val="en-GB" w:eastAsia="en-GB"/>
              </w:rPr>
              <w:t xml:space="preserve"> score &lt;0.6 and Cluster separation score &lt;0.4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GenCall</w:t>
            </w:r>
            <w:proofErr w:type="spellEnd"/>
            <w:r w:rsidRPr="007E5370">
              <w:rPr>
                <w:rFonts w:ascii="Calibri" w:eastAsia="Times New Roman" w:hAnsi="Calibri" w:cs="Times New Roman"/>
                <w:color w:val="000000" w:themeColor="text1"/>
                <w:sz w:val="16"/>
                <w:szCs w:val="16"/>
                <w:lang w:val="en-GB" w:eastAsia="en-GB"/>
              </w:rPr>
              <w:t xml:space="preserve"> using standard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cluster files + </w:t>
            </w:r>
            <w:proofErr w:type="spellStart"/>
            <w:r w:rsidRPr="007E5370">
              <w:rPr>
                <w:rFonts w:ascii="Calibri" w:eastAsia="Times New Roman" w:hAnsi="Calibri" w:cs="Times New Roman"/>
                <w:color w:val="000000" w:themeColor="text1"/>
                <w:sz w:val="16"/>
                <w:szCs w:val="16"/>
                <w:lang w:val="en-GB" w:eastAsia="en-GB"/>
              </w:rPr>
              <w:t>Zcall</w:t>
            </w:r>
            <w:proofErr w:type="spellEnd"/>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67,776 (0.00/61.67/38.33)</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67,732 (0.00/61.68/38.32)</w:t>
            </w:r>
          </w:p>
          <w:p w:rsidR="00137904" w:rsidRPr="007E5370" w:rsidRDefault="00137904" w:rsidP="00A9014E">
            <w:pPr>
              <w:rPr>
                <w:rFonts w:ascii="Calibri" w:eastAsia="Times New Roman" w:hAnsi="Calibri" w:cs="Times New Roman"/>
                <w:color w:val="000000" w:themeColor="text1"/>
                <w:sz w:val="16"/>
                <w:szCs w:val="16"/>
                <w:lang w:val="en-GB" w:eastAsia="en-GB"/>
              </w:rPr>
            </w:pPr>
          </w:p>
        </w:tc>
        <w:tc>
          <w:tcPr>
            <w:tcW w:w="147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and BMI for EMMAX-analysis</w:t>
            </w:r>
            <w:r w:rsidRPr="007E5370">
              <w:rPr>
                <w:rFonts w:ascii="Calibri" w:eastAsia="Times New Roman" w:hAnsi="Calibri" w:cs="Times New Roman"/>
                <w:color w:val="000000" w:themeColor="text1"/>
                <w:sz w:val="16"/>
                <w:szCs w:val="16"/>
                <w:lang w:val="en-GB" w:eastAsia="en-GB"/>
              </w:rPr>
              <w:br/>
              <w:t>- age, age</w:t>
            </w:r>
            <w:r w:rsidRPr="007E5370">
              <w:rPr>
                <w:rFonts w:ascii="Calibri" w:eastAsia="Times New Roman" w:hAnsi="Calibri" w:cs="Times New Roman"/>
                <w:color w:val="000000" w:themeColor="text1"/>
                <w:sz w:val="16"/>
                <w:szCs w:val="16"/>
                <w:vertAlign w:val="superscript"/>
                <w:lang w:val="en-GB" w:eastAsia="en-GB"/>
              </w:rPr>
              <w:t>2</w:t>
            </w:r>
            <w:r w:rsidRPr="007E5370">
              <w:rPr>
                <w:rFonts w:ascii="Calibri" w:eastAsia="Times New Roman" w:hAnsi="Calibri" w:cs="Times New Roman"/>
                <w:color w:val="000000" w:themeColor="text1"/>
                <w:sz w:val="16"/>
                <w:szCs w:val="16"/>
                <w:lang w:val="en-GB" w:eastAsia="en-GB"/>
              </w:rPr>
              <w:t xml:space="preserve">, BMI, PC1,  and PC2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r w:rsidR="00137904" w:rsidRPr="006C3554" w:rsidTr="00A9014E">
        <w:trPr>
          <w:trHeight w:val="20"/>
          <w:jc w:val="center"/>
        </w:trPr>
        <w:tc>
          <w:tcPr>
            <w:tcW w:w="873" w:type="dxa"/>
          </w:tcPr>
          <w:p w:rsidR="00137904" w:rsidRPr="007E5370" w:rsidRDefault="00137904" w:rsidP="00A9014E">
            <w:pPr>
              <w:rPr>
                <w:rFonts w:ascii="Calibri" w:eastAsia="Times New Roman" w:hAnsi="Calibri" w:cs="Times New Roman"/>
                <w:b/>
                <w:color w:val="000000" w:themeColor="text1"/>
                <w:sz w:val="16"/>
                <w:szCs w:val="16"/>
                <w:lang w:val="en-GB" w:eastAsia="en-GB"/>
              </w:rPr>
            </w:pPr>
            <w:r w:rsidRPr="007E5370">
              <w:rPr>
                <w:rFonts w:ascii="Calibri" w:eastAsia="Times New Roman" w:hAnsi="Calibri" w:cs="Times New Roman"/>
                <w:b/>
                <w:color w:val="000000" w:themeColor="text1"/>
                <w:sz w:val="16"/>
                <w:szCs w:val="16"/>
                <w:lang w:val="en-GB" w:eastAsia="en-GB"/>
              </w:rPr>
              <w:t>European [Finnish]</w:t>
            </w:r>
          </w:p>
        </w:tc>
        <w:tc>
          <w:tcPr>
            <w:tcW w:w="113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Prevalence, Prediction and Prevention of Diabetes (PPP)-</w:t>
            </w:r>
            <w:proofErr w:type="spellStart"/>
            <w:r w:rsidRPr="007E5370">
              <w:rPr>
                <w:rFonts w:ascii="Calibri" w:eastAsia="Times New Roman" w:hAnsi="Calibri" w:cs="Times New Roman"/>
                <w:color w:val="000000" w:themeColor="text1"/>
                <w:sz w:val="16"/>
                <w:szCs w:val="16"/>
                <w:lang w:val="en-GB" w:eastAsia="en-GB"/>
              </w:rPr>
              <w:t>Botnia</w:t>
            </w:r>
            <w:proofErr w:type="spellEnd"/>
            <w:r w:rsidRPr="007E5370">
              <w:rPr>
                <w:rFonts w:ascii="Calibri" w:eastAsia="Times New Roman" w:hAnsi="Calibri" w:cs="Times New Roman"/>
                <w:color w:val="000000" w:themeColor="text1"/>
                <w:sz w:val="16"/>
                <w:szCs w:val="16"/>
                <w:lang w:val="en-GB" w:eastAsia="en-GB"/>
              </w:rPr>
              <w:t xml:space="preserve"> study</w:t>
            </w:r>
          </w:p>
        </w:tc>
        <w:tc>
          <w:tcPr>
            <w:tcW w:w="116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20454776 </w:t>
            </w:r>
            <w:r w:rsidRPr="007E5370">
              <w:rPr>
                <w:rFonts w:ascii="Calibri" w:eastAsia="Times New Roman" w:hAnsi="Calibri" w:cs="Times New Roman"/>
                <w:noProof/>
                <w:color w:val="000000" w:themeColor="text1"/>
                <w:sz w:val="16"/>
                <w:szCs w:val="16"/>
                <w:lang w:val="en-GB" w:eastAsia="en-GB"/>
              </w:rPr>
              <w:t>[5</w:t>
            </w:r>
            <w:r w:rsidR="0012558C">
              <w:rPr>
                <w:rFonts w:ascii="Calibri" w:eastAsia="Times New Roman" w:hAnsi="Calibri" w:cs="Times New Roman"/>
                <w:noProof/>
                <w:color w:val="000000" w:themeColor="text1"/>
                <w:sz w:val="16"/>
                <w:szCs w:val="16"/>
                <w:lang w:val="en-GB" w:eastAsia="en-GB"/>
              </w:rPr>
              <w:t>7</w:t>
            </w:r>
            <w:r w:rsidRPr="007E5370">
              <w:rPr>
                <w:rFonts w:ascii="Calibri" w:eastAsia="Times New Roman" w:hAnsi="Calibri" w:cs="Times New Roman"/>
                <w:noProof/>
                <w:color w:val="000000" w:themeColor="text1"/>
                <w:sz w:val="16"/>
                <w:szCs w:val="16"/>
                <w:lang w:val="en-GB" w:eastAsia="en-GB"/>
              </w:rPr>
              <w:t>]</w:t>
            </w:r>
          </w:p>
        </w:tc>
        <w:tc>
          <w:tcPr>
            <w:tcW w:w="2372"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Population-based cohort </w:t>
            </w:r>
            <w:r w:rsidRPr="007E5370">
              <w:rPr>
                <w:rFonts w:ascii="Calibri" w:eastAsia="Times New Roman" w:hAnsi="Calibri" w:cs="Times New Roman"/>
                <w:color w:val="000000" w:themeColor="text1"/>
                <w:sz w:val="16"/>
                <w:szCs w:val="16"/>
                <w:lang w:val="en-GB" w:eastAsia="en-GB"/>
              </w:rPr>
              <w:br/>
              <w:t xml:space="preserve">- T1D, T2D cases or fasting plasma glucose concentration ≥7 </w:t>
            </w:r>
            <w:proofErr w:type="spellStart"/>
            <w:r w:rsidRPr="007E5370">
              <w:rPr>
                <w:rFonts w:ascii="Calibri" w:eastAsia="Times New Roman" w:hAnsi="Calibri" w:cs="Times New Roman"/>
                <w:color w:val="000000" w:themeColor="text1"/>
                <w:sz w:val="16"/>
                <w:szCs w:val="16"/>
                <w:lang w:val="en-GB" w:eastAsia="en-GB"/>
              </w:rPr>
              <w:t>mmol</w:t>
            </w:r>
            <w:proofErr w:type="spellEnd"/>
            <w:r w:rsidRPr="007E5370">
              <w:rPr>
                <w:rFonts w:ascii="Calibri" w:eastAsia="Times New Roman" w:hAnsi="Calibri" w:cs="Times New Roman"/>
                <w:color w:val="000000" w:themeColor="text1"/>
                <w:sz w:val="16"/>
                <w:szCs w:val="16"/>
                <w:lang w:val="en-GB" w:eastAsia="en-GB"/>
              </w:rPr>
              <w:t>/l, pregnant individuals, and samples with non-fasting blood excluded</w:t>
            </w:r>
          </w:p>
        </w:tc>
        <w:tc>
          <w:tcPr>
            <w:tcW w:w="1063"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w:t>
            </w:r>
            <w:proofErr w:type="spellStart"/>
            <w:r w:rsidRPr="007E5370">
              <w:rPr>
                <w:rFonts w:ascii="Calibri" w:eastAsia="Times New Roman" w:hAnsi="Calibri" w:cs="Times New Roman"/>
                <w:color w:val="000000" w:themeColor="text1"/>
                <w:sz w:val="16"/>
                <w:szCs w:val="16"/>
                <w:lang w:val="en-GB" w:eastAsia="en-GB"/>
              </w:rPr>
              <w:t>Illumina</w:t>
            </w:r>
            <w:proofErr w:type="spellEnd"/>
            <w:r w:rsidRPr="007E5370">
              <w:rPr>
                <w:rFonts w:ascii="Calibri" w:eastAsia="Times New Roman" w:hAnsi="Calibri" w:cs="Times New Roman"/>
                <w:color w:val="000000" w:themeColor="text1"/>
                <w:sz w:val="16"/>
                <w:szCs w:val="16"/>
                <w:lang w:val="en-GB" w:eastAsia="en-GB"/>
              </w:rPr>
              <w:t xml:space="preserve"> HumanExome-12v1.1</w:t>
            </w:r>
          </w:p>
        </w:tc>
        <w:tc>
          <w:tcPr>
            <w:tcW w:w="84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&gt;99%</w:t>
            </w:r>
          </w:p>
        </w:tc>
        <w:tc>
          <w:tcPr>
            <w:tcW w:w="1485"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-call rate ≤99%</w:t>
            </w:r>
            <w:r w:rsidRPr="007E5370">
              <w:rPr>
                <w:rFonts w:ascii="Calibri" w:eastAsia="Times New Roman" w:hAnsi="Calibri" w:cs="Times New Roman"/>
                <w:color w:val="000000" w:themeColor="text1"/>
                <w:sz w:val="16"/>
                <w:szCs w:val="16"/>
                <w:lang w:val="en-GB" w:eastAsia="en-GB"/>
              </w:rPr>
              <w:br/>
              <w:t xml:space="preserve">- </w:t>
            </w:r>
            <w:proofErr w:type="spellStart"/>
            <w:r w:rsidRPr="007E5370">
              <w:rPr>
                <w:rFonts w:ascii="Calibri" w:eastAsia="Times New Roman" w:hAnsi="Calibri" w:cs="Times New Roman"/>
                <w:color w:val="000000" w:themeColor="text1"/>
                <w:sz w:val="16"/>
                <w:szCs w:val="16"/>
                <w:lang w:val="en-GB" w:eastAsia="en-GB"/>
              </w:rPr>
              <w:t>heterozygosity</w:t>
            </w:r>
            <w:proofErr w:type="spellEnd"/>
            <w:r w:rsidRPr="007E5370">
              <w:rPr>
                <w:rFonts w:ascii="Calibri" w:eastAsia="Times New Roman" w:hAnsi="Calibri" w:cs="Times New Roman"/>
                <w:color w:val="000000" w:themeColor="text1"/>
                <w:sz w:val="16"/>
                <w:szCs w:val="16"/>
                <w:lang w:val="en-GB" w:eastAsia="en-GB"/>
              </w:rPr>
              <w:t xml:space="preserve"> 4SD of mean</w:t>
            </w:r>
            <w:r w:rsidRPr="007E5370">
              <w:rPr>
                <w:rFonts w:ascii="Calibri" w:eastAsia="Times New Roman" w:hAnsi="Calibri" w:cs="Times New Roman"/>
                <w:color w:val="000000" w:themeColor="text1"/>
                <w:sz w:val="16"/>
                <w:szCs w:val="16"/>
                <w:lang w:val="en-GB" w:eastAsia="en-GB"/>
              </w:rPr>
              <w:br/>
              <w:t>- gender discordance</w:t>
            </w:r>
            <w:r w:rsidRPr="007E5370">
              <w:rPr>
                <w:rFonts w:ascii="Calibri" w:eastAsia="Times New Roman" w:hAnsi="Calibri" w:cs="Times New Roman"/>
                <w:color w:val="000000" w:themeColor="text1"/>
                <w:sz w:val="16"/>
                <w:szCs w:val="16"/>
                <w:lang w:val="en-GB" w:eastAsia="en-GB"/>
              </w:rPr>
              <w:br/>
              <w:t>- GWAS discordance</w:t>
            </w:r>
            <w:r w:rsidRPr="007E5370">
              <w:rPr>
                <w:rFonts w:ascii="Calibri" w:eastAsia="Times New Roman" w:hAnsi="Calibri" w:cs="Times New Roman"/>
                <w:color w:val="000000" w:themeColor="text1"/>
                <w:sz w:val="16"/>
                <w:szCs w:val="16"/>
                <w:lang w:val="en-GB" w:eastAsia="en-GB"/>
              </w:rPr>
              <w:br/>
              <w:t>- genotyping platform fingerprint discordance</w:t>
            </w:r>
            <w:r w:rsidRPr="007E5370">
              <w:rPr>
                <w:rFonts w:ascii="Calibri" w:eastAsia="Times New Roman" w:hAnsi="Calibri" w:cs="Times New Roman"/>
                <w:color w:val="000000" w:themeColor="text1"/>
                <w:sz w:val="16"/>
                <w:szCs w:val="16"/>
                <w:lang w:val="en-GB" w:eastAsia="en-GB"/>
              </w:rPr>
              <w:br/>
            </w:r>
            <w:r w:rsidRPr="007E5370">
              <w:rPr>
                <w:rFonts w:ascii="Calibri" w:eastAsia="Times New Roman" w:hAnsi="Calibri" w:cs="Times New Roman"/>
                <w:color w:val="000000" w:themeColor="text1"/>
                <w:sz w:val="16"/>
                <w:szCs w:val="16"/>
                <w:lang w:val="en-GB" w:eastAsia="en-GB"/>
              </w:rPr>
              <w:lastRenderedPageBreak/>
              <w:t>- population outliers</w:t>
            </w:r>
          </w:p>
        </w:tc>
        <w:tc>
          <w:tcPr>
            <w:tcW w:w="981"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&gt;99%</w:t>
            </w:r>
          </w:p>
        </w:tc>
        <w:tc>
          <w:tcPr>
            <w:tcW w:w="2106"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 xml:space="preserve">- </w:t>
            </w:r>
            <w:proofErr w:type="gramStart"/>
            <w:r w:rsidRPr="007E5370">
              <w:rPr>
                <w:rFonts w:ascii="Calibri" w:eastAsia="Times New Roman" w:hAnsi="Calibri" w:cs="Times New Roman"/>
                <w:color w:val="000000" w:themeColor="text1"/>
                <w:sz w:val="16"/>
                <w:szCs w:val="16"/>
                <w:lang w:val="en-GB" w:eastAsia="en-GB"/>
              </w:rPr>
              <w:t>genotyping</w:t>
            </w:r>
            <w:proofErr w:type="gramEnd"/>
            <w:r w:rsidRPr="007E5370">
              <w:rPr>
                <w:rFonts w:ascii="Calibri" w:eastAsia="Times New Roman" w:hAnsi="Calibri" w:cs="Times New Roman"/>
                <w:color w:val="000000" w:themeColor="text1"/>
                <w:sz w:val="16"/>
                <w:szCs w:val="16"/>
                <w:lang w:val="en-GB" w:eastAsia="en-GB"/>
              </w:rPr>
              <w:t xml:space="preserve"> cluster checks within batches, outliers removed.</w:t>
            </w:r>
            <w:r w:rsidRPr="007E5370">
              <w:rPr>
                <w:rFonts w:ascii="Calibri" w:eastAsia="Times New Roman" w:hAnsi="Calibri" w:cs="Times New Roman"/>
                <w:color w:val="000000" w:themeColor="text1"/>
                <w:sz w:val="16"/>
                <w:szCs w:val="16"/>
                <w:lang w:val="en-GB" w:eastAsia="en-GB"/>
              </w:rPr>
              <w:br/>
              <w:t>- exact HWE &lt;10</w:t>
            </w:r>
            <w:r w:rsidRPr="007E5370">
              <w:rPr>
                <w:rFonts w:ascii="Calibri" w:eastAsia="Times New Roman" w:hAnsi="Calibri" w:cs="Times New Roman"/>
                <w:color w:val="000000" w:themeColor="text1"/>
                <w:sz w:val="16"/>
                <w:szCs w:val="16"/>
                <w:vertAlign w:val="superscript"/>
                <w:lang w:val="en-GB" w:eastAsia="en-GB"/>
              </w:rPr>
              <w:t>-4</w:t>
            </w:r>
          </w:p>
        </w:tc>
        <w:tc>
          <w:tcPr>
            <w:tcW w:w="1260" w:type="dxa"/>
          </w:tcPr>
          <w:p w:rsidR="00137904" w:rsidRPr="007E5370"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t>Birdseed with cluster filter</w:t>
            </w:r>
          </w:p>
        </w:tc>
        <w:tc>
          <w:tcPr>
            <w:tcW w:w="1592" w:type="dxa"/>
            <w:shd w:val="clear" w:color="auto" w:fill="auto"/>
          </w:tcPr>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FG</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67,776 (0.00/61.67/38.33)</w:t>
            </w:r>
          </w:p>
          <w:p w:rsidR="00137904" w:rsidRPr="007E5370" w:rsidRDefault="00137904" w:rsidP="00A9014E">
            <w:pPr>
              <w:autoSpaceDE w:val="0"/>
              <w:autoSpaceDN w:val="0"/>
              <w:adjustRightInd w:val="0"/>
              <w:rPr>
                <w:rFonts w:ascii="Calibri" w:hAnsi="Calibri" w:cs="Calibri"/>
                <w:color w:val="000000" w:themeColor="text1"/>
                <w:sz w:val="16"/>
                <w:szCs w:val="16"/>
              </w:rPr>
            </w:pP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FI</w:t>
            </w:r>
          </w:p>
          <w:p w:rsidR="00137904" w:rsidRPr="007E5370" w:rsidRDefault="00137904" w:rsidP="00A9014E">
            <w:pPr>
              <w:autoSpaceDE w:val="0"/>
              <w:autoSpaceDN w:val="0"/>
              <w:adjustRightInd w:val="0"/>
              <w:rPr>
                <w:rFonts w:ascii="Calibri" w:hAnsi="Calibri" w:cs="Calibri"/>
                <w:color w:val="000000" w:themeColor="text1"/>
                <w:sz w:val="16"/>
                <w:szCs w:val="16"/>
              </w:rPr>
            </w:pPr>
            <w:r w:rsidRPr="007E5370">
              <w:rPr>
                <w:rFonts w:ascii="Calibri" w:hAnsi="Calibri" w:cs="Calibri"/>
                <w:color w:val="000000" w:themeColor="text1"/>
                <w:sz w:val="16"/>
                <w:szCs w:val="16"/>
              </w:rPr>
              <w:t>N = 67,732 (0.00/61.68/38.32)</w:t>
            </w:r>
          </w:p>
          <w:p w:rsidR="00137904" w:rsidRPr="007E5370" w:rsidRDefault="00137904" w:rsidP="00A9014E">
            <w:pPr>
              <w:rPr>
                <w:rFonts w:ascii="Calibri" w:eastAsia="Times New Roman" w:hAnsi="Calibri" w:cs="Times New Roman"/>
                <w:color w:val="000000" w:themeColor="text1"/>
                <w:sz w:val="16"/>
                <w:szCs w:val="16"/>
                <w:lang w:val="en-GB" w:eastAsia="en-GB"/>
              </w:rPr>
            </w:pPr>
          </w:p>
        </w:tc>
        <w:tc>
          <w:tcPr>
            <w:tcW w:w="1473" w:type="dxa"/>
          </w:tcPr>
          <w:p w:rsidR="00137904" w:rsidRPr="006C3554" w:rsidRDefault="00137904" w:rsidP="00A9014E">
            <w:pPr>
              <w:rPr>
                <w:rFonts w:ascii="Calibri" w:eastAsia="Times New Roman" w:hAnsi="Calibri" w:cs="Times New Roman"/>
                <w:color w:val="000000" w:themeColor="text1"/>
                <w:sz w:val="16"/>
                <w:szCs w:val="16"/>
                <w:lang w:val="en-GB" w:eastAsia="en-GB"/>
              </w:rPr>
            </w:pPr>
            <w:r w:rsidRPr="007E5370">
              <w:rPr>
                <w:rFonts w:ascii="Calibri" w:eastAsia="Times New Roman" w:hAnsi="Calibri" w:cs="Times New Roman"/>
                <w:color w:val="000000" w:themeColor="text1"/>
                <w:sz w:val="16"/>
                <w:szCs w:val="16"/>
                <w:lang w:val="en-GB" w:eastAsia="en-GB"/>
              </w:rPr>
              <w:lastRenderedPageBreak/>
              <w:t>- age, age2, and BMI for EMMAX-analysis</w:t>
            </w:r>
            <w:r w:rsidRPr="007E5370">
              <w:rPr>
                <w:rFonts w:ascii="Calibri" w:eastAsia="Times New Roman" w:hAnsi="Calibri" w:cs="Times New Roman"/>
                <w:color w:val="000000" w:themeColor="text1"/>
                <w:sz w:val="16"/>
                <w:szCs w:val="16"/>
                <w:lang w:val="en-GB" w:eastAsia="en-GB"/>
              </w:rPr>
              <w:br/>
              <w:t xml:space="preserve">- age, age2, sex, BMI, PC1, PC2, PC3, and PC4 for </w:t>
            </w:r>
            <w:proofErr w:type="spellStart"/>
            <w:r w:rsidRPr="007E5370">
              <w:rPr>
                <w:rFonts w:ascii="Calibri" w:eastAsia="Times New Roman" w:hAnsi="Calibri" w:cs="Times New Roman"/>
                <w:color w:val="000000" w:themeColor="text1"/>
                <w:sz w:val="16"/>
                <w:szCs w:val="16"/>
                <w:lang w:val="en-GB" w:eastAsia="en-GB"/>
              </w:rPr>
              <w:t>RareMetalWorker</w:t>
            </w:r>
            <w:proofErr w:type="spellEnd"/>
            <w:r w:rsidRPr="007E5370">
              <w:rPr>
                <w:rFonts w:ascii="Calibri" w:eastAsia="Times New Roman" w:hAnsi="Calibri" w:cs="Times New Roman"/>
                <w:color w:val="000000" w:themeColor="text1"/>
                <w:sz w:val="16"/>
                <w:szCs w:val="16"/>
                <w:lang w:val="en-GB" w:eastAsia="en-GB"/>
              </w:rPr>
              <w:t xml:space="preserve"> analysis</w:t>
            </w:r>
          </w:p>
        </w:tc>
      </w:tr>
    </w:tbl>
    <w:p w:rsidR="00137904" w:rsidRPr="006C3554" w:rsidRDefault="00137904" w:rsidP="00387AAB">
      <w:pPr>
        <w:rPr>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524E69">
      <w:pPr>
        <w:pStyle w:val="ListParagraph"/>
        <w:numPr>
          <w:ilvl w:val="0"/>
          <w:numId w:val="2"/>
        </w:numPr>
        <w:spacing w:line="240" w:lineRule="auto"/>
        <w:rPr>
          <w:rFonts w:cs="Consolas"/>
          <w:noProof/>
          <w:vanish/>
          <w:color w:val="000000" w:themeColor="text1"/>
        </w:rPr>
      </w:pP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bookmarkStart w:id="0" w:name="_GoBack"/>
      <w:r w:rsidRPr="00524E69">
        <w:rPr>
          <w:rFonts w:cs="Consolas"/>
          <w:noProof/>
          <w:color w:val="000000" w:themeColor="text1"/>
        </w:rPr>
        <w:t>Kotronen A, Yki-Jarvinen H, Mannisto S, Saarikoski L, Korpi-Hyovalti E, et al. (2010) Non-alcoholic and alcoholic fatty liver disease - two diseases of affluence associated with the metabolic syndrome and type 2 diabetes: the FIN-D2D survey. BMC Public Health 10: 237-237.</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Tuomilehto J, Lindstrom J, Eriksson JG, Valle TT, Hamalainen H, et al. (2001) Prevention of type 2 diabetes mellitus by changes in lifestyle among subjects with impaired glucose tolerance. The New England journal of medicine 344: 1343-1350.</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Kouki R, Schwab U, Lakka TA, Hassinen M, Savonen K, et al. (2012) Diet, fitness and metabolic syndrome--the DR's EXTRA study. Nutr Metab Cardiovasc Dis 22: 553-560.</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Vartiainen E, Laatikainen T, Peltonen M, Juolevi A, Mannisto S, et al. (2010) Thirty-five-year trends in cardiovascular risk factors in Finland. Int J Epidemiol 39: 504-518.</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Valle T, Tuomilehto J, Bergman RN, Ghosh S, Hauser ER, et al. (1998) Mapping genes for NIDDM. Design of the Finland-United States Investigation of NIDDM Genetics (FUSION) Study. Diabetes Care 21: 949-958.</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Scott LJ, Mohlke KL, Bonnycastle LL, Willer CJ, Li Y, et al. (2007) A genome-wide association study of type 2 diabetes in Finns detects multiple susceptibility variants. Science 316: 1341-1345.</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Stancakova A, Javorsky M, Kuulasmaa T, Haffner SM, Kuusisto J, et al. (2009) Changes in insulin sensitivity and insulin release in relation to glycemia and glucose tolerance in 6,414 Finnish men. Diabetes 58: 1212-1221.</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Thuesen BH, Cerqueira C, Aadahl M, Ebstrup JF, Toft U, et al. (2013) Cohort Profile: The Health2006 cohort, Research Centre for Prevention and Health. Int J Epidemiol.</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lastRenderedPageBreak/>
        <w:t>Jorgensen T, Borch-Johnsen K, Thomsen TF, Ibsen H, Glumer C, et al. (2003) A randomized non-pharmacological intervention study for prevention of ischaemic heart disease: baseline results Inter99. Eur J Cardiovasc Prev Rehabil 10: 377-386.</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Albrechtsen A, Grarup N, Li Y, Sparso T, Tian G, et al. (2013) Exome sequencing-driven discovery of coding polymorphisms associated with common metabolic phenotypes. Diabetologia 56: 298-310.</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Morris AD, Boyle DI, MacAlpine R, Emslie-Smith A, Jung RT, et al. (1997) The diabetes audit and research in Tayside Scotland (DARTS) study: electronic record linkage to create a diabetes register. DARTS/MEMO Collaboration. BMJ 315: 524-528.</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Moayyeri A, Hammond CJ, Hart DJ, Spector TD (2013) The UK Adult Twin Registry (TwinsUK Resource). Twin Res Hum Genet 16: 144-149.</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Lind L, Fors N, Hall J, Marttala K, Stenborg A (2005) A comparison of three different methods to evaluate endothelium-dependent vasodilation in the elderly: the Prospective Investigation of the Vasculature in Uppsala Seniors (PIVUS) study. Arterioscler Thromb Vasc Biol 25: 2368-2375.</w:t>
      </w:r>
    </w:p>
    <w:p w:rsidR="00137904" w:rsidRPr="00524E69" w:rsidRDefault="00137904" w:rsidP="00D9157A">
      <w:pPr>
        <w:pStyle w:val="ListParagraph"/>
        <w:numPr>
          <w:ilvl w:val="0"/>
          <w:numId w:val="2"/>
        </w:numPr>
        <w:spacing w:line="240" w:lineRule="auto"/>
        <w:ind w:left="-709" w:hanging="425"/>
        <w:rPr>
          <w:rFonts w:cs="Consolas"/>
          <w:noProof/>
          <w:color w:val="000000" w:themeColor="text1"/>
        </w:rPr>
      </w:pPr>
      <w:r w:rsidRPr="00524E69">
        <w:rPr>
          <w:rFonts w:cs="Consolas"/>
          <w:noProof/>
          <w:color w:val="000000" w:themeColor="text1"/>
        </w:rPr>
        <w:t>Hedstrand H (1975) A study of middle-aged men with particular reference to risk factors for cardiovascular disease. Upsala journal of medical sciences Supplement 19: 1-61.</w:t>
      </w:r>
    </w:p>
    <w:p w:rsidR="00137904" w:rsidRPr="00524E69" w:rsidRDefault="00137904" w:rsidP="00D9157A">
      <w:pPr>
        <w:pStyle w:val="ListParagraph"/>
        <w:numPr>
          <w:ilvl w:val="0"/>
          <w:numId w:val="2"/>
        </w:numPr>
        <w:ind w:left="-709" w:hanging="425"/>
        <w:rPr>
          <w:rFonts w:cs="Consolas"/>
          <w:noProof/>
          <w:color w:val="000000" w:themeColor="text1"/>
        </w:rPr>
      </w:pPr>
      <w:r w:rsidRPr="00524E69">
        <w:rPr>
          <w:rFonts w:cs="Consolas"/>
          <w:noProof/>
          <w:color w:val="000000" w:themeColor="text1"/>
        </w:rPr>
        <w:t>Isomaa B, Forsen B, Lahti K, Holmstrom N, Waden J, et al. (2010) A family history of diabetes is associated with reduced physical fitness in the Prevalence, Prediction and Prevention of Diabetes (PPP)-Botnia study. Diabetologia 53: 1709-1713.</w:t>
      </w:r>
    </w:p>
    <w:bookmarkEnd w:id="0"/>
    <w:p w:rsidR="00137904" w:rsidRPr="006C3554" w:rsidRDefault="00137904" w:rsidP="009065CA">
      <w:pPr>
        <w:ind w:left="-1276"/>
        <w:rPr>
          <w:rFonts w:eastAsia="Calibri" w:cs="Calibri"/>
          <w:color w:val="000000" w:themeColor="text1"/>
          <w:sz w:val="24"/>
        </w:rPr>
      </w:pPr>
    </w:p>
    <w:p w:rsidR="00137904" w:rsidRPr="006C3554" w:rsidRDefault="00137904">
      <w:pPr>
        <w:rPr>
          <w:color w:val="000000" w:themeColor="text1"/>
        </w:rPr>
      </w:pPr>
    </w:p>
    <w:p w:rsidR="00137904" w:rsidRPr="006C3554" w:rsidRDefault="00137904">
      <w:pPr>
        <w:rPr>
          <w:color w:val="000000" w:themeColor="text1"/>
        </w:rPr>
      </w:pPr>
    </w:p>
    <w:p w:rsidR="00137904" w:rsidRPr="006C3554" w:rsidRDefault="00137904">
      <w:pPr>
        <w:rPr>
          <w:color w:val="000000" w:themeColor="text1"/>
        </w:rPr>
      </w:pPr>
    </w:p>
    <w:p w:rsidR="00137904" w:rsidRPr="006C3554" w:rsidRDefault="00137904">
      <w:pPr>
        <w:rPr>
          <w:color w:val="000000" w:themeColor="text1"/>
        </w:rPr>
      </w:pPr>
    </w:p>
    <w:p w:rsidR="00137904" w:rsidRPr="006C3554" w:rsidRDefault="00137904">
      <w:pPr>
        <w:rPr>
          <w:color w:val="000000" w:themeColor="text1"/>
        </w:rPr>
      </w:pPr>
    </w:p>
    <w:p w:rsidR="00137904" w:rsidRPr="006C3554" w:rsidRDefault="00137904" w:rsidP="00E4421A">
      <w:pPr>
        <w:rPr>
          <w:noProof/>
          <w:color w:val="000000" w:themeColor="text1"/>
          <w:sz w:val="24"/>
          <w:szCs w:val="24"/>
        </w:rPr>
      </w:pPr>
    </w:p>
    <w:p w:rsidR="00142164" w:rsidRDefault="00142164"/>
    <w:sectPr w:rsidR="00142164" w:rsidSect="00137904">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96E" w:rsidRDefault="00D1396E">
      <w:pPr>
        <w:spacing w:after="0" w:line="240" w:lineRule="auto"/>
      </w:pPr>
      <w:r>
        <w:separator/>
      </w:r>
    </w:p>
  </w:endnote>
  <w:endnote w:type="continuationSeparator" w:id="0">
    <w:p w:rsidR="00D1396E" w:rsidRDefault="00D1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430724"/>
      <w:docPartObj>
        <w:docPartGallery w:val="Page Numbers (Bottom of Page)"/>
        <w:docPartUnique/>
      </w:docPartObj>
    </w:sdtPr>
    <w:sdtEndPr>
      <w:rPr>
        <w:noProof/>
      </w:rPr>
    </w:sdtEndPr>
    <w:sdtContent>
      <w:p w:rsidR="00811380" w:rsidRDefault="0012558C">
        <w:pPr>
          <w:pStyle w:val="Footer"/>
          <w:jc w:val="right"/>
        </w:pPr>
        <w:r>
          <w:fldChar w:fldCharType="begin"/>
        </w:r>
        <w:r>
          <w:instrText xml:space="preserve"> PAGE   \* MERGEFORMAT </w:instrText>
        </w:r>
        <w:r>
          <w:fldChar w:fldCharType="separate"/>
        </w:r>
        <w:r w:rsidR="00D9157A">
          <w:rPr>
            <w:noProof/>
          </w:rPr>
          <w:t>10</w:t>
        </w:r>
        <w:r>
          <w:rPr>
            <w:noProof/>
          </w:rPr>
          <w:fldChar w:fldCharType="end"/>
        </w:r>
      </w:p>
    </w:sdtContent>
  </w:sdt>
  <w:p w:rsidR="00811380" w:rsidRDefault="00D139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96E" w:rsidRDefault="00D1396E">
      <w:pPr>
        <w:spacing w:after="0" w:line="240" w:lineRule="auto"/>
      </w:pPr>
      <w:r>
        <w:separator/>
      </w:r>
    </w:p>
  </w:footnote>
  <w:footnote w:type="continuationSeparator" w:id="0">
    <w:p w:rsidR="00D1396E" w:rsidRDefault="00D13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83616"/>
    <w:multiLevelType w:val="hybridMultilevel"/>
    <w:tmpl w:val="4D4E2C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DB65BAD"/>
    <w:multiLevelType w:val="hybridMultilevel"/>
    <w:tmpl w:val="AE100F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EB92780"/>
    <w:multiLevelType w:val="hybridMultilevel"/>
    <w:tmpl w:val="325677A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37904"/>
    <w:rsid w:val="0012558C"/>
    <w:rsid w:val="00137904"/>
    <w:rsid w:val="00142164"/>
    <w:rsid w:val="00D1396E"/>
    <w:rsid w:val="00D91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104F8-AA4C-4A10-8BD7-A0EE6D1B6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904"/>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7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37904"/>
    <w:pPr>
      <w:spacing w:after="0" w:line="276" w:lineRule="auto"/>
    </w:pPr>
    <w:rPr>
      <w:rFonts w:ascii="Arial" w:eastAsia="Arial" w:hAnsi="Arial" w:cs="Arial"/>
      <w:color w:val="000000"/>
      <w:szCs w:val="24"/>
      <w:lang w:val="en-US" w:eastAsia="ja-JP"/>
    </w:rPr>
  </w:style>
  <w:style w:type="paragraph" w:styleId="Footer">
    <w:name w:val="footer"/>
    <w:basedOn w:val="Normal"/>
    <w:link w:val="FooterChar"/>
    <w:uiPriority w:val="99"/>
    <w:unhideWhenUsed/>
    <w:rsid w:val="00137904"/>
    <w:pPr>
      <w:tabs>
        <w:tab w:val="center" w:pos="4513"/>
        <w:tab w:val="right" w:pos="9026"/>
      </w:tabs>
      <w:spacing w:after="0" w:line="240" w:lineRule="auto"/>
    </w:pPr>
    <w:rPr>
      <w:rFonts w:ascii="Arial" w:eastAsia="Arial" w:hAnsi="Arial" w:cs="Arial"/>
      <w:color w:val="000000"/>
      <w:lang w:eastAsia="en-GB"/>
    </w:rPr>
  </w:style>
  <w:style w:type="character" w:customStyle="1" w:styleId="FooterChar">
    <w:name w:val="Footer Char"/>
    <w:basedOn w:val="DefaultParagraphFont"/>
    <w:link w:val="Footer"/>
    <w:uiPriority w:val="99"/>
    <w:rsid w:val="00137904"/>
    <w:rPr>
      <w:rFonts w:ascii="Arial" w:eastAsia="Arial" w:hAnsi="Arial" w:cs="Arial"/>
      <w:color w:val="000000"/>
      <w:lang w:val="en-US" w:eastAsia="en-GB"/>
    </w:rPr>
  </w:style>
  <w:style w:type="paragraph" w:styleId="NormalWeb">
    <w:name w:val="Normal (Web)"/>
    <w:basedOn w:val="Normal"/>
    <w:uiPriority w:val="99"/>
    <w:semiHidden/>
    <w:unhideWhenUsed/>
    <w:rsid w:val="00137904"/>
    <w:pPr>
      <w:spacing w:before="100" w:beforeAutospacing="1" w:after="100" w:afterAutospacing="1" w:line="240" w:lineRule="auto"/>
    </w:pPr>
    <w:rPr>
      <w:rFonts w:ascii="Times New Roman" w:eastAsia="MS Mincho"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137904"/>
    <w:pPr>
      <w:spacing w:after="0" w:line="240" w:lineRule="auto"/>
    </w:pPr>
    <w:rPr>
      <w:rFonts w:ascii="Arial" w:eastAsia="Arial" w:hAnsi="Arial" w:cs="Arial"/>
      <w:color w:val="000000"/>
      <w:sz w:val="20"/>
      <w:szCs w:val="20"/>
      <w:lang w:eastAsia="en-GB"/>
    </w:rPr>
  </w:style>
  <w:style w:type="character" w:customStyle="1" w:styleId="FootnoteTextChar">
    <w:name w:val="Footnote Text Char"/>
    <w:basedOn w:val="DefaultParagraphFont"/>
    <w:link w:val="FootnoteText"/>
    <w:uiPriority w:val="99"/>
    <w:semiHidden/>
    <w:rsid w:val="00137904"/>
    <w:rPr>
      <w:rFonts w:ascii="Arial" w:eastAsia="Arial" w:hAnsi="Arial" w:cs="Arial"/>
      <w:color w:val="000000"/>
      <w:sz w:val="20"/>
      <w:szCs w:val="20"/>
      <w:lang w:val="en-US" w:eastAsia="en-GB"/>
    </w:rPr>
  </w:style>
  <w:style w:type="character" w:styleId="FootnoteReference">
    <w:name w:val="footnote reference"/>
    <w:basedOn w:val="DefaultParagraphFont"/>
    <w:uiPriority w:val="99"/>
    <w:semiHidden/>
    <w:unhideWhenUsed/>
    <w:rsid w:val="00137904"/>
    <w:rPr>
      <w:vertAlign w:val="superscript"/>
    </w:rPr>
  </w:style>
  <w:style w:type="paragraph" w:customStyle="1" w:styleId="Default">
    <w:name w:val="Default"/>
    <w:rsid w:val="00137904"/>
    <w:pPr>
      <w:autoSpaceDE w:val="0"/>
      <w:autoSpaceDN w:val="0"/>
      <w:adjustRightInd w:val="0"/>
      <w:spacing w:after="0" w:line="240" w:lineRule="auto"/>
    </w:pPr>
    <w:rPr>
      <w:rFonts w:ascii="Calibri" w:eastAsia="Calibri" w:hAnsi="Calibri" w:cs="Calibri"/>
      <w:color w:val="000000"/>
      <w:sz w:val="24"/>
      <w:szCs w:val="24"/>
    </w:rPr>
  </w:style>
  <w:style w:type="paragraph" w:styleId="Header">
    <w:name w:val="header"/>
    <w:basedOn w:val="Normal"/>
    <w:link w:val="HeaderChar"/>
    <w:uiPriority w:val="99"/>
    <w:unhideWhenUsed/>
    <w:rsid w:val="001379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904"/>
    <w:rPr>
      <w:lang w:val="en-US"/>
    </w:rPr>
  </w:style>
  <w:style w:type="character" w:styleId="Emphasis">
    <w:name w:val="Emphasis"/>
    <w:basedOn w:val="DefaultParagraphFont"/>
    <w:uiPriority w:val="20"/>
    <w:qFormat/>
    <w:rsid w:val="00137904"/>
    <w:rPr>
      <w:i/>
      <w:iCs/>
    </w:rPr>
  </w:style>
  <w:style w:type="paragraph" w:styleId="BalloonText">
    <w:name w:val="Balloon Text"/>
    <w:basedOn w:val="Normal"/>
    <w:link w:val="BalloonTextChar"/>
    <w:uiPriority w:val="99"/>
    <w:semiHidden/>
    <w:unhideWhenUsed/>
    <w:rsid w:val="0013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904"/>
    <w:rPr>
      <w:rFonts w:ascii="Tahoma" w:hAnsi="Tahoma" w:cs="Tahoma"/>
      <w:sz w:val="16"/>
      <w:szCs w:val="16"/>
      <w:lang w:val="en-US"/>
    </w:rPr>
  </w:style>
  <w:style w:type="paragraph" w:styleId="PlainText">
    <w:name w:val="Plain Text"/>
    <w:basedOn w:val="Normal"/>
    <w:link w:val="PlainTextChar"/>
    <w:uiPriority w:val="99"/>
    <w:unhideWhenUsed/>
    <w:rsid w:val="00137904"/>
    <w:pPr>
      <w:spacing w:after="0" w:line="240" w:lineRule="auto"/>
    </w:pPr>
    <w:rPr>
      <w:rFonts w:ascii="Consolas" w:hAnsi="Consolas"/>
      <w:sz w:val="21"/>
      <w:szCs w:val="21"/>
      <w:lang w:val="en-GB"/>
    </w:rPr>
  </w:style>
  <w:style w:type="character" w:customStyle="1" w:styleId="PlainTextChar">
    <w:name w:val="Plain Text Char"/>
    <w:basedOn w:val="DefaultParagraphFont"/>
    <w:link w:val="PlainText"/>
    <w:uiPriority w:val="99"/>
    <w:rsid w:val="00137904"/>
    <w:rPr>
      <w:rFonts w:ascii="Consolas" w:hAnsi="Consolas"/>
      <w:sz w:val="21"/>
      <w:szCs w:val="21"/>
    </w:rPr>
  </w:style>
  <w:style w:type="character" w:styleId="Hyperlink">
    <w:name w:val="Hyperlink"/>
    <w:basedOn w:val="DefaultParagraphFont"/>
    <w:uiPriority w:val="99"/>
    <w:unhideWhenUsed/>
    <w:rsid w:val="00137904"/>
    <w:rPr>
      <w:color w:val="0563C1" w:themeColor="hyperlink"/>
      <w:u w:val="single"/>
    </w:rPr>
  </w:style>
  <w:style w:type="paragraph" w:styleId="CommentText">
    <w:name w:val="annotation text"/>
    <w:basedOn w:val="Normal"/>
    <w:link w:val="CommentTextChar"/>
    <w:uiPriority w:val="99"/>
    <w:unhideWhenUsed/>
    <w:rsid w:val="00137904"/>
    <w:pPr>
      <w:spacing w:after="0" w:line="240" w:lineRule="auto"/>
    </w:pPr>
    <w:rPr>
      <w:rFonts w:ascii="Arial" w:eastAsia="Arial" w:hAnsi="Arial" w:cs="Arial"/>
      <w:color w:val="000000"/>
      <w:sz w:val="20"/>
      <w:szCs w:val="20"/>
      <w:lang w:eastAsia="en-GB"/>
    </w:rPr>
  </w:style>
  <w:style w:type="character" w:customStyle="1" w:styleId="CommentTextChar">
    <w:name w:val="Comment Text Char"/>
    <w:basedOn w:val="DefaultParagraphFont"/>
    <w:link w:val="CommentText"/>
    <w:uiPriority w:val="99"/>
    <w:rsid w:val="00137904"/>
    <w:rPr>
      <w:rFonts w:ascii="Arial" w:eastAsia="Arial" w:hAnsi="Arial" w:cs="Arial"/>
      <w:color w:val="000000"/>
      <w:sz w:val="20"/>
      <w:szCs w:val="20"/>
      <w:lang w:val="en-US" w:eastAsia="en-GB"/>
    </w:rPr>
  </w:style>
  <w:style w:type="character" w:styleId="CommentReference">
    <w:name w:val="annotation reference"/>
    <w:uiPriority w:val="99"/>
    <w:semiHidden/>
    <w:unhideWhenUsed/>
    <w:rsid w:val="00137904"/>
    <w:rPr>
      <w:sz w:val="16"/>
      <w:szCs w:val="16"/>
    </w:rPr>
  </w:style>
  <w:style w:type="character" w:styleId="LineNumber">
    <w:name w:val="line number"/>
    <w:basedOn w:val="DefaultParagraphFont"/>
    <w:uiPriority w:val="99"/>
    <w:semiHidden/>
    <w:unhideWhenUsed/>
    <w:rsid w:val="00137904"/>
  </w:style>
  <w:style w:type="paragraph" w:styleId="ListParagraph">
    <w:name w:val="List Paragraph"/>
    <w:basedOn w:val="Normal"/>
    <w:uiPriority w:val="34"/>
    <w:qFormat/>
    <w:rsid w:val="00137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2704</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Anubha Mahajan</dc:creator>
  <cp:keywords/>
  <dc:description/>
  <cp:lastModifiedBy>Anubha Mahajan</cp:lastModifiedBy>
  <cp:revision>3</cp:revision>
  <dcterms:created xsi:type="dcterms:W3CDTF">2014-11-01T13:18:00Z</dcterms:created>
  <dcterms:modified xsi:type="dcterms:W3CDTF">2014-11-01T13:35:00Z</dcterms:modified>
</cp:coreProperties>
</file>