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D1" w:rsidRPr="00F0560F" w:rsidRDefault="001E26D1" w:rsidP="001E26D1">
      <w:pPr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Table </w:t>
      </w:r>
      <w:r w:rsidR="003D4560">
        <w:rPr>
          <w:rFonts w:cs="Calibri"/>
          <w:b/>
          <w:bCs/>
          <w:sz w:val="24"/>
          <w:szCs w:val="24"/>
        </w:rPr>
        <w:t>S</w:t>
      </w:r>
      <w:r>
        <w:rPr>
          <w:rFonts w:cs="Calibri"/>
          <w:b/>
          <w:bCs/>
          <w:sz w:val="24"/>
          <w:szCs w:val="24"/>
        </w:rPr>
        <w:t xml:space="preserve">3. </w:t>
      </w:r>
      <w:proofErr w:type="gramStart"/>
      <w:r w:rsidRPr="004A79E7">
        <w:rPr>
          <w:rFonts w:cs="Calibri"/>
          <w:bCs/>
          <w:sz w:val="24"/>
          <w:szCs w:val="24"/>
        </w:rPr>
        <w:t xml:space="preserve">Association between genetic variants at chromosome 1q41 </w:t>
      </w:r>
      <w:r>
        <w:rPr>
          <w:rFonts w:cs="Calibri"/>
          <w:bCs/>
          <w:sz w:val="24"/>
          <w:szCs w:val="24"/>
        </w:rPr>
        <w:t>and spherical equivalent (SE)</w:t>
      </w:r>
      <w:r w:rsidRPr="004A79E7">
        <w:rPr>
          <w:rFonts w:cs="Calibri"/>
          <w:bCs/>
          <w:sz w:val="24"/>
          <w:szCs w:val="24"/>
        </w:rPr>
        <w:t xml:space="preserve"> in the </w:t>
      </w:r>
      <w:r>
        <w:rPr>
          <w:rFonts w:cs="Calibri"/>
          <w:bCs/>
          <w:sz w:val="24"/>
          <w:szCs w:val="24"/>
        </w:rPr>
        <w:t xml:space="preserve">meta-analysis of three </w:t>
      </w:r>
      <w:r w:rsidRPr="004A79E7">
        <w:rPr>
          <w:rFonts w:cs="Calibri"/>
          <w:bCs/>
          <w:sz w:val="24"/>
          <w:szCs w:val="24"/>
        </w:rPr>
        <w:t xml:space="preserve">Asian </w:t>
      </w:r>
      <w:r>
        <w:rPr>
          <w:rFonts w:cs="Calibri"/>
          <w:bCs/>
          <w:sz w:val="24"/>
          <w:szCs w:val="24"/>
        </w:rPr>
        <w:t>cohorts</w:t>
      </w:r>
      <w:r w:rsidR="00C51266">
        <w:rPr>
          <w:rFonts w:cs="Calibri"/>
          <w:bCs/>
          <w:sz w:val="24"/>
          <w:szCs w:val="24"/>
        </w:rPr>
        <w:t>.</w:t>
      </w:r>
      <w:proofErr w:type="gramEnd"/>
    </w:p>
    <w:tbl>
      <w:tblPr>
        <w:tblW w:w="12313" w:type="dxa"/>
        <w:tblInd w:w="93" w:type="dxa"/>
        <w:tblLook w:val="00A0"/>
      </w:tblPr>
      <w:tblGrid>
        <w:gridCol w:w="984"/>
        <w:gridCol w:w="596"/>
        <w:gridCol w:w="960"/>
        <w:gridCol w:w="777"/>
        <w:gridCol w:w="528"/>
        <w:gridCol w:w="648"/>
        <w:gridCol w:w="800"/>
        <w:gridCol w:w="78"/>
        <w:gridCol w:w="528"/>
        <w:gridCol w:w="822"/>
        <w:gridCol w:w="80"/>
        <w:gridCol w:w="760"/>
        <w:gridCol w:w="150"/>
        <w:gridCol w:w="528"/>
        <w:gridCol w:w="778"/>
        <w:gridCol w:w="898"/>
        <w:gridCol w:w="528"/>
        <w:gridCol w:w="940"/>
        <w:gridCol w:w="930"/>
      </w:tblGrid>
      <w:tr w:rsidR="001E26D1" w:rsidRPr="00F0560F" w:rsidTr="00D93D1C">
        <w:trPr>
          <w:trHeight w:val="300"/>
        </w:trPr>
        <w:tc>
          <w:tcPr>
            <w:tcW w:w="3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SCES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SCORM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 w:rsidRPr="00F0560F">
              <w:rPr>
                <w:rFonts w:cs="Calibri"/>
                <w:b/>
                <w:bCs/>
                <w:color w:val="000000"/>
              </w:rPr>
              <w:t>SiMES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Meta-analysis </w:t>
            </w:r>
          </w:p>
        </w:tc>
      </w:tr>
      <w:tr w:rsidR="001E26D1" w:rsidRPr="00F0560F" w:rsidTr="00D93D1C">
        <w:trPr>
          <w:trHeight w:val="360"/>
        </w:trPr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SNP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CHR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BP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Minor Allele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 w:rsidRPr="00F0560F">
              <w:rPr>
                <w:rFonts w:cs="Calibri"/>
                <w:b/>
                <w:bCs/>
                <w:color w:val="000000"/>
              </w:rPr>
              <w:t>s.e</w:t>
            </w:r>
            <w:proofErr w:type="spellEnd"/>
            <w:r w:rsidRPr="00F0560F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color w:val="000000"/>
              </w:rPr>
            </w:pPr>
            <w:r w:rsidRPr="00F0560F">
              <w:rPr>
                <w:rFonts w:cs="Calibri"/>
                <w:b/>
                <w:bCs/>
                <w:i/>
                <w:iCs/>
                <w:color w:val="000000"/>
              </w:rPr>
              <w:t>P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 w:rsidRPr="00F0560F">
              <w:rPr>
                <w:rFonts w:cs="Calibri"/>
                <w:b/>
                <w:bCs/>
                <w:color w:val="000000"/>
              </w:rPr>
              <w:t>s.e</w:t>
            </w:r>
            <w:proofErr w:type="spellEnd"/>
            <w:r w:rsidRPr="00F0560F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color w:val="000000"/>
              </w:rPr>
            </w:pPr>
            <w:r w:rsidRPr="00F0560F">
              <w:rPr>
                <w:rFonts w:cs="Calibri"/>
                <w:b/>
                <w:bCs/>
                <w:i/>
                <w:iCs/>
                <w:color w:val="000000"/>
              </w:rPr>
              <w:t>P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β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 w:rsidRPr="00F0560F">
              <w:rPr>
                <w:rFonts w:cs="Calibri"/>
                <w:b/>
                <w:bCs/>
                <w:color w:val="000000"/>
              </w:rPr>
              <w:t>s.e</w:t>
            </w:r>
            <w:proofErr w:type="spellEnd"/>
            <w:r w:rsidRPr="00F0560F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color w:val="000000"/>
              </w:rPr>
            </w:pPr>
            <w:r w:rsidRPr="00F0560F">
              <w:rPr>
                <w:rFonts w:cs="Calibri"/>
                <w:b/>
                <w:bCs/>
                <w:i/>
                <w:iCs/>
                <w:color w:val="000000"/>
              </w:rPr>
              <w:t>P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F0560F">
              <w:rPr>
                <w:rFonts w:cs="Calibri"/>
                <w:b/>
                <w:bCs/>
                <w:color w:val="000000"/>
              </w:rPr>
              <w:t>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 w:rsidRPr="00F0560F">
              <w:rPr>
                <w:rFonts w:cs="Calibri"/>
                <w:b/>
                <w:bCs/>
                <w:color w:val="000000"/>
              </w:rPr>
              <w:t>s.e</w:t>
            </w:r>
            <w:proofErr w:type="spellEnd"/>
            <w:r w:rsidRPr="00F0560F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color w:val="000000"/>
              </w:rPr>
            </w:pPr>
            <w:proofErr w:type="spellStart"/>
            <w:r w:rsidRPr="00F0560F">
              <w:rPr>
                <w:rFonts w:cs="Calibri"/>
                <w:b/>
                <w:bCs/>
                <w:i/>
                <w:iCs/>
                <w:color w:val="000000"/>
              </w:rPr>
              <w:t>P</w:t>
            </w:r>
            <w:r w:rsidRPr="00F0560F">
              <w:rPr>
                <w:rFonts w:cs="Calibri"/>
                <w:b/>
                <w:bCs/>
                <w:i/>
                <w:iCs/>
                <w:color w:val="000000"/>
                <w:vertAlign w:val="subscript"/>
              </w:rPr>
              <w:t>meta</w:t>
            </w:r>
            <w:proofErr w:type="spellEnd"/>
          </w:p>
        </w:tc>
      </w:tr>
      <w:tr w:rsidR="001E26D1" w:rsidRPr="004325D2" w:rsidTr="00D93D1C">
        <w:trPr>
          <w:trHeight w:val="300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rs4428898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217806589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0.26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5.86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0.18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9.38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2.66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2.32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</w:tr>
      <w:tr w:rsidR="001E26D1" w:rsidRPr="004325D2" w:rsidTr="00D93D1C">
        <w:trPr>
          <w:trHeight w:val="300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rs4373767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217826305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0.27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3.54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0.23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3.49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3.51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1.43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</w:tr>
      <w:tr w:rsidR="001E26D1" w:rsidRPr="004325D2" w:rsidTr="00D93D1C">
        <w:trPr>
          <w:trHeight w:val="300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rs10779363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217853513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C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0.27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5.05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0.21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6.22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2.32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1.44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</w:tr>
      <w:tr w:rsidR="001E26D1" w:rsidRPr="004325D2" w:rsidTr="00D93D1C">
        <w:trPr>
          <w:trHeight w:val="315"/>
        </w:trPr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rs7544369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217856085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F0560F" w:rsidRDefault="001E26D1" w:rsidP="00D93D1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F0560F">
              <w:rPr>
                <w:rFonts w:cs="Calibri"/>
                <w:color w:val="000000"/>
                <w:sz w:val="16"/>
                <w:szCs w:val="16"/>
              </w:rPr>
              <w:t>T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0.27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3.32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0.21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6.86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2.91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C32897" w:rsidRDefault="001E26D1" w:rsidP="00D93D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E26D1" w:rsidRPr="004325D2" w:rsidRDefault="001E26D1" w:rsidP="00D93D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897">
              <w:rPr>
                <w:rFonts w:asciiTheme="minorHAnsi" w:hAnsiTheme="minorHAnsi" w:cstheme="minorHAnsi"/>
                <w:sz w:val="16"/>
                <w:szCs w:val="16"/>
              </w:rPr>
              <w:t>1.56</w:t>
            </w:r>
            <w:r w:rsidRPr="004325D2">
              <w:rPr>
                <w:rFonts w:ascii="Symbol" w:hAnsi="Symbol" w:cs="Calibri"/>
                <w:color w:val="231F20"/>
                <w:sz w:val="16"/>
                <w:szCs w:val="16"/>
              </w:rPr>
              <w:t></w:t>
            </w:r>
            <w:r w:rsidRPr="004325D2">
              <w:rPr>
                <w:rFonts w:cs="Calibri"/>
                <w:color w:val="231F20"/>
                <w:sz w:val="16"/>
                <w:szCs w:val="16"/>
              </w:rPr>
              <w:t>10</w:t>
            </w:r>
            <w:r w:rsidRPr="004325D2">
              <w:rPr>
                <w:rFonts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</w:tr>
    </w:tbl>
    <w:p w:rsidR="001E26D1" w:rsidRPr="00172856" w:rsidRDefault="001E26D1" w:rsidP="001E26D1">
      <w:pPr>
        <w:spacing w:after="0"/>
        <w:rPr>
          <w:rFonts w:cs="Calibri"/>
          <w:bCs/>
        </w:rPr>
      </w:pPr>
      <w:r w:rsidRPr="00F102B1">
        <w:rPr>
          <w:rFonts w:cs="Calibri"/>
        </w:rPr>
        <w:t>SCES</w:t>
      </w:r>
      <w:r>
        <w:rPr>
          <w:rFonts w:cs="Calibri"/>
        </w:rPr>
        <w:t xml:space="preserve"> - </w:t>
      </w:r>
      <w:r w:rsidRPr="00F102B1">
        <w:rPr>
          <w:rFonts w:cs="Calibri"/>
          <w:bCs/>
        </w:rPr>
        <w:t>Singapore Chinese Eye Study</w:t>
      </w:r>
      <w:r w:rsidRPr="00F102B1">
        <w:rPr>
          <w:rFonts w:cs="Calibri"/>
        </w:rPr>
        <w:t>;</w:t>
      </w:r>
      <w:r>
        <w:rPr>
          <w:rFonts w:cs="Calibri"/>
          <w:bCs/>
        </w:rPr>
        <w:t xml:space="preserve">  SCORM-</w:t>
      </w:r>
      <w:r w:rsidRPr="00F102B1">
        <w:rPr>
          <w:rFonts w:cs="Calibri"/>
          <w:bCs/>
        </w:rPr>
        <w:t xml:space="preserve">Singapore Cohort study of the Risk factors for Myopia;  </w:t>
      </w:r>
      <w:proofErr w:type="spellStart"/>
      <w:r w:rsidRPr="00F102B1">
        <w:rPr>
          <w:rFonts w:cs="Calibri"/>
          <w:bCs/>
        </w:rPr>
        <w:t>SiMES</w:t>
      </w:r>
      <w:proofErr w:type="spellEnd"/>
      <w:r>
        <w:rPr>
          <w:rFonts w:cs="Calibri"/>
        </w:rPr>
        <w:t>-</w:t>
      </w:r>
      <w:r w:rsidRPr="00F102B1">
        <w:rPr>
          <w:rFonts w:cs="Calibri"/>
        </w:rPr>
        <w:t xml:space="preserve"> </w:t>
      </w:r>
      <w:r w:rsidRPr="00F102B1">
        <w:rPr>
          <w:rFonts w:cs="Calibri"/>
          <w:bCs/>
        </w:rPr>
        <w:t>Singapore Malay Eye Study.</w:t>
      </w:r>
    </w:p>
    <w:p w:rsidR="001E26D1" w:rsidRPr="0089292F" w:rsidRDefault="001E26D1" w:rsidP="001E26D1">
      <w:pPr>
        <w:spacing w:after="0" w:line="240" w:lineRule="auto"/>
        <w:contextualSpacing/>
        <w:rPr>
          <w:rFonts w:cs="Calibri"/>
          <w:sz w:val="24"/>
          <w:szCs w:val="24"/>
        </w:rPr>
      </w:pPr>
      <w:r w:rsidRPr="0089292F">
        <w:rPr>
          <w:rFonts w:cs="Calibri"/>
          <w:bCs/>
          <w:color w:val="000000"/>
          <w:sz w:val="24"/>
          <w:szCs w:val="24"/>
        </w:rPr>
        <w:t>β</w:t>
      </w:r>
      <w:r w:rsidRPr="0089292F">
        <w:rPr>
          <w:rFonts w:cs="Calibri"/>
          <w:sz w:val="24"/>
          <w:szCs w:val="24"/>
        </w:rPr>
        <w:t xml:space="preserve">, coefficient of </w:t>
      </w:r>
      <w:r>
        <w:rPr>
          <w:rFonts w:cs="Calibri"/>
          <w:sz w:val="24"/>
          <w:szCs w:val="24"/>
        </w:rPr>
        <w:t xml:space="preserve">linear regression; </w:t>
      </w:r>
      <w:proofErr w:type="spellStart"/>
      <w:r>
        <w:rPr>
          <w:rFonts w:cs="Calibri"/>
          <w:sz w:val="24"/>
          <w:szCs w:val="24"/>
        </w:rPr>
        <w:t>s.e</w:t>
      </w:r>
      <w:proofErr w:type="spellEnd"/>
      <w:r>
        <w:rPr>
          <w:rFonts w:cs="Calibri"/>
          <w:sz w:val="24"/>
          <w:szCs w:val="24"/>
        </w:rPr>
        <w:t>.,</w:t>
      </w:r>
      <w:r w:rsidRPr="0089292F">
        <w:rPr>
          <w:rFonts w:cs="Calibri"/>
          <w:sz w:val="24"/>
          <w:szCs w:val="24"/>
        </w:rPr>
        <w:t xml:space="preserve"> standard error for coefficient </w:t>
      </w:r>
      <w:r w:rsidRPr="0089292F">
        <w:rPr>
          <w:rFonts w:cs="Calibri"/>
          <w:bCs/>
          <w:color w:val="000000"/>
          <w:sz w:val="24"/>
          <w:szCs w:val="24"/>
        </w:rPr>
        <w:t>β</w:t>
      </w:r>
      <w:r w:rsidRPr="0089292F">
        <w:rPr>
          <w:rFonts w:cs="Calibri"/>
          <w:sz w:val="24"/>
          <w:szCs w:val="24"/>
        </w:rPr>
        <w:t xml:space="preserve">; Association between each genetic marker and SE was examined using linear regression, adjusted for age, gender, height and level of education. The effect sizes denote changes in </w:t>
      </w:r>
      <w:proofErr w:type="spellStart"/>
      <w:r w:rsidRPr="0089292F">
        <w:rPr>
          <w:rFonts w:cs="Calibri"/>
          <w:sz w:val="24"/>
          <w:szCs w:val="24"/>
        </w:rPr>
        <w:t>diopters</w:t>
      </w:r>
      <w:proofErr w:type="spellEnd"/>
      <w:r w:rsidRPr="0089292F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(D) </w:t>
      </w:r>
      <w:r w:rsidRPr="0089292F">
        <w:rPr>
          <w:rFonts w:cs="Calibri"/>
          <w:sz w:val="24"/>
          <w:szCs w:val="24"/>
        </w:rPr>
        <w:t>per each additional copy of the minor allele.</w:t>
      </w:r>
    </w:p>
    <w:p w:rsidR="003B0DA8" w:rsidRDefault="00C32897"/>
    <w:sectPr w:rsidR="003B0DA8" w:rsidSect="001E26D1">
      <w:pgSz w:w="15840" w:h="12240" w:orient="landscape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E26D1"/>
    <w:rsid w:val="001B4516"/>
    <w:rsid w:val="001E26D1"/>
    <w:rsid w:val="001F4B24"/>
    <w:rsid w:val="003D4560"/>
    <w:rsid w:val="00646CF3"/>
    <w:rsid w:val="00866CC4"/>
    <w:rsid w:val="008A438F"/>
    <w:rsid w:val="00AE2F5A"/>
    <w:rsid w:val="00C32897"/>
    <w:rsid w:val="00C5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6D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956</Characters>
  <Application>Microsoft Office Word</Application>
  <DocSecurity>0</DocSecurity>
  <Lines>7</Lines>
  <Paragraphs>2</Paragraphs>
  <ScaleCrop>false</ScaleCrop>
  <Company>National University of Singapore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G0900032</dc:creator>
  <cp:lastModifiedBy>G0900032</cp:lastModifiedBy>
  <cp:revision>4</cp:revision>
  <dcterms:created xsi:type="dcterms:W3CDTF">2012-03-30T02:49:00Z</dcterms:created>
  <dcterms:modified xsi:type="dcterms:W3CDTF">2012-04-30T07:07:00Z</dcterms:modified>
</cp:coreProperties>
</file>