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56C5" w14:textId="135C3863" w:rsidR="00356B88" w:rsidRDefault="006C3A9B" w:rsidP="00266C19">
      <w:pPr>
        <w:widowControl w:val="0"/>
        <w:autoSpaceDE w:val="0"/>
        <w:autoSpaceDN w:val="0"/>
        <w:adjustRightInd w:val="0"/>
        <w:spacing w:line="480" w:lineRule="auto"/>
        <w:rPr>
          <w:rFonts w:ascii="Arial" w:hAnsi="Arial" w:cs="Arial"/>
          <w:b/>
          <w:color w:val="000000" w:themeColor="text1"/>
          <w:sz w:val="22"/>
          <w:szCs w:val="22"/>
        </w:rPr>
      </w:pPr>
      <w:r w:rsidRPr="004972BB">
        <w:rPr>
          <w:rFonts w:ascii="Arial" w:hAnsi="Arial" w:cs="Arial"/>
          <w:b/>
          <w:color w:val="000000" w:themeColor="text1"/>
          <w:sz w:val="22"/>
          <w:szCs w:val="22"/>
        </w:rPr>
        <w:t xml:space="preserve">Table S1. Clinical data available for 18 </w:t>
      </w:r>
      <w:r w:rsidRPr="004972BB">
        <w:rPr>
          <w:rFonts w:ascii="Arial" w:hAnsi="Arial" w:cs="Arial"/>
          <w:b/>
          <w:i/>
          <w:color w:val="000000" w:themeColor="text1"/>
          <w:sz w:val="22"/>
          <w:szCs w:val="22"/>
        </w:rPr>
        <w:t>MSH6</w:t>
      </w:r>
      <w:r w:rsidRPr="004972BB">
        <w:rPr>
          <w:rFonts w:ascii="Arial" w:hAnsi="Arial" w:cs="Arial"/>
          <w:b/>
          <w:color w:val="000000" w:themeColor="text1"/>
          <w:sz w:val="22"/>
          <w:szCs w:val="22"/>
        </w:rPr>
        <w:t xml:space="preserve"> VUS that were selected for screening from literature and the InSiGHT database.</w:t>
      </w: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850"/>
        <w:gridCol w:w="1133"/>
        <w:gridCol w:w="1986"/>
        <w:gridCol w:w="1275"/>
        <w:gridCol w:w="2268"/>
        <w:gridCol w:w="1134"/>
        <w:gridCol w:w="993"/>
        <w:gridCol w:w="1134"/>
        <w:gridCol w:w="1134"/>
      </w:tblGrid>
      <w:tr w:rsidR="00356B88" w:rsidRPr="00E73277" w14:paraId="38809EAE" w14:textId="77777777" w:rsidTr="000A3AB2">
        <w:trPr>
          <w:trHeight w:val="274"/>
        </w:trPr>
        <w:tc>
          <w:tcPr>
            <w:tcW w:w="959" w:type="dxa"/>
            <w:shd w:val="clear" w:color="auto" w:fill="auto"/>
          </w:tcPr>
          <w:p w14:paraId="2C610124" w14:textId="77777777" w:rsidR="00356B88" w:rsidRPr="00083E82" w:rsidRDefault="00356B88" w:rsidP="000A3AB2">
            <w:pPr>
              <w:autoSpaceDE w:val="0"/>
              <w:autoSpaceDN w:val="0"/>
              <w:adjustRightInd w:val="0"/>
              <w:jc w:val="center"/>
              <w:rPr>
                <w:rFonts w:ascii="Arial" w:hAnsi="Arial" w:cs="Arial"/>
                <w:b/>
                <w:sz w:val="18"/>
                <w:szCs w:val="16"/>
              </w:rPr>
            </w:pPr>
            <w:r w:rsidRPr="00083E82">
              <w:rPr>
                <w:rFonts w:ascii="Arial" w:hAnsi="Arial" w:cs="Arial"/>
                <w:b/>
                <w:sz w:val="18"/>
                <w:szCs w:val="16"/>
              </w:rPr>
              <w:t>Variant</w:t>
            </w:r>
          </w:p>
        </w:tc>
        <w:tc>
          <w:tcPr>
            <w:tcW w:w="1276" w:type="dxa"/>
            <w:shd w:val="clear" w:color="auto" w:fill="auto"/>
          </w:tcPr>
          <w:p w14:paraId="20757D50" w14:textId="77777777" w:rsidR="00356B88" w:rsidRPr="00083E82" w:rsidRDefault="00356B88" w:rsidP="000A3AB2">
            <w:pPr>
              <w:autoSpaceDE w:val="0"/>
              <w:autoSpaceDN w:val="0"/>
              <w:adjustRightInd w:val="0"/>
              <w:jc w:val="center"/>
              <w:rPr>
                <w:rFonts w:ascii="Arial" w:hAnsi="Arial" w:cs="Arial"/>
                <w:b/>
                <w:sz w:val="18"/>
                <w:szCs w:val="16"/>
              </w:rPr>
            </w:pPr>
            <w:r w:rsidRPr="00083E82">
              <w:rPr>
                <w:rFonts w:ascii="Arial" w:hAnsi="Arial" w:cs="Arial"/>
                <w:b/>
                <w:sz w:val="18"/>
                <w:szCs w:val="16"/>
              </w:rPr>
              <w:t>Tumor</w:t>
            </w:r>
          </w:p>
        </w:tc>
        <w:tc>
          <w:tcPr>
            <w:tcW w:w="850" w:type="dxa"/>
            <w:shd w:val="clear" w:color="auto" w:fill="auto"/>
          </w:tcPr>
          <w:p w14:paraId="56551CDF" w14:textId="77777777" w:rsidR="00356B88" w:rsidRPr="00083E82" w:rsidRDefault="00356B88" w:rsidP="000A3AB2">
            <w:pPr>
              <w:autoSpaceDE w:val="0"/>
              <w:autoSpaceDN w:val="0"/>
              <w:adjustRightInd w:val="0"/>
              <w:jc w:val="center"/>
              <w:rPr>
                <w:rFonts w:ascii="Arial" w:hAnsi="Arial" w:cs="Arial"/>
                <w:b/>
                <w:sz w:val="18"/>
                <w:szCs w:val="16"/>
              </w:rPr>
            </w:pPr>
            <w:r w:rsidRPr="00083E82">
              <w:rPr>
                <w:rFonts w:ascii="Arial" w:hAnsi="Arial" w:cs="Arial"/>
                <w:b/>
                <w:sz w:val="18"/>
                <w:szCs w:val="16"/>
              </w:rPr>
              <w:t>MSI</w:t>
            </w:r>
          </w:p>
        </w:tc>
        <w:tc>
          <w:tcPr>
            <w:tcW w:w="1133" w:type="dxa"/>
            <w:shd w:val="clear" w:color="auto" w:fill="auto"/>
          </w:tcPr>
          <w:p w14:paraId="1A417F0D" w14:textId="77777777" w:rsidR="00356B88" w:rsidRPr="00083E82" w:rsidRDefault="00356B88" w:rsidP="000A3AB2">
            <w:pPr>
              <w:autoSpaceDE w:val="0"/>
              <w:autoSpaceDN w:val="0"/>
              <w:adjustRightInd w:val="0"/>
              <w:jc w:val="center"/>
              <w:rPr>
                <w:rFonts w:ascii="Arial" w:hAnsi="Arial" w:cs="Arial"/>
                <w:b/>
                <w:sz w:val="18"/>
                <w:szCs w:val="16"/>
              </w:rPr>
            </w:pPr>
            <w:r w:rsidRPr="00083E82">
              <w:rPr>
                <w:rFonts w:ascii="Arial" w:hAnsi="Arial" w:cs="Arial"/>
                <w:b/>
                <w:sz w:val="18"/>
                <w:szCs w:val="16"/>
              </w:rPr>
              <w:t>IHC</w:t>
            </w:r>
          </w:p>
        </w:tc>
        <w:tc>
          <w:tcPr>
            <w:tcW w:w="1986" w:type="dxa"/>
            <w:shd w:val="clear" w:color="auto" w:fill="auto"/>
          </w:tcPr>
          <w:p w14:paraId="5DB3E465" w14:textId="77777777" w:rsidR="00356B88" w:rsidRPr="00083E82" w:rsidRDefault="00356B88" w:rsidP="000A3AB2">
            <w:pPr>
              <w:autoSpaceDE w:val="0"/>
              <w:autoSpaceDN w:val="0"/>
              <w:adjustRightInd w:val="0"/>
              <w:jc w:val="center"/>
              <w:rPr>
                <w:rFonts w:ascii="Arial" w:hAnsi="Arial" w:cs="Arial"/>
                <w:b/>
                <w:sz w:val="18"/>
                <w:szCs w:val="16"/>
              </w:rPr>
            </w:pPr>
            <w:r>
              <w:rPr>
                <w:rFonts w:ascii="Arial" w:hAnsi="Arial" w:cs="Arial"/>
                <w:b/>
                <w:sz w:val="18"/>
                <w:szCs w:val="16"/>
              </w:rPr>
              <w:t xml:space="preserve">Other tumor </w:t>
            </w:r>
            <w:r w:rsidRPr="00083E82">
              <w:rPr>
                <w:rFonts w:ascii="Arial" w:hAnsi="Arial" w:cs="Arial"/>
                <w:b/>
                <w:sz w:val="18"/>
                <w:szCs w:val="16"/>
              </w:rPr>
              <w:t>analysis</w:t>
            </w:r>
          </w:p>
        </w:tc>
        <w:tc>
          <w:tcPr>
            <w:tcW w:w="1275" w:type="dxa"/>
          </w:tcPr>
          <w:p w14:paraId="594DEC41" w14:textId="77777777" w:rsidR="00356B88" w:rsidRPr="00083E82" w:rsidRDefault="00356B88" w:rsidP="000A3AB2">
            <w:pPr>
              <w:autoSpaceDE w:val="0"/>
              <w:autoSpaceDN w:val="0"/>
              <w:adjustRightInd w:val="0"/>
              <w:jc w:val="center"/>
              <w:rPr>
                <w:rFonts w:ascii="Arial" w:hAnsi="Arial" w:cs="Arial"/>
                <w:b/>
                <w:sz w:val="18"/>
                <w:szCs w:val="16"/>
              </w:rPr>
            </w:pPr>
            <w:r>
              <w:rPr>
                <w:rFonts w:ascii="Arial" w:hAnsi="Arial" w:cs="Arial"/>
                <w:b/>
                <w:sz w:val="18"/>
                <w:szCs w:val="16"/>
              </w:rPr>
              <w:t xml:space="preserve">Amsterdam or </w:t>
            </w:r>
            <w:r w:rsidRPr="00083E82">
              <w:rPr>
                <w:rFonts w:ascii="Arial" w:hAnsi="Arial" w:cs="Arial"/>
                <w:b/>
                <w:sz w:val="18"/>
                <w:szCs w:val="16"/>
              </w:rPr>
              <w:t>Bethesda guidelines</w:t>
            </w:r>
          </w:p>
        </w:tc>
        <w:tc>
          <w:tcPr>
            <w:tcW w:w="2268" w:type="dxa"/>
          </w:tcPr>
          <w:p w14:paraId="1D6D533B" w14:textId="77777777" w:rsidR="00356B88" w:rsidRPr="00083E82" w:rsidRDefault="00356B88" w:rsidP="000A3AB2">
            <w:pPr>
              <w:autoSpaceDE w:val="0"/>
              <w:autoSpaceDN w:val="0"/>
              <w:adjustRightInd w:val="0"/>
              <w:jc w:val="center"/>
              <w:rPr>
                <w:rFonts w:ascii="Arial" w:hAnsi="Arial" w:cs="Arial"/>
                <w:b/>
                <w:sz w:val="18"/>
                <w:szCs w:val="16"/>
              </w:rPr>
            </w:pPr>
            <w:r w:rsidRPr="00083E82">
              <w:rPr>
                <w:rFonts w:ascii="Arial" w:hAnsi="Arial" w:cs="Arial"/>
                <w:b/>
                <w:sz w:val="18"/>
                <w:szCs w:val="16"/>
              </w:rPr>
              <w:t>Relatives</w:t>
            </w:r>
            <w:r>
              <w:rPr>
                <w:rFonts w:ascii="Arial" w:hAnsi="Arial" w:cs="Arial"/>
                <w:b/>
                <w:sz w:val="18"/>
                <w:szCs w:val="16"/>
              </w:rPr>
              <w:t xml:space="preserve"> with cancer</w:t>
            </w:r>
          </w:p>
        </w:tc>
        <w:tc>
          <w:tcPr>
            <w:tcW w:w="1134" w:type="dxa"/>
            <w:shd w:val="clear" w:color="auto" w:fill="auto"/>
          </w:tcPr>
          <w:p w14:paraId="061EBB34" w14:textId="77777777" w:rsidR="00356B88" w:rsidRPr="00083E82" w:rsidRDefault="00356B88" w:rsidP="000A3AB2">
            <w:pPr>
              <w:autoSpaceDE w:val="0"/>
              <w:autoSpaceDN w:val="0"/>
              <w:adjustRightInd w:val="0"/>
              <w:jc w:val="center"/>
              <w:rPr>
                <w:rFonts w:ascii="Arial" w:hAnsi="Arial" w:cs="Arial"/>
                <w:b/>
                <w:sz w:val="18"/>
                <w:szCs w:val="16"/>
              </w:rPr>
            </w:pPr>
            <w:r>
              <w:rPr>
                <w:rFonts w:ascii="Arial" w:hAnsi="Arial" w:cs="Arial"/>
                <w:b/>
                <w:sz w:val="18"/>
                <w:szCs w:val="16"/>
              </w:rPr>
              <w:t>Reference</w:t>
            </w:r>
          </w:p>
        </w:tc>
        <w:tc>
          <w:tcPr>
            <w:tcW w:w="993" w:type="dxa"/>
          </w:tcPr>
          <w:p w14:paraId="64007947" w14:textId="77777777" w:rsidR="00356B88" w:rsidRPr="00083E82" w:rsidRDefault="00356B88" w:rsidP="000A3AB2">
            <w:pPr>
              <w:autoSpaceDE w:val="0"/>
              <w:autoSpaceDN w:val="0"/>
              <w:adjustRightInd w:val="0"/>
              <w:jc w:val="center"/>
              <w:rPr>
                <w:rFonts w:ascii="Arial" w:hAnsi="Arial" w:cs="Arial"/>
                <w:b/>
                <w:sz w:val="18"/>
                <w:szCs w:val="16"/>
              </w:rPr>
            </w:pPr>
            <w:r>
              <w:rPr>
                <w:rFonts w:ascii="Arial" w:hAnsi="Arial" w:cs="Arial"/>
                <w:b/>
                <w:sz w:val="18"/>
                <w:szCs w:val="16"/>
              </w:rPr>
              <w:t>InSiGHT</w:t>
            </w:r>
            <w:r w:rsidRPr="00083E82">
              <w:rPr>
                <w:rFonts w:ascii="Arial" w:hAnsi="Arial" w:cs="Arial"/>
                <w:b/>
                <w:sz w:val="18"/>
                <w:szCs w:val="16"/>
              </w:rPr>
              <w:t xml:space="preserve"> class</w:t>
            </w:r>
          </w:p>
        </w:tc>
        <w:tc>
          <w:tcPr>
            <w:tcW w:w="1134" w:type="dxa"/>
            <w:shd w:val="clear" w:color="auto" w:fill="auto"/>
          </w:tcPr>
          <w:p w14:paraId="01398C43" w14:textId="77777777" w:rsidR="00356B88" w:rsidRPr="00083E82" w:rsidRDefault="00356B88" w:rsidP="000A3AB2">
            <w:pPr>
              <w:autoSpaceDE w:val="0"/>
              <w:autoSpaceDN w:val="0"/>
              <w:adjustRightInd w:val="0"/>
              <w:jc w:val="center"/>
              <w:rPr>
                <w:rFonts w:ascii="Arial" w:hAnsi="Arial" w:cs="Arial"/>
                <w:b/>
                <w:sz w:val="18"/>
                <w:szCs w:val="16"/>
              </w:rPr>
            </w:pPr>
            <w:r>
              <w:rPr>
                <w:rFonts w:ascii="Arial" w:hAnsi="Arial" w:cs="Arial"/>
                <w:b/>
                <w:sz w:val="18"/>
                <w:szCs w:val="16"/>
              </w:rPr>
              <w:t>PolyPhen prediction</w:t>
            </w:r>
          </w:p>
        </w:tc>
        <w:tc>
          <w:tcPr>
            <w:tcW w:w="1134" w:type="dxa"/>
          </w:tcPr>
          <w:p w14:paraId="17C6964C" w14:textId="77777777" w:rsidR="00356B88" w:rsidRPr="00083E82" w:rsidRDefault="00356B88" w:rsidP="000A3AB2">
            <w:pPr>
              <w:autoSpaceDE w:val="0"/>
              <w:autoSpaceDN w:val="0"/>
              <w:adjustRightInd w:val="0"/>
              <w:jc w:val="center"/>
              <w:rPr>
                <w:rFonts w:ascii="Arial" w:hAnsi="Arial" w:cs="Arial"/>
                <w:b/>
                <w:sz w:val="18"/>
                <w:szCs w:val="16"/>
              </w:rPr>
            </w:pPr>
            <w:r>
              <w:rPr>
                <w:rFonts w:ascii="Arial" w:hAnsi="Arial" w:cs="Arial"/>
                <w:b/>
                <w:sz w:val="18"/>
                <w:szCs w:val="16"/>
              </w:rPr>
              <w:t>Screen result</w:t>
            </w:r>
          </w:p>
        </w:tc>
      </w:tr>
      <w:tr w:rsidR="00356B88" w:rsidRPr="00E73277" w14:paraId="0309787E" w14:textId="77777777" w:rsidTr="000A3AB2">
        <w:trPr>
          <w:trHeight w:val="644"/>
        </w:trPr>
        <w:tc>
          <w:tcPr>
            <w:tcW w:w="959" w:type="dxa"/>
            <w:shd w:val="clear" w:color="auto" w:fill="auto"/>
          </w:tcPr>
          <w:p w14:paraId="3954399D"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R128L</w:t>
            </w:r>
          </w:p>
        </w:tc>
        <w:tc>
          <w:tcPr>
            <w:tcW w:w="1276" w:type="dxa"/>
            <w:shd w:val="clear" w:color="auto" w:fill="auto"/>
          </w:tcPr>
          <w:p w14:paraId="6F330743"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EC 68 yrs</w:t>
            </w:r>
          </w:p>
        </w:tc>
        <w:tc>
          <w:tcPr>
            <w:tcW w:w="850" w:type="dxa"/>
            <w:shd w:val="clear" w:color="auto" w:fill="auto"/>
          </w:tcPr>
          <w:p w14:paraId="13AA7D45" w14:textId="77777777" w:rsidR="00356B88" w:rsidRPr="00083E82"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MSI</w:t>
            </w:r>
            <w:r>
              <w:rPr>
                <w:rFonts w:ascii="Arial" w:hAnsi="Arial" w:cs="Arial"/>
                <w:sz w:val="18"/>
                <w:szCs w:val="16"/>
              </w:rPr>
              <w:t>-H</w:t>
            </w:r>
          </w:p>
        </w:tc>
        <w:tc>
          <w:tcPr>
            <w:tcW w:w="1133" w:type="dxa"/>
            <w:shd w:val="clear" w:color="auto" w:fill="auto"/>
          </w:tcPr>
          <w:p w14:paraId="0E947126" w14:textId="77777777" w:rsidR="00356B88"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MSH2</w:t>
            </w:r>
            <w:r>
              <w:rPr>
                <w:rFonts w:ascii="Arial" w:hAnsi="Arial" w:cs="Arial"/>
                <w:sz w:val="18"/>
                <w:szCs w:val="16"/>
              </w:rPr>
              <w:t>+</w:t>
            </w:r>
            <w:r w:rsidRPr="00083E82">
              <w:rPr>
                <w:rFonts w:ascii="Arial" w:hAnsi="Arial" w:cs="Arial"/>
                <w:sz w:val="18"/>
                <w:szCs w:val="16"/>
              </w:rPr>
              <w:t xml:space="preserve"> MSH6</w:t>
            </w:r>
            <w:r>
              <w:rPr>
                <w:rFonts w:ascii="Arial" w:hAnsi="Arial" w:cs="Arial"/>
                <w:sz w:val="18"/>
                <w:szCs w:val="16"/>
              </w:rPr>
              <w:t>+</w:t>
            </w:r>
          </w:p>
          <w:p w14:paraId="6FC5714E" w14:textId="77777777" w:rsidR="00356B88" w:rsidRPr="00083E82"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M</w:t>
            </w:r>
            <w:r>
              <w:rPr>
                <w:rFonts w:ascii="Arial" w:hAnsi="Arial" w:cs="Arial"/>
                <w:sz w:val="18"/>
                <w:szCs w:val="16"/>
              </w:rPr>
              <w:t>LH1-</w:t>
            </w:r>
            <w:r w:rsidRPr="00083E82">
              <w:rPr>
                <w:rFonts w:ascii="Arial" w:hAnsi="Arial" w:cs="Arial"/>
                <w:sz w:val="18"/>
                <w:szCs w:val="16"/>
              </w:rPr>
              <w:t xml:space="preserve"> </w:t>
            </w:r>
          </w:p>
        </w:tc>
        <w:tc>
          <w:tcPr>
            <w:tcW w:w="1986" w:type="dxa"/>
            <w:shd w:val="clear" w:color="auto" w:fill="auto"/>
          </w:tcPr>
          <w:p w14:paraId="0498A783" w14:textId="77777777" w:rsidR="00356B88" w:rsidRPr="00083E82" w:rsidRDefault="00356B88" w:rsidP="000A3AB2">
            <w:pPr>
              <w:autoSpaceDE w:val="0"/>
              <w:autoSpaceDN w:val="0"/>
              <w:adjustRightInd w:val="0"/>
              <w:rPr>
                <w:rFonts w:ascii="Arial" w:hAnsi="Arial" w:cs="Arial"/>
                <w:sz w:val="18"/>
                <w:szCs w:val="16"/>
              </w:rPr>
            </w:pPr>
            <w:r w:rsidRPr="000E5F36">
              <w:rPr>
                <w:rFonts w:ascii="Arial" w:hAnsi="Arial" w:cs="Arial"/>
                <w:i/>
                <w:sz w:val="18"/>
                <w:szCs w:val="16"/>
              </w:rPr>
              <w:t>MLH1</w:t>
            </w:r>
            <w:r>
              <w:rPr>
                <w:rFonts w:ascii="Arial" w:hAnsi="Arial" w:cs="Arial"/>
                <w:sz w:val="18"/>
                <w:szCs w:val="16"/>
              </w:rPr>
              <w:t xml:space="preserve"> promoter methylation</w:t>
            </w:r>
          </w:p>
        </w:tc>
        <w:tc>
          <w:tcPr>
            <w:tcW w:w="1275" w:type="dxa"/>
          </w:tcPr>
          <w:p w14:paraId="6F5F0EE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No</w:t>
            </w:r>
          </w:p>
        </w:tc>
        <w:tc>
          <w:tcPr>
            <w:tcW w:w="2268" w:type="dxa"/>
          </w:tcPr>
          <w:p w14:paraId="2CCB843E" w14:textId="77777777" w:rsidR="00356B88" w:rsidRPr="00481F78" w:rsidRDefault="00356B88" w:rsidP="000A3AB2">
            <w:pPr>
              <w:tabs>
                <w:tab w:val="left" w:pos="1440"/>
              </w:tabs>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None</w:t>
            </w:r>
          </w:p>
        </w:tc>
        <w:tc>
          <w:tcPr>
            <w:tcW w:w="1134" w:type="dxa"/>
            <w:shd w:val="clear" w:color="auto" w:fill="auto"/>
          </w:tcPr>
          <w:p w14:paraId="169D0D93" w14:textId="5435B1FA" w:rsidR="00356B88" w:rsidRPr="00083E82"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"10.1038/sj.bjc.6602129", "ISSN" : "0007-0920", "PMID" : "15354210", "abstract" : "Mismatch repair (MMR) deficiency in tumours from patients with the hereditary nonpolyposis colorectal cancer (HNPCC) syndrome is mainly caused by mutations in the MLH1, MSH2, and MSH6 genes. A major challenge in the clinical management of patients with suspected HNPCC is the frequent occurrence of missense mutations in MSH6. These can be considered neither deleterious nor clinically innocent a priori. To assess their significance we studied five novel MSH6 missense mutations in six patients derived from a series of consecutive endometrial and colorectal cancer patients selected for study after their tumours were determined to be microsatellite unstable. We tested each mutated protein for heterodimerisation with MSH2 and for in vitro MMR capability. Four mutations (R128L, P623L, K728T, G881K+S) showed no impairment of these functions while the fifth (E1193K) displayed marked impairment of both functions. These results, taken together with our previous similar findings concerning six other missense mutations in MSH6, allow us to conclude that many or most missense changes in MSH6 likely are clinically innocent, whereas some missense changes such as E1193K, which lead to impaired MMR, are likely to be clinically significant, but have low penetrance.", "author" : [ { "dropping-particle" : "", "family" : "Kariola", "given" : "R", "non-dropping-particle" : "", "parse-names" : false, "suffix" : "" }, { "dropping-particle" : "", "family" : "Hampel", "given" : "H", "non-dropping-particle" : "", "parse-names" : false, "suffix" : "" }, { "dropping-particle" : "", "family" : "Frankel", "given" : "W L", "non-dropping-particle" : "", "parse-names" : false, "suffix" : "" }, { "dropping-particle" : "", "family" : "Raevaara", "given" : "T E", "non-dropping-particle" : "", "parse-names" : false, "suffix" : "" }, { "dropping-particle" : "", "family" : "la Chapelle", "given" : "a", "non-dropping-particle" : "de", "parse-names" : false, "suffix" : "" }, { "dropping-particle" : "", "family" : "Nystr\u00f6m-Lahti", "given" : "M", "non-dropping-particle" : "", "parse-names" : false, "suffix" : "" } ], "container-title" : "British journal of cancer", "id" : "ITEM-1", "issue" : "7", "issued" : { "date-parts" : [ [ "2004" ] ] }, "page" : "1287-92", "title" : "MSH6 missense mutations are often associated with no or low cancer susceptibility.", "type" : "article-journal", "volume" : "91" }, "uris" : [ "http://www.mendeley.com/documents/?uuid=30582e92-b05e-4aef-91bb-2c231391342d" ] }, { "id" : "ITEM-2", "itemData" : { "DOI" : "10.1158/0008-5472.CAN-06-1114", "ISSN" : "0008-5472", "PMID" : "16885385", "abstract" : "Endometrial cancer is the most common cancer in women with Lynch syndrome. The identification of individuals with Lynch syndrome is desirable because they can benefit from increased cancer surveillance. The purpose of this study was to determine the feasibility and desirability of molecular screening for Lynch syndrome in all endometrial cancer patients. Unselected endometrial cancer patients (N = 543) were studied. All tumors underwent microsatellite instability (MSI) testing. Patients with MSI-positive tumors underwent testing for germ line mutations in MLH1, MSH2, MSH6, and PMS2. Of 543 tumors studied, 118 (21.7%) were MSI positive (98 of 118 MSI high and 20 of 118 MSI low). All 118 patients with MSI-positive tumors had mutation testing, and nine of them had deleterious germ line mutations (one MLH1, three MSH2, and five MSH6). In addition, one case with an MSI-negative tumor had abnormal MSH6 immunohistochemical staining and was subsequently found to have a mutation in MSH6. Immunohistochemical staining was consistent with the mutation result in all seven truncating mutation-positive cases but was not consistent in two of the three missense mutation cases. We conclude that in central Ohio, at least 1.8% (95% confidence interval, 0.9-3.5%) of newly diagnosed endometrial cancer patients had Lynch syndrome. Seven of the 10 Lynch syndrome patients did not meet any published criteria for hereditary nonpolyposis colorectal cancer, and six of them were diagnosed at age &gt;50. Studying all endometrial cancer patients for Lynch syndrome using a combination of MSI and immunohistochemistry for molecular prescreening followed by gene sequencing and deletion analysis is feasible and may be desirable.", "author" : [ { "dropping-particle" : "", "family" : "Hampel", "given" : "Heather", "non-dropping-particle" : "", "parse-names" : false, "suffix" : "" }, { "dropping-particle" : "", "family" : "Frankel", "given" : "Wendy", "non-dropping-particle" : "", "parse-names" : false, "suffix" : "" }, { "dropping-particle" : "", "family" : "Panescu", "given" : "Jenny", "non-dropping-particle" : "", "parse-names" : false, "suffix" : "" }, { "dropping-particle" : "", "family" : "Lockman", "given" : "Janet", "non-dropping-particle" : "", "parse-names" : false, "suffix" : "" }, { "dropping-particle" : "", "family" : "Sotamaa", "given" : "Kaisa", "non-dropping-particle" : "", "parse-names" : false, "suffix" : "" }, { "dropping-particle" : "", "family" : "Fix", "given" : "Daniel", "non-dropping-particle" : "", "parse-names" : false, "suffix" : "" }, { "dropping-particle" : "", "family" : "Comeras", "given" : "Ilene", "non-dropping-particle" : "", "parse-names" : false, "suffix" : "" }, { "dropping-particle" : "", "family" : "Jeunesse", "given" : "Jennifer", "non-dropping-particle" : "La", "parse-names" : false, "suffix" : "" }, { "dropping-particle" : "", "family" : "Nakagawa", "given" : "Hidewaki", "non-dropping-particle" : "", "parse-names" : false, "suffix" : "" }, { "dropping-particle" : "", "family" : "Westman", "given" : "Judith a.", "non-dropping-particle" : "", "parse-names" : false, "suffix" : "" }, { "dropping-particle" : "", "family" : "Prior", "given" : "Thomas W.", "non-dropping-particle" : "", "parse-names" : false, "suffix" : "" }, { "dropping-particle" : "", "family" : "Clendenning", "given" : "Mark", "non-dropping-particle" : "", "parse-names" : false, "suffix" : "" }, { "dropping-particle" : "", "family" : "Penzone", "given" : "Pamela", "non-dropping-particle" : "", "parse-names" : false, "suffix" : "" }, { "dropping-particle" : "", "family" : "Lombardi", "given" : "Janet", "non-dropping-particle" : "", "parse-names" : false, "suffix" : "" }, { "dropping-particle" : "", "family" : "Dunn", "given" : "Patti", "non-dropping-particle" : "", "parse-names" : false, "suffix" : "" }, { "dropping-particle" : "", "family" : "Cohn", "given" : "David E.", "non-dropping-particle" : "", "parse-names" : false, "suffix" : "" }, { "dropping-particle" : "", "family" : "Copeland", "given" : "Larry", "non-dropping-particle" : "", "parse-names" : false, "suffix" : "" }, { "dropping-particle" : "", "family" : "Eaton", "given" : "Lynne", "non-dropping-particle" : "", "parse-names" : false, "suffix" : "" }, { "dropping-particle" : "", "family" : "Fowler", "given" : "Jeffrey", "non-dropping-particle" : "", "parse-names" : false, "suffix" : "" }, { "dropping-particle" : "", "family" : "Lewandowski", "given" : "George", "non-dropping-particle" : "", "parse-names" : false, "suffix" : "" }, { "dropping-particle" : "", "family" : "Vaccarello", "given" : "Luis", "non-dropping-particle" : "", "parse-names" : false, "suffix" : "" }, { "dropping-particle" : "", "family" : "Bell", "given" : "Jeffrey", "non-dropping-particle" : "", "parse-names" : false, "suffix" : "" }, { "dropping-particle" : "", "family" : "Reid", "given" : "Gary", "non-dropping-particle" : "", "parse-names" : false, "suffix" : "" }, { "dropping-particle" : "", "family" : "La Chapelle", "given" : "Albert", "non-dropping-particle" : "De", "parse-names" : false, "suffix" : "" } ], "container-title" : "Cancer research", "id" : "ITEM-2", "issue" : "15", "issued" : { "date-parts" : [ [ "2006", "8", "1" ] ] }, "page" : "7810-7", "title" : "Screening for Lynch syndrome (hereditary nonpolyposis colorectal cancer) among endometrial cancer patients.", "type" : "article-journal", "volume" : "66" }, "uris" : [ "http://www.mendeley.com/documents/?uuid=a634ad6f-45d2-4bc2-b362-8a4c24754390" ] } ], "mendeley" : { "formattedCitation" : "(1, 2)", "plainTextFormattedCitation" : "(1, 2)", "previouslyFormattedCitation" : "(Hampel et al. 2006; Kariola et al. 2004)"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27,28</w:t>
            </w:r>
            <w:r w:rsidR="00DB4700">
              <w:rPr>
                <w:rFonts w:ascii="Arial" w:hAnsi="Arial" w:cs="Arial"/>
                <w:noProof/>
                <w:sz w:val="18"/>
                <w:szCs w:val="16"/>
              </w:rPr>
              <w:t>]</w:t>
            </w:r>
            <w:r>
              <w:rPr>
                <w:rFonts w:ascii="Arial" w:hAnsi="Arial" w:cs="Arial"/>
                <w:sz w:val="18"/>
                <w:szCs w:val="16"/>
              </w:rPr>
              <w:fldChar w:fldCharType="end"/>
            </w:r>
          </w:p>
        </w:tc>
        <w:tc>
          <w:tcPr>
            <w:tcW w:w="993" w:type="dxa"/>
          </w:tcPr>
          <w:p w14:paraId="221E8C15"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08F0C6A4" w14:textId="77777777" w:rsidR="00356B88" w:rsidRPr="00083E82"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Possibly damaging</w:t>
            </w:r>
          </w:p>
        </w:tc>
        <w:tc>
          <w:tcPr>
            <w:tcW w:w="1134" w:type="dxa"/>
          </w:tcPr>
          <w:p w14:paraId="18014039"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Not Pathogenic</w:t>
            </w:r>
          </w:p>
        </w:tc>
      </w:tr>
      <w:tr w:rsidR="00356B88" w:rsidRPr="00E73277" w14:paraId="7CCE0A9B" w14:textId="77777777" w:rsidTr="000A3AB2">
        <w:trPr>
          <w:trHeight w:val="1184"/>
        </w:trPr>
        <w:tc>
          <w:tcPr>
            <w:tcW w:w="959" w:type="dxa"/>
            <w:shd w:val="clear" w:color="auto" w:fill="auto"/>
          </w:tcPr>
          <w:p w14:paraId="1D602C94"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S285I</w:t>
            </w:r>
          </w:p>
        </w:tc>
        <w:tc>
          <w:tcPr>
            <w:tcW w:w="1276" w:type="dxa"/>
            <w:shd w:val="clear" w:color="auto" w:fill="auto"/>
          </w:tcPr>
          <w:p w14:paraId="0D9AE317"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69 yrs</w:t>
            </w:r>
          </w:p>
        </w:tc>
        <w:tc>
          <w:tcPr>
            <w:tcW w:w="850" w:type="dxa"/>
            <w:shd w:val="clear" w:color="auto" w:fill="auto"/>
          </w:tcPr>
          <w:p w14:paraId="0A06B21D"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MSI-L</w:t>
            </w:r>
          </w:p>
        </w:tc>
        <w:tc>
          <w:tcPr>
            <w:tcW w:w="1133" w:type="dxa"/>
            <w:shd w:val="clear" w:color="auto" w:fill="auto"/>
          </w:tcPr>
          <w:p w14:paraId="3DEBC453"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18D76A10" w14:textId="77777777" w:rsidR="00356B88" w:rsidRPr="00083E82"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L</w:t>
            </w:r>
            <w:r>
              <w:rPr>
                <w:rFonts w:ascii="Arial" w:hAnsi="Arial" w:cs="Arial"/>
                <w:sz w:val="18"/>
                <w:szCs w:val="16"/>
              </w:rPr>
              <w:t xml:space="preserve">oss of </w:t>
            </w:r>
            <w:r w:rsidRPr="005B2E57">
              <w:rPr>
                <w:rFonts w:ascii="Arial" w:hAnsi="Arial" w:cs="Arial"/>
                <w:i/>
                <w:sz w:val="18"/>
                <w:szCs w:val="16"/>
              </w:rPr>
              <w:t>MSH6</w:t>
            </w:r>
            <w:r>
              <w:rPr>
                <w:rFonts w:ascii="Arial" w:hAnsi="Arial" w:cs="Arial"/>
                <w:sz w:val="18"/>
                <w:szCs w:val="16"/>
              </w:rPr>
              <w:t xml:space="preserve"> heterozygosity</w:t>
            </w:r>
            <w:r w:rsidRPr="00083E82">
              <w:rPr>
                <w:rFonts w:ascii="Arial" w:hAnsi="Arial" w:cs="Arial"/>
                <w:sz w:val="18"/>
                <w:szCs w:val="16"/>
              </w:rPr>
              <w:t xml:space="preserve"> in tumor</w:t>
            </w:r>
          </w:p>
        </w:tc>
        <w:tc>
          <w:tcPr>
            <w:tcW w:w="1275" w:type="dxa"/>
          </w:tcPr>
          <w:p w14:paraId="1B0CAD59" w14:textId="77777777" w:rsidR="00356B88" w:rsidRPr="00083E82" w:rsidRDefault="00356B88" w:rsidP="000A3AB2">
            <w:pPr>
              <w:autoSpaceDE w:val="0"/>
              <w:autoSpaceDN w:val="0"/>
              <w:adjustRightInd w:val="0"/>
              <w:rPr>
                <w:rFonts w:ascii="Arial" w:hAnsi="Arial" w:cs="Arial"/>
                <w:sz w:val="18"/>
                <w:szCs w:val="16"/>
              </w:rPr>
            </w:pPr>
          </w:p>
        </w:tc>
        <w:tc>
          <w:tcPr>
            <w:tcW w:w="2268" w:type="dxa"/>
          </w:tcPr>
          <w:p w14:paraId="5062F863" w14:textId="77777777" w:rsidR="00356B88"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Sister breast cancer 44 yrs and ovarian cancer 49 yrs</w:t>
            </w:r>
          </w:p>
          <w:p w14:paraId="7FDFCB9F" w14:textId="77777777" w:rsidR="00356B88"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Father lung cancer 69 yrs</w:t>
            </w:r>
          </w:p>
          <w:p w14:paraId="479394E9"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Mother CRC 74 yrs</w:t>
            </w:r>
          </w:p>
        </w:tc>
        <w:tc>
          <w:tcPr>
            <w:tcW w:w="1134" w:type="dxa"/>
            <w:shd w:val="clear" w:color="auto" w:fill="auto"/>
          </w:tcPr>
          <w:p w14:paraId="03C49C1E" w14:textId="08654BA8" w:rsidR="00356B88" w:rsidRPr="00083E82"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"author" : [ { "dropping-particle" : "", "family" : "Kolodner", "given" : "Richard D", "non-dropping-particle" : "", "parse-names" : false, "suffix" : "" }, { "dropping-particle" : "", "family" : "Tytell", "given" : "Jessica D", "non-dropping-particle" : "", "parse-names" : false, "suffix" : "" }, { "dropping-particle" : "", "family" : "Schmeits", "given" : "James L", "non-dropping-particle" : "", "parse-names" : false, "suffix" : "" }, { "dropping-particle" : "", "family" : "Kane", "given" : "Michael F", "non-dropping-particle" : "", "parse-names" : false, "suffix" : "" }, { "dropping-particle" : "Das", "family" : "Gupta", "given" : "Ruchira", "non-dropping-particle" : "", "parse-names" : false, "suffix" : "" }, { "dropping-particle" : "", "family" : "Weger", "given" : "John", "non-dropping-particle" : "", "parse-names" : false, "suffix" : "" }, { "dropping-particle" : "", "family" : "Wahlberg", "given" : "Siobhan", "non-dropping-particle" : "", "parse-names" : false, "suffix" : "" }, { "dropping-particle" : "", "family" : "Fox", "given" : "Edward A", "non-dropping-particle" : "", "parse-names" : false, "suffix" : "" }, { "dropping-particle" : "", "family" : "Peel", "given" : "David", "non-dropping-particle" : "", "parse-names" : false, "suffix" : "" }, { "dropping-particle" : "", "family" : "Ziogas", "given" : "Argyrios", "non-dropping-particle" : "", "parse-names" : false, "suffix" : "" }, { "dropping-particle" : "", "family" : "Garber", "given" : "Judy E", "non-dropping-particle" : "", "parse-names" : false, "suffix" : "" }, { "dropping-particle" : "", "family" : "Syngal", "given" : "Sapna", "non-dropping-particle" : "", "parse-names" : false, "suffix" : "" }, { "dropping-particle" : "", "family" : "Anton-culver", "given" : "Hoda", "non-dropping-particle" : "", "parse-names" : false, "suffix" : "" }, { "dropping-particle" : "", "family" : "Li", "given" : "Frederick P", "non-dropping-particle" : "", "parse-names" : false, "suffix" : "" } ], "id" : "ITEM-1", "issued" : { "date-parts" : [ [ "1999" ] ] }, "page" : "5068-5074", "title" : "Germ-line msh6 Mutations in Colorectal Cancer Families Germ-line msh6 Mutations in Colorectal Cancer Families 1", "type" : "article-journal" }, "uris" : [ "http://www.mendeley.com/documents/?uuid=9fef1edc-c655-446d-9251-d927f75df283" ] } ], "mendeley" : { "formattedCitation" : "(3)", "plainTextFormattedCitation" : "(3)", "previouslyFormattedCitation" : "(Kolodner et al. 1999)"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29</w:t>
            </w:r>
            <w:r>
              <w:rPr>
                <w:rFonts w:ascii="Arial" w:hAnsi="Arial" w:cs="Arial"/>
                <w:sz w:val="18"/>
                <w:szCs w:val="16"/>
              </w:rPr>
              <w:fldChar w:fldCharType="end"/>
            </w:r>
            <w:r w:rsidR="00DB4700">
              <w:rPr>
                <w:rFonts w:ascii="Arial" w:hAnsi="Arial" w:cs="Arial"/>
                <w:sz w:val="18"/>
                <w:szCs w:val="16"/>
              </w:rPr>
              <w:t>]</w:t>
            </w:r>
          </w:p>
        </w:tc>
        <w:tc>
          <w:tcPr>
            <w:tcW w:w="993" w:type="dxa"/>
          </w:tcPr>
          <w:p w14:paraId="28A5ECD6"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007BA197"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Possibly damaging</w:t>
            </w:r>
          </w:p>
        </w:tc>
        <w:tc>
          <w:tcPr>
            <w:tcW w:w="1134" w:type="dxa"/>
          </w:tcPr>
          <w:p w14:paraId="21F2DB26" w14:textId="77777777" w:rsidR="00356B88" w:rsidRPr="00083E82" w:rsidRDefault="00356B88" w:rsidP="000A3AB2">
            <w:pPr>
              <w:rPr>
                <w:rFonts w:ascii="Arial" w:hAnsi="Arial" w:cs="Arial"/>
                <w:sz w:val="18"/>
                <w:szCs w:val="16"/>
              </w:rPr>
            </w:pPr>
            <w:r>
              <w:rPr>
                <w:rFonts w:ascii="Arial" w:hAnsi="Arial" w:cs="Arial"/>
                <w:sz w:val="18"/>
                <w:szCs w:val="16"/>
              </w:rPr>
              <w:t>Not Pathogenic</w:t>
            </w:r>
          </w:p>
        </w:tc>
      </w:tr>
      <w:tr w:rsidR="00356B88" w:rsidRPr="00E73277" w14:paraId="4B20E682" w14:textId="77777777" w:rsidTr="000A3AB2">
        <w:trPr>
          <w:trHeight w:val="542"/>
        </w:trPr>
        <w:tc>
          <w:tcPr>
            <w:tcW w:w="959" w:type="dxa"/>
            <w:shd w:val="clear" w:color="auto" w:fill="auto"/>
          </w:tcPr>
          <w:p w14:paraId="0779E4CB"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R468H</w:t>
            </w:r>
          </w:p>
        </w:tc>
        <w:tc>
          <w:tcPr>
            <w:tcW w:w="1276" w:type="dxa"/>
            <w:shd w:val="clear" w:color="auto" w:fill="auto"/>
          </w:tcPr>
          <w:p w14:paraId="6A4B0102"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CRC &lt;55 yrs</w:t>
            </w:r>
          </w:p>
        </w:tc>
        <w:tc>
          <w:tcPr>
            <w:tcW w:w="850" w:type="dxa"/>
            <w:shd w:val="clear" w:color="auto" w:fill="auto"/>
          </w:tcPr>
          <w:p w14:paraId="5A728B95"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MSS</w:t>
            </w:r>
          </w:p>
        </w:tc>
        <w:tc>
          <w:tcPr>
            <w:tcW w:w="1133" w:type="dxa"/>
            <w:shd w:val="clear" w:color="auto" w:fill="auto"/>
          </w:tcPr>
          <w:p w14:paraId="7761B582" w14:textId="77777777" w:rsidR="00356B88"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MSH2</w:t>
            </w:r>
            <w:r>
              <w:rPr>
                <w:rFonts w:ascii="Arial" w:hAnsi="Arial" w:cs="Arial"/>
                <w:sz w:val="18"/>
                <w:szCs w:val="16"/>
              </w:rPr>
              <w:t>+</w:t>
            </w:r>
            <w:r w:rsidRPr="00083E82">
              <w:rPr>
                <w:rFonts w:ascii="Arial" w:hAnsi="Arial" w:cs="Arial"/>
                <w:sz w:val="18"/>
                <w:szCs w:val="16"/>
              </w:rPr>
              <w:t xml:space="preserve"> MSH6</w:t>
            </w:r>
            <w:r>
              <w:rPr>
                <w:rFonts w:ascii="Arial" w:hAnsi="Arial" w:cs="Arial"/>
                <w:sz w:val="18"/>
                <w:szCs w:val="16"/>
              </w:rPr>
              <w:t>+</w:t>
            </w:r>
          </w:p>
          <w:p w14:paraId="7A7D2905" w14:textId="77777777" w:rsidR="00356B88" w:rsidRPr="00083E82"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M</w:t>
            </w:r>
            <w:r>
              <w:rPr>
                <w:rFonts w:ascii="Arial" w:hAnsi="Arial" w:cs="Arial"/>
                <w:sz w:val="18"/>
                <w:szCs w:val="16"/>
              </w:rPr>
              <w:t>LH1+</w:t>
            </w:r>
          </w:p>
        </w:tc>
        <w:tc>
          <w:tcPr>
            <w:tcW w:w="1986" w:type="dxa"/>
            <w:shd w:val="clear" w:color="auto" w:fill="auto"/>
          </w:tcPr>
          <w:p w14:paraId="2E9B9B21" w14:textId="77777777" w:rsidR="00356B88" w:rsidRPr="00083E82" w:rsidRDefault="00356B88" w:rsidP="000A3AB2">
            <w:pPr>
              <w:rPr>
                <w:rFonts w:ascii="Arial" w:hAnsi="Arial" w:cs="Arial"/>
                <w:sz w:val="18"/>
                <w:szCs w:val="16"/>
              </w:rPr>
            </w:pPr>
          </w:p>
        </w:tc>
        <w:tc>
          <w:tcPr>
            <w:tcW w:w="1275" w:type="dxa"/>
          </w:tcPr>
          <w:p w14:paraId="229B13A3"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No</w:t>
            </w:r>
          </w:p>
        </w:tc>
        <w:tc>
          <w:tcPr>
            <w:tcW w:w="2268" w:type="dxa"/>
          </w:tcPr>
          <w:p w14:paraId="324D151B"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522F6BD3" w14:textId="287298BA" w:rsidR="00356B88"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"10.1002/humu.20635", "ISSN" : "1098-1004", "PMID" : "18033691", "abstract" : "Identification of germline mutations in DNA mismatch repair genes in colorectal cancer probands without an extensive family history can be problematic when ascribing relevance to cancer causation. We undertook a structured assessment of the disease-causing potential of sequence variants identified in a prospective, population-based study of 932 colorectal cancer patients, diagnosed at &lt;55 years of age. Patient samples were screened for germline mutations in MLH1, MSH2, and MSH6. Of 110 carriers, 74 (67%) had one of 33 rare variants of uncertain pathogenicity (12 MLH1, 11 MSH2, and 10 MSH6). Pathogenicity was assessed by determining segregation in families, allele frequency in large numbers of unaffected controls, effect on mRNA for putative splice-site mutations, effect on protein function by bioinformatic analysis and tumor microsatellite instability (MSI) status and DNA mismatch repair protein expression by immunohistochemistry. Because of the ambiguous nature of these variants and lack of concordance between functional assays and control allele frequency, we devised a scoring system to rank the degree of support for a pathogenic role. MLH1 c.200G&gt;A p.G67E, MLH1 c.2041G&gt;A p.A681T, and MSH2 c.2634+5G&gt;C were categorized as pathogenic through assimilation of all available data, while 14 variants were categorized as benign (seven MLH1, three MSH2, and four MSH6). Interestingly, there is tentative evidence suggesting a possible protective effect of three variants (MLH1 c.2066A&gt;G pQ689R, c.2146G&gt;A p.V716M, and MSH2 c.965G&gt;A p.G322D). These findings support a causal link with colorectal cancer for several DNA mismatch repair gene variants. However, the majority of missense changes are likely to be inconsequential polymorphisms.", "author" : [ { "dropping-particle" : "", "family" : "Barnetson", "given" : "Rebecca a", "non-dropping-particle" : "", "parse-names" : false, "suffix" : "" }, { "dropping-particle" : "", "family" : "Cartwright", "given" : "Nicola", "non-dropping-particle" : "", "parse-names" : false, "suffix" : "" }, { "dropping-particle" : "", "family" : "Vliet", "given" : "Annelot", "non-dropping-particle" : "van", "parse-names" : false, "suffix" : "" }, { "dropping-particle" : "", "family" : "Haq", "given" : "Naila", "non-dropping-particle" : "", "parse-names" : false, "suffix" : "" }, { "dropping-particle" : "", "family" : "Drew", "given" : "Kate", "non-dropping-particle" : "", "parse-names" : false, "suffix" : "" }, { "dropping-particle" : "", "family" : "Farrington", "given" : "Susan", "non-dropping-particle" : "", "parse-names" : false, "suffix" : "" }, { "dropping-particle" : "", "family" : "Williams", "given" : "Nicola", "non-dropping-particle" : "", "parse-names" : false, "suffix" : "" }, { "dropping-particle" : "", "family" : "Warner", "given" : "Jon", "non-dropping-particle" : "", "parse-names" : false, "suffix" : "" }, { "dropping-particle" : "", "family" : "Campbell", "given" : "Harry", "non-dropping-particle" : "", "parse-names" : false, "suffix" : "" }, { "dropping-particle" : "", "family" : "Porteous", "given" : "Mary E", "non-dropping-particle" : "", "parse-names" : false, "suffix" : "" }, { "dropping-particle" : "", "family" : "Dunlop", "given" : "Malcolm G", "non-dropping-particle" : "", "parse-names" : false, "suffix" : "" } ], "container-title" : "Human mutation", "id" : "ITEM-1", "issue" : "3", "issued" : { "date-parts" : [ [ "2008", "3" ] ] }, "page" : "367-74", "title" : "Classification of ambiguous mutations in DNA mismatch repair genes identified in a population-based study of colorectal cancer.", "type" : "article-journal", "volume" : "29" }, "uris" : [ "http://www.mendeley.com/documents/?uuid=eeec9004-f53b-4983-9d42-7b0472d34d84" ] } ], "mendeley" : { "formattedCitation" : "(4)", "plainTextFormattedCitation" : "(4)", "previouslyFormattedCitation" : "(Barnetson et al. 2008)"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30</w:t>
            </w:r>
            <w:r>
              <w:rPr>
                <w:rFonts w:ascii="Arial" w:hAnsi="Arial" w:cs="Arial"/>
                <w:sz w:val="18"/>
                <w:szCs w:val="16"/>
              </w:rPr>
              <w:fldChar w:fldCharType="end"/>
            </w:r>
            <w:r w:rsidR="00DB4700">
              <w:rPr>
                <w:rFonts w:ascii="Arial" w:hAnsi="Arial" w:cs="Arial"/>
                <w:sz w:val="18"/>
                <w:szCs w:val="16"/>
              </w:rPr>
              <w:t>]</w:t>
            </w:r>
          </w:p>
        </w:tc>
        <w:tc>
          <w:tcPr>
            <w:tcW w:w="993" w:type="dxa"/>
          </w:tcPr>
          <w:p w14:paraId="00484E48"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2</w:t>
            </w:r>
          </w:p>
        </w:tc>
        <w:tc>
          <w:tcPr>
            <w:tcW w:w="1134" w:type="dxa"/>
            <w:shd w:val="clear" w:color="auto" w:fill="auto"/>
          </w:tcPr>
          <w:p w14:paraId="70EFBE5A"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38666441"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E73277" w14:paraId="61E46021" w14:textId="77777777" w:rsidTr="000A3AB2">
        <w:trPr>
          <w:trHeight w:val="340"/>
        </w:trPr>
        <w:tc>
          <w:tcPr>
            <w:tcW w:w="959" w:type="dxa"/>
            <w:shd w:val="clear" w:color="auto" w:fill="auto"/>
          </w:tcPr>
          <w:p w14:paraId="4837DB59"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R468H</w:t>
            </w:r>
          </w:p>
        </w:tc>
        <w:tc>
          <w:tcPr>
            <w:tcW w:w="1276" w:type="dxa"/>
            <w:shd w:val="clear" w:color="auto" w:fill="auto"/>
          </w:tcPr>
          <w:p w14:paraId="21E6C22C"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50 yrs</w:t>
            </w:r>
          </w:p>
        </w:tc>
        <w:tc>
          <w:tcPr>
            <w:tcW w:w="850" w:type="dxa"/>
            <w:shd w:val="clear" w:color="auto" w:fill="auto"/>
          </w:tcPr>
          <w:p w14:paraId="2CB3C77C"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07F8AE0D"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6A39DF91" w14:textId="77777777" w:rsidR="00356B88" w:rsidRPr="00083E82" w:rsidRDefault="00356B88" w:rsidP="000A3AB2">
            <w:pPr>
              <w:rPr>
                <w:rFonts w:ascii="Arial" w:hAnsi="Arial" w:cs="Arial"/>
                <w:sz w:val="18"/>
                <w:szCs w:val="16"/>
              </w:rPr>
            </w:pPr>
          </w:p>
        </w:tc>
        <w:tc>
          <w:tcPr>
            <w:tcW w:w="1275" w:type="dxa"/>
          </w:tcPr>
          <w:p w14:paraId="4942BC61"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Bethesda</w:t>
            </w:r>
          </w:p>
        </w:tc>
        <w:tc>
          <w:tcPr>
            <w:tcW w:w="2268" w:type="dxa"/>
          </w:tcPr>
          <w:p w14:paraId="2041B500"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13C979B9" w14:textId="69F584BA" w:rsidR="00356B88" w:rsidRPr="00083E82" w:rsidRDefault="00356B88" w:rsidP="00DB4700">
            <w:pPr>
              <w:autoSpaceDE w:val="0"/>
              <w:autoSpaceDN w:val="0"/>
              <w:adjustRightInd w:val="0"/>
              <w:rPr>
                <w:rFonts w:ascii="Arial" w:hAnsi="Arial" w:cs="Arial"/>
                <w:sz w:val="18"/>
                <w:szCs w:val="16"/>
              </w:rPr>
            </w:pPr>
            <w:r>
              <w:rPr>
                <w:rFonts w:ascii="Arial" w:hAnsi="Arial" w:cs="Arial"/>
                <w:sz w:val="18"/>
                <w:szCs w:val="16"/>
                <w:lang w:val="nl-NL"/>
              </w:rPr>
              <w:fldChar w:fldCharType="begin" w:fldLock="1"/>
            </w:r>
            <w:r>
              <w:rPr>
                <w:rFonts w:ascii="Arial" w:hAnsi="Arial" w:cs="Arial"/>
                <w:sz w:val="18"/>
                <w:szCs w:val="16"/>
                <w:lang w:val="nl-NL"/>
              </w:rPr>
              <w:instrText>ADDIN CSL_CITATION { "citationItems" : [ { "id" : "ITEM-1", "itemData" : { "ISBN" : "1007-9327 (Print)\\r1007-9327 (Linking)", "ISSN" : "10079327", "PMID" : "17854147", "abstract" : "AIM: To investigate the germline mutations of MSH6 gene in probands of Chinese hereditary non-polyposis colorectal cancer (HNPCC) families fulfilling different clinical criteria. METHODS: Germline mutations of MSH6 gene were detected by PCR-based DNA sequencing in 39 unrelated HNPCC probands fulfilling different clinical criteria in which MSH2 and MLH1 mutations were excluded. To further investigate the pathological effects of detected missense mutations, we analyzed the above related MSH6 exons using PCR-based sequencing in 137 healthy persons with no family history. The clinicopathological features were collected from the Archive Library of Cancer Hospital, Fudan University and analyzed. RESULTS: Four germline missense mutations distributed in the 4(th), 6(th) and 9(th) exons were observed. Of them, three were not found in international HNPCC databases and did not occur in 137 healthy controls, indicating that they were novel missense mutations. The remaining mutation which is consistent with the case H14 at c.3488A&gt;T of exon 6 of MSH6 gene was also found in the controls, the rate was approximately 3.65% (5/137) and the type of mutation was not found in the international HNPCC mutational and SNP databases, suggesting that this missense mutation was a new SNP unreported up to date. CONCLUSION: Three novel missense mutations and a new SNP observed in the probands of Chinese HNPCC families, may play an important role in the development of HNPCC.", "author" : [ { "dropping-particle" : "", "family" : "Yan", "given" : "Shi Yan", "non-dropping-particle" : "", "parse-names" : false, "suffix" : "" }, { "dropping-particle" : "", "family" : "Zhou", "given" : "Xiao Yan", "non-dropping-particle" : "", "parse-names" : false, "suffix" : "" }, { "dropping-particle" : "", "family" : "Du", "given" : "Xiang", "non-dropping-particle" : "", "parse-names" : false, "suffix" : "" }, { "dropping-particle" : "", "family" : "Zhang", "given" : "Tai Ming", "non-dropping-particle" : "", "parse-names" : false, "suffix" : "" }, { "dropping-particle" : "", "family" : "Lu", "given" : "Yong Ming", "non-dropping-particle" : "", "parse-names" : false, "suffix" : "" }, { "dropping-particle" : "", "family" : "Cai", "given" : "San Jun", "non-dropping-particle" : "", "parse-names" : false, "suffix" : "" }, { "dropping-particle" : "", "family" : "Xu", "given" : "Xiao Li", "non-dropping-particle" : "", "parse-names" : false, "suffix" : "" }, { "dropping-particle" : "", "family" : "Yu", "given" : "Bao Hua", "non-dropping-particle" : "", "parse-names" : false, "suffix" : "" }, { "dropping-particle" : "", "family" : "Zhou", "given" : "Heng Hua", "non-dropping-particle" : "", "parse-names" : false, "suffix" : "" }, { "dropping-particle" : "", "family" : "Shi", "given" : "Da Ren", "non-dropping-particle" : "", "parse-names" : false, "suffix" : "" } ], "container-title" : "World Journal of Gastroenterology", "id" : "ITEM-1", "issue" : "37", "issued" : { "date-parts" : [ [ "2007" ] ] }, "page" : "5021-5024", "title" : "Three novel missense germline mutations in different exons of MSH6 gene in Chinese hereditary non-polyposis colorectal cancer families", "type" : "article-journal", "volume" : "13" }, "uris" : [ "http://www.mendeley.com/documents/?uuid=6b401a56-7704-4b8e-9fba-98c371b9613f" ] } ], "mendeley" : { "formattedCitation" : "(5)", "plainTextFormattedCitation" : "(5)", "previouslyFormattedCitation" : "(Yan et al. 2007)" }, "properties" : { "noteIndex" : 0 }, "schema" : "https://github.com/citation-style-language/schema/raw/master/csl-citation.json" }</w:instrText>
            </w:r>
            <w:r>
              <w:rPr>
                <w:rFonts w:ascii="Arial" w:hAnsi="Arial" w:cs="Arial"/>
                <w:sz w:val="18"/>
                <w:szCs w:val="16"/>
                <w:lang w:val="nl-NL"/>
              </w:rPr>
              <w:fldChar w:fldCharType="separate"/>
            </w:r>
            <w:r w:rsidR="00DB4700">
              <w:rPr>
                <w:rFonts w:ascii="Arial" w:hAnsi="Arial" w:cs="Arial"/>
                <w:noProof/>
                <w:sz w:val="18"/>
                <w:szCs w:val="16"/>
                <w:lang w:val="nl-NL"/>
              </w:rPr>
              <w:t>[</w:t>
            </w:r>
            <w:r w:rsidR="00C91DF8">
              <w:rPr>
                <w:rFonts w:ascii="Arial" w:hAnsi="Arial" w:cs="Arial"/>
                <w:noProof/>
                <w:sz w:val="18"/>
                <w:szCs w:val="16"/>
                <w:lang w:val="nl-NL"/>
              </w:rPr>
              <w:t>31</w:t>
            </w:r>
            <w:r>
              <w:rPr>
                <w:rFonts w:ascii="Arial" w:hAnsi="Arial" w:cs="Arial"/>
                <w:sz w:val="18"/>
                <w:szCs w:val="16"/>
                <w:lang w:val="nl-NL"/>
              </w:rPr>
              <w:fldChar w:fldCharType="end"/>
            </w:r>
            <w:r w:rsidR="00DB4700">
              <w:rPr>
                <w:rFonts w:ascii="Arial" w:hAnsi="Arial" w:cs="Arial"/>
                <w:sz w:val="18"/>
                <w:szCs w:val="16"/>
                <w:lang w:val="nl-NL"/>
              </w:rPr>
              <w:t>]</w:t>
            </w:r>
          </w:p>
        </w:tc>
        <w:tc>
          <w:tcPr>
            <w:tcW w:w="993" w:type="dxa"/>
          </w:tcPr>
          <w:p w14:paraId="334F74F1"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2</w:t>
            </w:r>
          </w:p>
        </w:tc>
        <w:tc>
          <w:tcPr>
            <w:tcW w:w="1134" w:type="dxa"/>
            <w:shd w:val="clear" w:color="auto" w:fill="auto"/>
          </w:tcPr>
          <w:p w14:paraId="0A460703" w14:textId="77777777" w:rsidR="00356B88" w:rsidRPr="00C56927"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3B87C02D" w14:textId="77777777" w:rsidR="00356B88" w:rsidRPr="00083E82" w:rsidRDefault="00356B88" w:rsidP="000A3AB2">
            <w:pPr>
              <w:rPr>
                <w:rFonts w:ascii="Arial" w:hAnsi="Arial" w:cs="Arial"/>
                <w:sz w:val="18"/>
                <w:szCs w:val="16"/>
              </w:rPr>
            </w:pPr>
            <w:r>
              <w:rPr>
                <w:rFonts w:ascii="Arial" w:hAnsi="Arial" w:cs="Arial"/>
                <w:sz w:val="18"/>
                <w:szCs w:val="16"/>
              </w:rPr>
              <w:t>Not Pathogenic</w:t>
            </w:r>
          </w:p>
        </w:tc>
      </w:tr>
      <w:tr w:rsidR="00356B88" w:rsidRPr="00E73277" w14:paraId="2BAF85D6" w14:textId="77777777" w:rsidTr="000A3AB2">
        <w:trPr>
          <w:trHeight w:val="266"/>
        </w:trPr>
        <w:tc>
          <w:tcPr>
            <w:tcW w:w="959" w:type="dxa"/>
            <w:shd w:val="clear" w:color="auto" w:fill="auto"/>
          </w:tcPr>
          <w:p w14:paraId="1148AD67"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V509A</w:t>
            </w:r>
          </w:p>
        </w:tc>
        <w:tc>
          <w:tcPr>
            <w:tcW w:w="1276" w:type="dxa"/>
            <w:shd w:val="clear" w:color="auto" w:fill="auto"/>
          </w:tcPr>
          <w:p w14:paraId="2C3112F9"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CRC 45 yrs</w:t>
            </w:r>
          </w:p>
        </w:tc>
        <w:tc>
          <w:tcPr>
            <w:tcW w:w="850" w:type="dxa"/>
            <w:shd w:val="clear" w:color="auto" w:fill="auto"/>
          </w:tcPr>
          <w:p w14:paraId="71B1AA07"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47D4CB00"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497C8D99"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4A51152D" w14:textId="77777777" w:rsidR="00356B88" w:rsidRPr="00083E82" w:rsidRDefault="00356B88" w:rsidP="000A3AB2">
            <w:pPr>
              <w:autoSpaceDE w:val="0"/>
              <w:autoSpaceDN w:val="0"/>
              <w:adjustRightInd w:val="0"/>
              <w:rPr>
                <w:rFonts w:ascii="Arial" w:hAnsi="Arial" w:cs="Arial"/>
                <w:sz w:val="18"/>
                <w:szCs w:val="16"/>
              </w:rPr>
            </w:pPr>
          </w:p>
        </w:tc>
        <w:tc>
          <w:tcPr>
            <w:tcW w:w="2268" w:type="dxa"/>
          </w:tcPr>
          <w:p w14:paraId="23A63D16" w14:textId="77777777" w:rsidR="00356B88" w:rsidRDefault="00356B88" w:rsidP="000A3AB2">
            <w:pPr>
              <w:autoSpaceDE w:val="0"/>
              <w:autoSpaceDN w:val="0"/>
              <w:adjustRightInd w:val="0"/>
              <w:rPr>
                <w:rFonts w:ascii="Wingdings" w:hAnsi="Wingdings"/>
                <w:color w:val="000000"/>
                <w:sz w:val="18"/>
                <w:szCs w:val="18"/>
              </w:rPr>
            </w:pPr>
            <w:r w:rsidRPr="00481F78">
              <w:rPr>
                <w:rFonts w:ascii="Wingdings" w:hAnsi="Wingdings"/>
                <w:color w:val="000000"/>
                <w:sz w:val="18"/>
                <w:szCs w:val="18"/>
              </w:rPr>
              <w:t></w:t>
            </w:r>
            <w:r>
              <w:rPr>
                <w:rFonts w:ascii="Arial" w:hAnsi="Arial" w:cs="Arial"/>
                <w:sz w:val="18"/>
                <w:szCs w:val="16"/>
              </w:rPr>
              <w:t>Father CRC</w:t>
            </w:r>
          </w:p>
          <w:p w14:paraId="3B823163" w14:textId="77777777" w:rsidR="00356B88" w:rsidRPr="008F776B"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Mother CRC</w:t>
            </w:r>
          </w:p>
        </w:tc>
        <w:tc>
          <w:tcPr>
            <w:tcW w:w="1134" w:type="dxa"/>
            <w:shd w:val="clear" w:color="auto" w:fill="auto"/>
          </w:tcPr>
          <w:p w14:paraId="0CAD65E1" w14:textId="51B3D5ED" w:rsidR="00356B88"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"10.1007/s10689-005-1255-7", "ISBN" : "1068900512", "ISSN" : "13899600", "PMID" : "16341805", "abstract" : "Germline mutations in DNA mismatch repair (DNA-MMR) genes, mainly hMlh1 and hMsh2, underlie Hereditary Non-Polyposis Colorectal Cancer (HNPCC). Germline hMSH6 gene mutations have been reported in a small subset of HNPCC families. In the present study, ethnically diverse individuals with HNPCC and HNPCC-like features were genotyped for hMsh6 germline mutations using exon-specific PCR, DGGE, and DNA sequencing. The study encompassed 92 individuals representing 88 unrelated families who were previously analyzed for Msh2 and Mlh1 mutations: Jewish Ashkenazim (n = 44), non-Ashkenazim (n = 27), Israeli Moslem-Arab (n = 15), Druze (n=3), and Cypriot non-Jews (n = 3). Of the study population, 71 had colon cancer (CRC), mean age at diagnosis was 50.9+/-13.2 years (range 16-73 years), 5 had endometrial cancer (two with concurrent CRC), (mean 43.6+/-3.26 years, range 38-45 years), and unaffected individuals (n = 18) were first degree relatives within HNPCC families and were genotyped at a mean age of 48.3+/-11.7 years (range 30-69 years). Of the 92 individuals analyzed, none showed a truncating hMsh6 mutation, and 6 (6.6%) harbored one of three germline missense mutations: a previously reported one (V878A), and two novel mutations (V509A, S227I). The pathogenic significance of these three missense mutations is yet unclear. In addition, 5 polymorphisms were detected, 2 of which were novel. We conclude that the rate of pathogenic hMsh6 mutations in HNPCC families of Jewish and Mediterranean origin is low, and that mutations in other genes probably account for the phenotype in these families.", "author" : [ { "dropping-particle" : "", "family" : "Dovrat", "given" : "Shiri", "non-dropping-particle" : "", "parse-names" : false, "suffix" : "" }, { "dropping-particle" : "", "family" : "Figer", "given" : "Arie", "non-dropping-particle" : "", "parse-names" : false, "suffix" : "" }, { "dropping-particle" : "", "family" : "Fidder", "given" : "Herma H.", "non-dropping-particle" : "", "parse-names" : false, "suffix" : "" }, { "dropping-particle" : "", "family" : "Neophytou", "given" : "Pavlos", "non-dropping-particle" : "", "parse-names" : false, "suffix" : "" }, { "dropping-particle" : "", "family" : "Fireman", "given" : "Zvi", "non-dropping-particle" : "", "parse-names" : false, "suffix" : "" }, { "dropping-particle" : "", "family" : "Geva", "given" : "Ravit", "non-dropping-particle" : "", "parse-names" : false, "suffix" : "" }, { "dropping-particle" : "", "family" : "Zidan", "given" : "Jamal", "non-dropping-particle" : "", "parse-names" : false, "suffix" : "" }, { "dropping-particle" : "", "family" : "Flex", "given" : "Dov", "non-dropping-particle" : "", "parse-names" : false, "suffix" : "" }, { "dropping-particle" : "", "family" : "Meir", "given" : "Shimon Bar", "non-dropping-particle" : "", "parse-names" : false, "suffix" : "" }, { "dropping-particle" : "", "family" : "Friedman", "given" : "Eitan", "non-dropping-particle" : "", "parse-names" : false, "suffix" : "" } ], "container-title" : "Familial Cancer", "id" : "ITEM-1", "issue" : "4", "issued" : { "date-parts" : [ [ "2005" ] ] }, "page" : "291-294", "title" : "Mutational analysis of hMsh6 in Israeli HNPCC and HNPCC-like families", "type" : "article-journal", "volume" : "4" }, "uris" : [ "http://www.mendeley.com/documents/?uuid=1e5e58d4-1230-41aa-ab0e-71157943246a" ] } ], "mendeley" : { "formattedCitation" : "(6)", "plainTextFormattedCitation" : "(6)", "previouslyFormattedCitation" : "(Dovrat et al. 2005)"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32</w:t>
            </w:r>
            <w:r>
              <w:rPr>
                <w:rFonts w:ascii="Arial" w:hAnsi="Arial" w:cs="Arial"/>
                <w:sz w:val="18"/>
                <w:szCs w:val="16"/>
              </w:rPr>
              <w:fldChar w:fldCharType="end"/>
            </w:r>
            <w:r w:rsidR="00DB4700">
              <w:rPr>
                <w:rFonts w:ascii="Arial" w:hAnsi="Arial" w:cs="Arial"/>
                <w:sz w:val="18"/>
                <w:szCs w:val="16"/>
              </w:rPr>
              <w:t>]</w:t>
            </w:r>
          </w:p>
        </w:tc>
        <w:tc>
          <w:tcPr>
            <w:tcW w:w="993" w:type="dxa"/>
          </w:tcPr>
          <w:p w14:paraId="732A2414"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2</w:t>
            </w:r>
          </w:p>
        </w:tc>
        <w:tc>
          <w:tcPr>
            <w:tcW w:w="1134" w:type="dxa"/>
            <w:shd w:val="clear" w:color="auto" w:fill="auto"/>
          </w:tcPr>
          <w:p w14:paraId="32B70E13"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33A3BDA7"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E73277" w14:paraId="19C66790" w14:textId="77777777" w:rsidTr="000A3AB2">
        <w:trPr>
          <w:trHeight w:val="400"/>
        </w:trPr>
        <w:tc>
          <w:tcPr>
            <w:tcW w:w="959" w:type="dxa"/>
            <w:shd w:val="clear" w:color="auto" w:fill="auto"/>
          </w:tcPr>
          <w:p w14:paraId="07AE383D"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V509A</w:t>
            </w:r>
          </w:p>
        </w:tc>
        <w:tc>
          <w:tcPr>
            <w:tcW w:w="1276" w:type="dxa"/>
            <w:shd w:val="clear" w:color="auto" w:fill="auto"/>
          </w:tcPr>
          <w:p w14:paraId="41B0394D"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LS related</w:t>
            </w:r>
          </w:p>
        </w:tc>
        <w:tc>
          <w:tcPr>
            <w:tcW w:w="850" w:type="dxa"/>
            <w:shd w:val="clear" w:color="auto" w:fill="auto"/>
          </w:tcPr>
          <w:p w14:paraId="20932135"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476DA6C0"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54A2EBF1"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09424E60" w14:textId="77777777" w:rsidR="00356B88" w:rsidRPr="00083E82" w:rsidRDefault="00356B88" w:rsidP="000A3AB2">
            <w:pPr>
              <w:autoSpaceDE w:val="0"/>
              <w:autoSpaceDN w:val="0"/>
              <w:adjustRightInd w:val="0"/>
              <w:rPr>
                <w:rFonts w:ascii="Arial" w:hAnsi="Arial" w:cs="Arial"/>
                <w:sz w:val="18"/>
                <w:szCs w:val="16"/>
              </w:rPr>
            </w:pPr>
          </w:p>
        </w:tc>
        <w:tc>
          <w:tcPr>
            <w:tcW w:w="2268" w:type="dxa"/>
          </w:tcPr>
          <w:p w14:paraId="4FC579D6"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65DFF316" w14:textId="2AA1A3A1" w:rsidR="00356B88"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"10.1016/S1525-1578(10)60584-3", "ISBN" : "1525-1578 (Print)\\r1525-1578 (Linking)", "ISSN" : "1525-1578", "PMID" : "16237223", "abstract" : "Hereditary nonpolyposis colon cancer (HNPCC, Online Mendelian Inheritance in Man (OMIM) 114500) is an autosomal dominant disorder that is genetically heterogeneous because of underlying mutations in mismatch repair genes, primarily MLH1, MSH2, and MSH6. One challenge to correctly diagnosing HNPCC is that the large size of the causative genes makes identification of mutations both labor intensive and expensive. We evaluated the usefulness of denaturing high performance liquid chromatography (DHPLC) for scanning mismatch repair genes (MLH1, MSH2, and MSH6) for point mutations, small deletions, and insertions. Our assay consisted of 51 sets of primers designed to amplify all exons of these genes. All polymerase chain reaction reactions were amplified simultaneously using the same reaction conditions in a 96-well format. The amplified products were analyzed by DHPLC across a range of optimum temperatures for partial fragment denaturation based on the melting profile of each specific fragment. DNA specimens from 23 previously studied HNPCC patients were analyzed by DHPLC, and all mutations were correctly identified and confirmed by sequence analysis. Here, we present our validation studies of the DHPLC platform for HNPCC mutation analysis and compare its merits with other scanning technologies. This approach provides greater sensitivity and more directed molecular analysis for clinical testing in HNPCC.", "author" : [ { "dropping-particle" : "", "family" : "Hegde", "given" : "Madhuri", "non-dropping-particle" : "", "parse-names" : false, "suffix" : "" }, { "dropping-particle" : "", "family" : "Blazo", "given" : "Maria", "non-dropping-particle" : "", "parse-names" : false, "suffix" : "" }, { "dropping-particle" : "", "family" : "Chong", "given" : "Belinda", "non-dropping-particle" : "", "parse-names" : false, "suffix" : "" }, { "dropping-particle" : "", "family" : "Prior", "given" : "Tom", "non-dropping-particle" : "", "parse-names" : false, "suffix" : "" }, { "dropping-particle" : "", "family" : "Richards", "given" : "Carolyn", "non-dropping-particle" : "", "parse-names" : false, "suffix" : "" } ], "container-title" : "The Journal of molecular diagnostics : JMD", "id" : "ITEM-1", "issue" : "4", "issued" : { "date-parts" : [ [ "2005" ] ] }, "page" : "525-534", "title" : "Assay validation for identification of hereditary nonpolyposis colon cancer-causing mutations in mismatch repair genes MLH1, MSH2, and MSH6.", "type" : "article-journal", "volume" : "7" }, "uris" : [ "http://www.mendeley.com/documents/?uuid=4f4e60a4-5e56-4a6d-b91d-5743acb2d6cf" ] } ], "mendeley" : { "formattedCitation" : "(7)", "plainTextFormattedCitation" : "(7)", "previouslyFormattedCitation" : "(Hegde et al. 2005)"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33</w:t>
            </w:r>
            <w:r>
              <w:rPr>
                <w:rFonts w:ascii="Arial" w:hAnsi="Arial" w:cs="Arial"/>
                <w:sz w:val="18"/>
                <w:szCs w:val="16"/>
              </w:rPr>
              <w:fldChar w:fldCharType="end"/>
            </w:r>
            <w:r w:rsidR="00DB4700">
              <w:rPr>
                <w:rFonts w:ascii="Arial" w:hAnsi="Arial" w:cs="Arial"/>
                <w:sz w:val="18"/>
                <w:szCs w:val="16"/>
              </w:rPr>
              <w:t>]</w:t>
            </w:r>
          </w:p>
        </w:tc>
        <w:tc>
          <w:tcPr>
            <w:tcW w:w="993" w:type="dxa"/>
          </w:tcPr>
          <w:p w14:paraId="5B7D85DB"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2</w:t>
            </w:r>
          </w:p>
        </w:tc>
        <w:tc>
          <w:tcPr>
            <w:tcW w:w="1134" w:type="dxa"/>
            <w:shd w:val="clear" w:color="auto" w:fill="auto"/>
          </w:tcPr>
          <w:p w14:paraId="79850DDA"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00716899"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E73277" w14:paraId="73EF71C3" w14:textId="77777777" w:rsidTr="000A3AB2">
        <w:trPr>
          <w:trHeight w:val="344"/>
        </w:trPr>
        <w:tc>
          <w:tcPr>
            <w:tcW w:w="959" w:type="dxa"/>
            <w:shd w:val="clear" w:color="auto" w:fill="auto"/>
          </w:tcPr>
          <w:p w14:paraId="6B7FB8B5"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V509A</w:t>
            </w:r>
          </w:p>
        </w:tc>
        <w:tc>
          <w:tcPr>
            <w:tcW w:w="1276" w:type="dxa"/>
            <w:shd w:val="clear" w:color="auto" w:fill="auto"/>
          </w:tcPr>
          <w:p w14:paraId="1DDDE258"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LS related</w:t>
            </w:r>
          </w:p>
        </w:tc>
        <w:tc>
          <w:tcPr>
            <w:tcW w:w="850" w:type="dxa"/>
            <w:shd w:val="clear" w:color="auto" w:fill="auto"/>
          </w:tcPr>
          <w:p w14:paraId="6440F919"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2BA11797"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5E12B7B9"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0F1F1312" w14:textId="77777777" w:rsidR="00356B88" w:rsidRPr="00083E82" w:rsidRDefault="00356B88" w:rsidP="000A3AB2">
            <w:pPr>
              <w:autoSpaceDE w:val="0"/>
              <w:autoSpaceDN w:val="0"/>
              <w:adjustRightInd w:val="0"/>
              <w:rPr>
                <w:rFonts w:ascii="Arial" w:hAnsi="Arial" w:cs="Arial"/>
                <w:sz w:val="18"/>
                <w:szCs w:val="16"/>
              </w:rPr>
            </w:pPr>
          </w:p>
        </w:tc>
        <w:tc>
          <w:tcPr>
            <w:tcW w:w="2268" w:type="dxa"/>
          </w:tcPr>
          <w:p w14:paraId="362B4B5E"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35F726F9" w14:textId="5EAF4C3A" w:rsidR="00356B88" w:rsidRPr="00083E82"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"10.1002/ijc.11415", "ISBN" : "0020-7136 (Print)\\r0020-7136 (Linking)", "ISSN" : "00207136", "PMID" : "14520694", "abstract" : "Germline mutations in MSH6 can cause HNPCC, which is associated with a tumor phenotype featuring MSI. However, tumors arising in persons with disease-causing mutations of MSH6 may or may not exhibit MSI. We used D-HPLC to screen for germline mutations in the promoter region, the coding region and the 3'-UTR of MSH6. Eighty-four families, enrolled on the basis of Amsterdam I and II criteria (HNPCC families) and less stringent criteria (HNPCC-like families), were tested for MMR gene mutations; 27 families had a disease-causing mutation in MLH1 or MSH2, and the remaining 57 families were tested for mutations in MSH6. Two protein-truncating mutations were identified in each of 2 families fulfilling the Amsterdam I criteria, being present in persons affected with early-onset colorectal cancers exhibiting MSI. Immunohistochemical analysis showed that expression of both MSH2 and MSH6 proteins was lost in the cancer cells of the 2 mutation carriers but only MSH6 protein expression was lost in 2 adenomatous polyps. A third possibly disease-causing mutation was found in a person affected with a tumor that did not exhibit MSI. In addition, we found 4 new polymorphisms and determined that neither of the 2 studied by association analysis conferred susceptibility to colorectal or endometrial cancer. Altogether, our results indicate that disease-causing germline mutations of MSH6 are rare in HNPCC and HNPCC-like families.", "author" : [ { "dropping-particle" : "", "family" : "Peterlongo", "given" : "Paolo", "non-dropping-particle" : "", "parse-names" : false, "suffix" : "" }, { "dropping-particle" : "", "family" : "Nafa", "given" : "Khedoudja", "non-dropping-particle" : "", "parse-names" : false, "suffix" : "" }, { "dropping-particle" : "", "family" : "Lerman", "given" : "Gabriel S.", "non-dropping-particle" : "", "parse-names" : false, "suffix" : "" }, { "dropping-particle" : "", "family" : "Glogowski", "given" : "Emily", "non-dropping-particle" : "", "parse-names" : false, "suffix" : "" }, { "dropping-particle" : "", "family" : "Shia", "given" : "Jinru", "non-dropping-particle" : "", "parse-names" : false, "suffix" : "" }, { "dropping-particle" : "", "family" : "Ye", "given" : "Tian Z.", "non-dropping-particle" : "", "parse-names" : false, "suffix" : "" }, { "dropping-particle" : "", "family" : "Markowitz", "given" : "Arnold J.", "non-dropping-particle" : "", "parse-names" : false, "suffix" : "" }, { "dropping-particle" : "", "family" : "Guillem", "given" : "Jos\u00e9 G.", "non-dropping-particle" : "", "parse-names" : false, "suffix" : "" }, { "dropping-particle" : "", "family" : "Kolachana", "given" : "Prema", "non-dropping-particle" : "", "parse-names" : false, "suffix" : "" }, { "dropping-particle" : "", "family" : "Boyd", "given" : "Jeffrey A.", "non-dropping-particle" : "", "parse-names" : false, "suffix" : "" }, { "dropping-particle" : "", "family" : "Offit", "given" : "Kenneth", "non-dropping-particle" : "", "parse-names" : false, "suffix" : "" }, { "dropping-particle" : "", "family" : "Ellis", "given" : "Nathan A.", "non-dropping-particle" : "", "parse-names" : false, "suffix" : "" } ], "container-title" : "International Journal of Cancer", "id" : "ITEM-1", "issue" : "4", "issued" : { "date-parts" : [ [ "2003" ] ] }, "page" : "571-579", "title" : "MSH6 germline mutations are rare in colorectal cancer families", "type" : "article-journal", "volume" : "107" }, "uris" : [ "http://www.mendeley.com/documents/?uuid=708b1e4e-e1f4-409c-b6b4-5e3b6df098f9" ] } ], "mendeley" : { "formattedCitation" : "(8)", "plainTextFormattedCitation" : "(8)", "previouslyFormattedCitation" : "(Peterlongo et al. 2003)"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34</w:t>
            </w:r>
            <w:r>
              <w:rPr>
                <w:rFonts w:ascii="Arial" w:hAnsi="Arial" w:cs="Arial"/>
                <w:sz w:val="18"/>
                <w:szCs w:val="16"/>
              </w:rPr>
              <w:fldChar w:fldCharType="end"/>
            </w:r>
            <w:r w:rsidR="00DB4700">
              <w:rPr>
                <w:rFonts w:ascii="Arial" w:hAnsi="Arial" w:cs="Arial"/>
                <w:sz w:val="18"/>
                <w:szCs w:val="16"/>
              </w:rPr>
              <w:t>]</w:t>
            </w:r>
          </w:p>
        </w:tc>
        <w:tc>
          <w:tcPr>
            <w:tcW w:w="993" w:type="dxa"/>
          </w:tcPr>
          <w:p w14:paraId="659EDF6B"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2</w:t>
            </w:r>
          </w:p>
        </w:tc>
        <w:tc>
          <w:tcPr>
            <w:tcW w:w="1134" w:type="dxa"/>
            <w:shd w:val="clear" w:color="auto" w:fill="auto"/>
          </w:tcPr>
          <w:p w14:paraId="1AEDF838"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365848D9" w14:textId="77777777" w:rsidR="00356B88" w:rsidRPr="00083E82" w:rsidRDefault="00356B88" w:rsidP="000A3AB2">
            <w:pPr>
              <w:rPr>
                <w:rFonts w:ascii="Arial" w:hAnsi="Arial" w:cs="Arial"/>
                <w:sz w:val="18"/>
                <w:szCs w:val="16"/>
              </w:rPr>
            </w:pPr>
            <w:r>
              <w:rPr>
                <w:rFonts w:ascii="Arial" w:hAnsi="Arial" w:cs="Arial"/>
                <w:sz w:val="18"/>
                <w:szCs w:val="16"/>
              </w:rPr>
              <w:t>Not Pathogenic</w:t>
            </w:r>
          </w:p>
        </w:tc>
      </w:tr>
      <w:tr w:rsidR="00356B88" w:rsidRPr="00E73277" w14:paraId="5C73D901" w14:textId="77777777" w:rsidTr="000A3AB2">
        <w:trPr>
          <w:trHeight w:val="674"/>
        </w:trPr>
        <w:tc>
          <w:tcPr>
            <w:tcW w:w="959" w:type="dxa"/>
            <w:shd w:val="clear" w:color="auto" w:fill="auto"/>
          </w:tcPr>
          <w:p w14:paraId="43EC4A3D"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Y556F</w:t>
            </w:r>
          </w:p>
        </w:tc>
        <w:tc>
          <w:tcPr>
            <w:tcW w:w="1276" w:type="dxa"/>
            <w:shd w:val="clear" w:color="auto" w:fill="auto"/>
          </w:tcPr>
          <w:p w14:paraId="5AE8DE80"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EC 50 yrs</w:t>
            </w:r>
          </w:p>
        </w:tc>
        <w:tc>
          <w:tcPr>
            <w:tcW w:w="850" w:type="dxa"/>
            <w:shd w:val="clear" w:color="auto" w:fill="auto"/>
          </w:tcPr>
          <w:p w14:paraId="32ACB442" w14:textId="77777777" w:rsidR="00356B88" w:rsidRPr="00083E82" w:rsidRDefault="00356B88" w:rsidP="000A3AB2">
            <w:pPr>
              <w:autoSpaceDE w:val="0"/>
              <w:autoSpaceDN w:val="0"/>
              <w:adjustRightInd w:val="0"/>
              <w:rPr>
                <w:rFonts w:ascii="Arial" w:hAnsi="Arial" w:cs="Arial"/>
                <w:sz w:val="18"/>
                <w:szCs w:val="16"/>
                <w:lang w:val="nl-NL"/>
              </w:rPr>
            </w:pPr>
          </w:p>
        </w:tc>
        <w:tc>
          <w:tcPr>
            <w:tcW w:w="1133" w:type="dxa"/>
            <w:shd w:val="clear" w:color="auto" w:fill="auto"/>
          </w:tcPr>
          <w:p w14:paraId="268C2710" w14:textId="77777777" w:rsidR="00356B88" w:rsidRPr="00083E82" w:rsidRDefault="00356B88" w:rsidP="000A3AB2">
            <w:pPr>
              <w:autoSpaceDE w:val="0"/>
              <w:autoSpaceDN w:val="0"/>
              <w:adjustRightInd w:val="0"/>
              <w:rPr>
                <w:rFonts w:ascii="Arial" w:hAnsi="Arial" w:cs="Arial"/>
                <w:sz w:val="18"/>
                <w:szCs w:val="16"/>
                <w:lang w:val="nl-NL"/>
              </w:rPr>
            </w:pPr>
          </w:p>
        </w:tc>
        <w:tc>
          <w:tcPr>
            <w:tcW w:w="1986" w:type="dxa"/>
            <w:shd w:val="clear" w:color="auto" w:fill="auto"/>
          </w:tcPr>
          <w:p w14:paraId="69C3578B" w14:textId="77777777" w:rsidR="00356B88" w:rsidRPr="00083E82" w:rsidRDefault="00356B88" w:rsidP="000A3AB2">
            <w:pPr>
              <w:autoSpaceDE w:val="0"/>
              <w:autoSpaceDN w:val="0"/>
              <w:adjustRightInd w:val="0"/>
              <w:rPr>
                <w:rFonts w:ascii="Arial" w:hAnsi="Arial" w:cs="Arial"/>
                <w:sz w:val="18"/>
                <w:szCs w:val="16"/>
                <w:lang w:val="nl-NL"/>
              </w:rPr>
            </w:pPr>
          </w:p>
        </w:tc>
        <w:tc>
          <w:tcPr>
            <w:tcW w:w="1275" w:type="dxa"/>
          </w:tcPr>
          <w:p w14:paraId="06025B52"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Amsterdam I &amp; II</w:t>
            </w:r>
          </w:p>
        </w:tc>
        <w:tc>
          <w:tcPr>
            <w:tcW w:w="2268" w:type="dxa"/>
          </w:tcPr>
          <w:p w14:paraId="23761AE1" w14:textId="77777777" w:rsidR="00356B88" w:rsidRDefault="00356B88" w:rsidP="000A3AB2">
            <w:pPr>
              <w:autoSpaceDE w:val="0"/>
              <w:autoSpaceDN w:val="0"/>
              <w:adjustRightInd w:val="0"/>
              <w:rPr>
                <w:rFonts w:ascii="Arial" w:hAnsi="Arial" w:cs="Arial"/>
                <w:sz w:val="18"/>
                <w:szCs w:val="16"/>
                <w:lang w:val="nl-NL"/>
              </w:rPr>
            </w:pPr>
            <w:r w:rsidRPr="00481F78">
              <w:rPr>
                <w:rFonts w:ascii="Wingdings" w:hAnsi="Wingdings"/>
                <w:color w:val="000000"/>
                <w:sz w:val="18"/>
                <w:szCs w:val="18"/>
              </w:rPr>
              <w:t></w:t>
            </w:r>
            <w:r>
              <w:rPr>
                <w:rFonts w:ascii="Arial" w:hAnsi="Arial" w:cs="Arial"/>
                <w:sz w:val="18"/>
                <w:szCs w:val="16"/>
                <w:lang w:val="nl-NL"/>
              </w:rPr>
              <w:t>Relative with same mutation developed CRC 50 yrs</w:t>
            </w:r>
          </w:p>
          <w:p w14:paraId="04F1E529" w14:textId="77777777" w:rsidR="00356B88" w:rsidRPr="00083E82" w:rsidRDefault="00356B88" w:rsidP="000A3AB2">
            <w:pPr>
              <w:autoSpaceDE w:val="0"/>
              <w:autoSpaceDN w:val="0"/>
              <w:adjustRightInd w:val="0"/>
              <w:rPr>
                <w:rFonts w:ascii="Arial" w:hAnsi="Arial" w:cs="Arial"/>
                <w:sz w:val="18"/>
                <w:szCs w:val="16"/>
                <w:lang w:val="nl-NL"/>
              </w:rPr>
            </w:pPr>
            <w:r w:rsidRPr="00481F78">
              <w:rPr>
                <w:rFonts w:ascii="Wingdings" w:hAnsi="Wingdings"/>
                <w:color w:val="000000"/>
                <w:sz w:val="18"/>
                <w:szCs w:val="18"/>
              </w:rPr>
              <w:t></w:t>
            </w:r>
            <w:r>
              <w:rPr>
                <w:rFonts w:ascii="Arial" w:hAnsi="Arial" w:cs="Arial"/>
                <w:sz w:val="18"/>
                <w:szCs w:val="16"/>
                <w:lang w:val="nl-NL"/>
              </w:rPr>
              <w:t>Three other relatives did not carry mutation but respectively developed CRC 43 yrs, CRC 42 yrs, Stomach cancer 29 yrs</w:t>
            </w:r>
          </w:p>
        </w:tc>
        <w:tc>
          <w:tcPr>
            <w:tcW w:w="1134" w:type="dxa"/>
            <w:shd w:val="clear" w:color="auto" w:fill="auto"/>
          </w:tcPr>
          <w:p w14:paraId="4EF10AF1" w14:textId="1AA45493" w:rsidR="00356B88" w:rsidRPr="00083E82" w:rsidRDefault="00356B88" w:rsidP="00DB4700">
            <w:pPr>
              <w:autoSpaceDE w:val="0"/>
              <w:autoSpaceDN w:val="0"/>
              <w:adjustRightInd w:val="0"/>
              <w:rPr>
                <w:rFonts w:ascii="Arial" w:hAnsi="Arial" w:cs="Arial"/>
                <w:sz w:val="18"/>
                <w:szCs w:val="16"/>
                <w:lang w:val="nl-NL"/>
              </w:rPr>
            </w:pPr>
            <w:r>
              <w:rPr>
                <w:rFonts w:ascii="Arial" w:hAnsi="Arial" w:cs="Arial"/>
                <w:sz w:val="18"/>
                <w:szCs w:val="16"/>
                <w:lang w:val="nl-NL"/>
              </w:rPr>
              <w:fldChar w:fldCharType="begin" w:fldLock="1"/>
            </w:r>
            <w:r>
              <w:rPr>
                <w:rFonts w:ascii="Arial" w:hAnsi="Arial" w:cs="Arial"/>
                <w:sz w:val="18"/>
                <w:szCs w:val="16"/>
                <w:lang w:val="nl-NL"/>
              </w:rPr>
              <w:instrText>ADDIN CSL_CITATION { "citationItems" : [ { "id" : "ITEM-1", "itemData" : { "DOI" : "10.1038/13773", "ISBN" : "1061-4036 (Print)\\r1061-4036 (Linking)", "ISSN" : "1061-4036", "PMID" : "10508506", "author" : [ { "dropping-particle" : "", "family" : "Wijnen", "given" : "J", "non-dropping-particle" : "", "parse-names" : false, "suffix" : "" }, { "dropping-particle" : "", "family" : "Leeuw", "given" : "W", "non-dropping-particle" : "de", "parse-names" : false, "suffix" : "" }, { "dropping-particle" : "", "family" : "Vasen", "given" : "H", "non-dropping-particle" : "", "parse-names" : false, "suffix" : "" }, { "dropping-particle" : "", "family" : "Klift", "given" : "H", "non-dropping-particle" : "van der", "parse-names" : false, "suffix" : "" }, { "dropping-particle" : "", "family" : "M\u00f8ller", "given" : "P", "non-dropping-particle" : "", "parse-names" : false, "suffix" : "" }, { "dropping-particle" : "", "family" : "Stormorken", "given" : "a", "non-dropping-particle" : "", "parse-names" : false, "suffix" : "" }, { "dropping-particle" : "", "family" : "Meijers-Heijboer", "given" : "H", "non-dropping-particle" : "", "parse-names" : false, "suffix" : "" }, { "dropping-particle" : "", "family" : "Lindhout", "given" : "D", "non-dropping-particle" : "", "parse-names" : false, "suffix" : "" }, { "dropping-particle" : "", "family" : "Menko", "given" : "F", "non-dropping-particle" : "", "parse-names" : false, "suffix" : "" }, { "dropping-particle" : "", "family" : "Vossen", "given" : "S", "non-dropping-particle" : "", "parse-names" : false, "suffix" : "" }, { "dropping-particle" : "", "family" : "M\u00f6slein", "given" : "G", "non-dropping-particle" : "", "parse-names" : false, "suffix" : "" }, { "dropping-particle" : "", "family" : "Tops", "given" : "C", "non-dropping-particle" : "", "parse-names" : false, "suffix" : "" }, { "dropping-particle" : "", "family" : "Br\u00f6cker-Vriends", "given" : "a", "non-dropping-particle" : "", "parse-names" : false, "suffix" : "" }, { "dropping-particle" : "", "family" : "Wu", "given" : "Y", "non-dropping-particle" : "", "parse-names" : false, "suffix" : "" }, { "dropping-particle" : "", "family" : "Hofstra", "given" : "R", "non-dropping-particle" : "", "parse-names" : false, "suffix" : "" }, { "dropping-particle" : "", "family" : "Sijmons", "given" : "R", "non-dropping-particle" : "", "parse-names" : false, "suffix" : "" }, { "dropping-particle" : "", "family" : "Cornelisse", "given" : "C", "non-dropping-particle" : "", "parse-names" : false, "suffix" : "" }, { "dropping-particle" : "", "family" : "Morreau", "given" : "H", "non-dropping-particle" : "", "parse-names" : false, "suffix" : "" }, { "dropping-particle" : "", "family" : "Fodde", "given" : "R", "non-dropping-particle" : "", "parse-names" : false, "suffix" : "" } ], "container-title" : "Nature genetics", "id" : "ITEM-1", "issue" : "2", "issued" : { "date-parts" : [ [ "1999" ] ] }, "page" : "142-144", "title" : "Familial endometrial cancer in female carriers of MSH6 germline mutations.", "type" : "article-journal", "volume" : "23" }, "uris" : [ "http://www.mendeley.com/documents/?uuid=53471e14-4158-4580-9630-fa3c887dffd9" ] } ], "mendeley" : { "formattedCitation" : "(9)", "plainTextFormattedCitation" : "(9)", "previouslyFormattedCitation" : "(Wijnen et al. 1999)" }, "properties" : { "noteIndex" : 0 }, "schema" : "https://github.com/citation-style-language/schema/raw/master/csl-citation.json" }</w:instrText>
            </w:r>
            <w:r>
              <w:rPr>
                <w:rFonts w:ascii="Arial" w:hAnsi="Arial" w:cs="Arial"/>
                <w:sz w:val="18"/>
                <w:szCs w:val="16"/>
                <w:lang w:val="nl-NL"/>
              </w:rPr>
              <w:fldChar w:fldCharType="separate"/>
            </w:r>
            <w:r w:rsidR="00DB4700">
              <w:rPr>
                <w:rFonts w:ascii="Arial" w:hAnsi="Arial" w:cs="Arial"/>
                <w:noProof/>
                <w:sz w:val="18"/>
                <w:szCs w:val="16"/>
                <w:lang w:val="nl-NL"/>
              </w:rPr>
              <w:t>[</w:t>
            </w:r>
            <w:r w:rsidR="00C91DF8">
              <w:rPr>
                <w:rFonts w:ascii="Arial" w:hAnsi="Arial" w:cs="Arial"/>
                <w:noProof/>
                <w:sz w:val="18"/>
                <w:szCs w:val="16"/>
                <w:lang w:val="nl-NL"/>
              </w:rPr>
              <w:t>35</w:t>
            </w:r>
            <w:r>
              <w:rPr>
                <w:rFonts w:ascii="Arial" w:hAnsi="Arial" w:cs="Arial"/>
                <w:sz w:val="18"/>
                <w:szCs w:val="16"/>
                <w:lang w:val="nl-NL"/>
              </w:rPr>
              <w:fldChar w:fldCharType="end"/>
            </w:r>
            <w:r w:rsidR="00DB4700">
              <w:rPr>
                <w:rFonts w:ascii="Arial" w:hAnsi="Arial" w:cs="Arial"/>
                <w:sz w:val="18"/>
                <w:szCs w:val="16"/>
                <w:lang w:val="nl-NL"/>
              </w:rPr>
              <w:t>]</w:t>
            </w:r>
          </w:p>
        </w:tc>
        <w:tc>
          <w:tcPr>
            <w:tcW w:w="993" w:type="dxa"/>
          </w:tcPr>
          <w:p w14:paraId="103DB079"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nl-NL"/>
              </w:rPr>
              <w:t>2</w:t>
            </w:r>
          </w:p>
        </w:tc>
        <w:tc>
          <w:tcPr>
            <w:tcW w:w="1134" w:type="dxa"/>
            <w:shd w:val="clear" w:color="auto" w:fill="auto"/>
          </w:tcPr>
          <w:p w14:paraId="29A7BB2B"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Possibly damaging</w:t>
            </w:r>
          </w:p>
        </w:tc>
        <w:tc>
          <w:tcPr>
            <w:tcW w:w="1134" w:type="dxa"/>
          </w:tcPr>
          <w:p w14:paraId="22C436B7" w14:textId="77777777" w:rsidR="00356B88" w:rsidRPr="00083E82" w:rsidRDefault="00356B88" w:rsidP="000A3AB2">
            <w:pPr>
              <w:rPr>
                <w:rFonts w:ascii="Arial" w:hAnsi="Arial" w:cs="Arial"/>
                <w:sz w:val="18"/>
                <w:szCs w:val="16"/>
                <w:lang w:val="nl-NL"/>
              </w:rPr>
            </w:pPr>
            <w:r>
              <w:rPr>
                <w:rFonts w:ascii="Arial" w:hAnsi="Arial" w:cs="Arial"/>
                <w:sz w:val="18"/>
                <w:szCs w:val="16"/>
              </w:rPr>
              <w:t>Not Pathogenic</w:t>
            </w:r>
          </w:p>
        </w:tc>
      </w:tr>
      <w:tr w:rsidR="00356B88" w:rsidRPr="00E73277" w14:paraId="1B39B23F" w14:textId="77777777" w:rsidTr="000A3AB2">
        <w:trPr>
          <w:trHeight w:val="510"/>
        </w:trPr>
        <w:tc>
          <w:tcPr>
            <w:tcW w:w="959" w:type="dxa"/>
            <w:shd w:val="clear" w:color="auto" w:fill="auto"/>
          </w:tcPr>
          <w:p w14:paraId="6358E2FD"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G566R</w:t>
            </w:r>
          </w:p>
        </w:tc>
        <w:tc>
          <w:tcPr>
            <w:tcW w:w="1276" w:type="dxa"/>
            <w:shd w:val="clear" w:color="auto" w:fill="auto"/>
          </w:tcPr>
          <w:p w14:paraId="6408E5C4"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62 yrs</w:t>
            </w:r>
          </w:p>
        </w:tc>
        <w:tc>
          <w:tcPr>
            <w:tcW w:w="850" w:type="dxa"/>
            <w:shd w:val="clear" w:color="auto" w:fill="auto"/>
          </w:tcPr>
          <w:p w14:paraId="4463729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MSI-H</w:t>
            </w:r>
          </w:p>
        </w:tc>
        <w:tc>
          <w:tcPr>
            <w:tcW w:w="1133" w:type="dxa"/>
            <w:shd w:val="clear" w:color="auto" w:fill="auto"/>
          </w:tcPr>
          <w:p w14:paraId="362FAAED"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5DBD160B" w14:textId="77777777" w:rsidR="00356B88" w:rsidRPr="00083E82" w:rsidRDefault="00356B88" w:rsidP="000A3AB2">
            <w:pPr>
              <w:autoSpaceDE w:val="0"/>
              <w:autoSpaceDN w:val="0"/>
              <w:adjustRightInd w:val="0"/>
              <w:rPr>
                <w:rFonts w:ascii="Arial" w:hAnsi="Arial" w:cs="Arial"/>
                <w:sz w:val="18"/>
                <w:szCs w:val="16"/>
              </w:rPr>
            </w:pPr>
            <w:r w:rsidRPr="00083E82">
              <w:rPr>
                <w:rFonts w:ascii="Arial" w:hAnsi="Arial" w:cs="Arial"/>
                <w:sz w:val="18"/>
                <w:szCs w:val="16"/>
              </w:rPr>
              <w:t>L</w:t>
            </w:r>
            <w:r>
              <w:rPr>
                <w:rFonts w:ascii="Arial" w:hAnsi="Arial" w:cs="Arial"/>
                <w:sz w:val="18"/>
                <w:szCs w:val="16"/>
              </w:rPr>
              <w:t xml:space="preserve">oss of </w:t>
            </w:r>
            <w:r w:rsidRPr="005B2E57">
              <w:rPr>
                <w:rFonts w:ascii="Arial" w:hAnsi="Arial" w:cs="Arial"/>
                <w:i/>
                <w:sz w:val="18"/>
                <w:szCs w:val="16"/>
              </w:rPr>
              <w:t>MSH6</w:t>
            </w:r>
            <w:r>
              <w:rPr>
                <w:rFonts w:ascii="Arial" w:hAnsi="Arial" w:cs="Arial"/>
                <w:sz w:val="18"/>
                <w:szCs w:val="16"/>
              </w:rPr>
              <w:t xml:space="preserve"> heterozygosity</w:t>
            </w:r>
            <w:r w:rsidRPr="00083E82">
              <w:rPr>
                <w:rFonts w:ascii="Arial" w:hAnsi="Arial" w:cs="Arial"/>
                <w:sz w:val="18"/>
                <w:szCs w:val="16"/>
              </w:rPr>
              <w:t xml:space="preserve"> in tumor</w:t>
            </w:r>
          </w:p>
        </w:tc>
        <w:tc>
          <w:tcPr>
            <w:tcW w:w="1275" w:type="dxa"/>
          </w:tcPr>
          <w:p w14:paraId="3A039CEE"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No</w:t>
            </w:r>
          </w:p>
        </w:tc>
        <w:tc>
          <w:tcPr>
            <w:tcW w:w="2268" w:type="dxa"/>
          </w:tcPr>
          <w:p w14:paraId="37A836BF"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Sister CRC 73 yrs</w:t>
            </w:r>
          </w:p>
        </w:tc>
        <w:tc>
          <w:tcPr>
            <w:tcW w:w="1134" w:type="dxa"/>
            <w:shd w:val="clear" w:color="auto" w:fill="auto"/>
          </w:tcPr>
          <w:p w14:paraId="4B490086" w14:textId="75DBE34B" w:rsidR="00356B88" w:rsidRPr="00083E82"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"author" : [ { "dropping-particle" : "", "family" : "Kolodner", "given" : "Richard D", "non-dropping-particle" : "", "parse-names" : false, "suffix" : "" }, { "dropping-particle" : "", "family" : "Tytell", "given" : "Jessica D", "non-dropping-particle" : "", "parse-names" : false, "suffix" : "" }, { "dropping-particle" : "", "family" : "Schmeits", "given" : "James L", "non-dropping-particle" : "", "parse-names" : false, "suffix" : "" }, { "dropping-particle" : "", "family" : "Kane", "given" : "Michael F", "non-dropping-particle" : "", "parse-names" : false, "suffix" : "" }, { "dropping-particle" : "Das", "family" : "Gupta", "given" : "Ruchira", "non-dropping-particle" : "", "parse-names" : false, "suffix" : "" }, { "dropping-particle" : "", "family" : "Weger", "given" : "John", "non-dropping-particle" : "", "parse-names" : false, "suffix" : "" }, { "dropping-particle" : "", "family" : "Wahlberg", "given" : "Siobhan", "non-dropping-particle" : "", "parse-names" : false, "suffix" : "" }, { "dropping-particle" : "", "family" : "Fox", "given" : "Edward A", "non-dropping-particle" : "", "parse-names" : false, "suffix" : "" }, { "dropping-particle" : "", "family" : "Peel", "given" : "David", "non-dropping-particle" : "", "parse-names" : false, "suffix" : "" }, { "dropping-particle" : "", "family" : "Ziogas", "given" : "Argyrios", "non-dropping-particle" : "", "parse-names" : false, "suffix" : "" }, { "dropping-particle" : "", "family" : "Garber", "given" : "Judy E", "non-dropping-particle" : "", "parse-names" : false, "suffix" : "" }, { "dropping-particle" : "", "family" : "Syngal", "given" : "Sapna", "non-dropping-particle" : "", "parse-names" : false, "suffix" : "" }, { "dropping-particle" : "", "family" : "Anton-culver", "given" : "Hoda", "non-dropping-particle" : "", "parse-names" : false, "suffix" : "" }, { "dropping-particle" : "", "family" : "Li", "given" : "Frederick P", "non-dropping-particle" : "", "parse-names" : false, "suffix" : "" } ], "id" : "ITEM-1", "issued" : { "date-parts" : [ [ "1999" ] ] }, "page" : "5068-5074", "title" : "Germ-line msh6 Mutations in Colorectal Cancer Families Germ-line msh6 Mutations in Colorectal Cancer Families 1", "type" : "article-journal" }, "uris" : [ "http://www.mendeley.com/documents/?uuid=9fef1edc-c655-446d-9251-d927f75df283" ] } ], "mendeley" : { "formattedCitation" : "(3)", "plainTextFormattedCitation" : "(3)", "previouslyFormattedCitation" : "(Kolodner et al. 1999)"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29</w:t>
            </w:r>
            <w:r>
              <w:rPr>
                <w:rFonts w:ascii="Arial" w:hAnsi="Arial" w:cs="Arial"/>
                <w:sz w:val="18"/>
                <w:szCs w:val="16"/>
              </w:rPr>
              <w:fldChar w:fldCharType="end"/>
            </w:r>
            <w:r w:rsidR="00DB4700">
              <w:rPr>
                <w:rFonts w:ascii="Arial" w:hAnsi="Arial" w:cs="Arial"/>
                <w:sz w:val="18"/>
                <w:szCs w:val="16"/>
              </w:rPr>
              <w:t>]</w:t>
            </w:r>
          </w:p>
        </w:tc>
        <w:tc>
          <w:tcPr>
            <w:tcW w:w="993" w:type="dxa"/>
          </w:tcPr>
          <w:p w14:paraId="4AA5E4ED"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594C468A"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5E3B124B" w14:textId="77777777" w:rsidR="00356B88" w:rsidRPr="00083E82" w:rsidRDefault="00356B88" w:rsidP="000A3AB2">
            <w:pPr>
              <w:rPr>
                <w:rFonts w:ascii="Arial" w:hAnsi="Arial" w:cs="Arial"/>
                <w:sz w:val="18"/>
                <w:szCs w:val="16"/>
              </w:rPr>
            </w:pPr>
            <w:r>
              <w:rPr>
                <w:rFonts w:ascii="Arial" w:hAnsi="Arial" w:cs="Arial"/>
                <w:sz w:val="18"/>
                <w:szCs w:val="16"/>
              </w:rPr>
              <w:t>Not Pathogenic</w:t>
            </w:r>
          </w:p>
        </w:tc>
      </w:tr>
      <w:tr w:rsidR="00356B88" w:rsidRPr="00AF5EAC" w14:paraId="4E24D758" w14:textId="77777777" w:rsidTr="000A3AB2">
        <w:trPr>
          <w:trHeight w:val="423"/>
        </w:trPr>
        <w:tc>
          <w:tcPr>
            <w:tcW w:w="959" w:type="dxa"/>
            <w:shd w:val="clear" w:color="auto" w:fill="auto"/>
          </w:tcPr>
          <w:p w14:paraId="0F77DD0D"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P623A</w:t>
            </w:r>
          </w:p>
        </w:tc>
        <w:tc>
          <w:tcPr>
            <w:tcW w:w="1276" w:type="dxa"/>
            <w:shd w:val="clear" w:color="auto" w:fill="auto"/>
          </w:tcPr>
          <w:p w14:paraId="0467FE1D" w14:textId="77777777" w:rsidR="00356B88" w:rsidRDefault="00356B88" w:rsidP="000A3AB2">
            <w:pPr>
              <w:autoSpaceDE w:val="0"/>
              <w:autoSpaceDN w:val="0"/>
              <w:adjustRightInd w:val="0"/>
              <w:rPr>
                <w:rFonts w:ascii="Arial" w:hAnsi="Arial" w:cs="Arial"/>
                <w:sz w:val="18"/>
                <w:szCs w:val="16"/>
              </w:rPr>
            </w:pPr>
          </w:p>
        </w:tc>
        <w:tc>
          <w:tcPr>
            <w:tcW w:w="850" w:type="dxa"/>
            <w:shd w:val="clear" w:color="auto" w:fill="auto"/>
          </w:tcPr>
          <w:p w14:paraId="248C4F77"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35D15329"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3A7017F3" w14:textId="77777777" w:rsidR="00356B88" w:rsidRPr="00083E82" w:rsidRDefault="00356B88" w:rsidP="000A3AB2">
            <w:pPr>
              <w:autoSpaceDE w:val="0"/>
              <w:autoSpaceDN w:val="0"/>
              <w:adjustRightInd w:val="0"/>
              <w:rPr>
                <w:rFonts w:ascii="Arial" w:hAnsi="Arial" w:cs="Arial"/>
                <w:sz w:val="18"/>
                <w:szCs w:val="16"/>
                <w:lang w:val="nl-NL"/>
              </w:rPr>
            </w:pPr>
          </w:p>
        </w:tc>
        <w:tc>
          <w:tcPr>
            <w:tcW w:w="1275" w:type="dxa"/>
          </w:tcPr>
          <w:p w14:paraId="795386C3"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1465DD9B" w14:textId="77777777" w:rsidR="00356B88" w:rsidRDefault="00356B88" w:rsidP="000A3AB2">
            <w:pPr>
              <w:autoSpaceDE w:val="0"/>
              <w:autoSpaceDN w:val="0"/>
              <w:adjustRightInd w:val="0"/>
              <w:rPr>
                <w:rFonts w:ascii="Arial" w:hAnsi="Arial" w:cs="Arial"/>
                <w:sz w:val="18"/>
                <w:szCs w:val="16"/>
                <w:lang w:val="nl-NL"/>
              </w:rPr>
            </w:pPr>
          </w:p>
        </w:tc>
        <w:tc>
          <w:tcPr>
            <w:tcW w:w="1134" w:type="dxa"/>
            <w:shd w:val="clear" w:color="auto" w:fill="auto"/>
          </w:tcPr>
          <w:p w14:paraId="22F3330A" w14:textId="77777777" w:rsidR="00356B88" w:rsidRDefault="00356B88" w:rsidP="000A3AB2">
            <w:pPr>
              <w:autoSpaceDE w:val="0"/>
              <w:autoSpaceDN w:val="0"/>
              <w:adjustRightInd w:val="0"/>
              <w:rPr>
                <w:rFonts w:ascii="Arial" w:hAnsi="Arial" w:cs="Arial"/>
                <w:sz w:val="18"/>
                <w:szCs w:val="16"/>
                <w:lang w:val="nl-NL"/>
              </w:rPr>
            </w:pPr>
          </w:p>
        </w:tc>
        <w:tc>
          <w:tcPr>
            <w:tcW w:w="993" w:type="dxa"/>
          </w:tcPr>
          <w:p w14:paraId="66F9D528"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3</w:t>
            </w:r>
          </w:p>
        </w:tc>
        <w:tc>
          <w:tcPr>
            <w:tcW w:w="1134" w:type="dxa"/>
            <w:shd w:val="clear" w:color="auto" w:fill="auto"/>
          </w:tcPr>
          <w:p w14:paraId="19734729"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Benign</w:t>
            </w:r>
          </w:p>
        </w:tc>
        <w:tc>
          <w:tcPr>
            <w:tcW w:w="1134" w:type="dxa"/>
          </w:tcPr>
          <w:p w14:paraId="767DAB62" w14:textId="77777777" w:rsidR="00356B88" w:rsidRPr="00083E82" w:rsidRDefault="00356B88" w:rsidP="000A3AB2">
            <w:pPr>
              <w:rPr>
                <w:rFonts w:ascii="Arial" w:hAnsi="Arial" w:cs="Arial"/>
                <w:sz w:val="18"/>
                <w:szCs w:val="16"/>
              </w:rPr>
            </w:pPr>
            <w:r>
              <w:rPr>
                <w:rFonts w:ascii="Arial" w:hAnsi="Arial" w:cs="Arial"/>
                <w:sz w:val="18"/>
                <w:szCs w:val="16"/>
              </w:rPr>
              <w:t>Not Pathogenic</w:t>
            </w:r>
          </w:p>
        </w:tc>
      </w:tr>
      <w:tr w:rsidR="00356B88" w:rsidRPr="00AF5EAC" w14:paraId="0B096157" w14:textId="77777777" w:rsidTr="000A3AB2">
        <w:trPr>
          <w:trHeight w:val="318"/>
        </w:trPr>
        <w:tc>
          <w:tcPr>
            <w:tcW w:w="959" w:type="dxa"/>
            <w:shd w:val="clear" w:color="auto" w:fill="auto"/>
          </w:tcPr>
          <w:p w14:paraId="766637D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lastRenderedPageBreak/>
              <w:t>S666P</w:t>
            </w:r>
          </w:p>
        </w:tc>
        <w:tc>
          <w:tcPr>
            <w:tcW w:w="1276" w:type="dxa"/>
            <w:shd w:val="clear" w:color="auto" w:fill="auto"/>
          </w:tcPr>
          <w:p w14:paraId="4A790A0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39 yrs</w:t>
            </w:r>
          </w:p>
        </w:tc>
        <w:tc>
          <w:tcPr>
            <w:tcW w:w="850" w:type="dxa"/>
            <w:shd w:val="clear" w:color="auto" w:fill="auto"/>
          </w:tcPr>
          <w:p w14:paraId="208256A2"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43423F25"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5F7D546B" w14:textId="77777777" w:rsidR="00356B88" w:rsidRPr="00083E82" w:rsidRDefault="00356B88" w:rsidP="000A3AB2">
            <w:pPr>
              <w:autoSpaceDE w:val="0"/>
              <w:autoSpaceDN w:val="0"/>
              <w:adjustRightInd w:val="0"/>
              <w:rPr>
                <w:rFonts w:ascii="Arial" w:hAnsi="Arial" w:cs="Arial"/>
                <w:sz w:val="18"/>
                <w:szCs w:val="16"/>
                <w:lang w:val="nl-NL"/>
              </w:rPr>
            </w:pPr>
          </w:p>
        </w:tc>
        <w:tc>
          <w:tcPr>
            <w:tcW w:w="1275" w:type="dxa"/>
          </w:tcPr>
          <w:p w14:paraId="661C6EE0"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Bethesda</w:t>
            </w:r>
          </w:p>
        </w:tc>
        <w:tc>
          <w:tcPr>
            <w:tcW w:w="2268" w:type="dxa"/>
          </w:tcPr>
          <w:p w14:paraId="6BD677B1" w14:textId="77777777" w:rsidR="00356B88" w:rsidRDefault="00356B88" w:rsidP="000A3AB2">
            <w:pPr>
              <w:autoSpaceDE w:val="0"/>
              <w:autoSpaceDN w:val="0"/>
              <w:adjustRightInd w:val="0"/>
              <w:rPr>
                <w:rFonts w:ascii="Arial" w:hAnsi="Arial" w:cs="Arial"/>
                <w:sz w:val="18"/>
                <w:szCs w:val="16"/>
                <w:lang w:val="nl-NL"/>
              </w:rPr>
            </w:pPr>
          </w:p>
        </w:tc>
        <w:tc>
          <w:tcPr>
            <w:tcW w:w="1134" w:type="dxa"/>
            <w:shd w:val="clear" w:color="auto" w:fill="auto"/>
          </w:tcPr>
          <w:p w14:paraId="1DBAA5DB" w14:textId="59EDAFE2" w:rsidR="00356B88" w:rsidRPr="00083E82" w:rsidRDefault="00356B88" w:rsidP="00DB4700">
            <w:pPr>
              <w:autoSpaceDE w:val="0"/>
              <w:autoSpaceDN w:val="0"/>
              <w:adjustRightInd w:val="0"/>
              <w:rPr>
                <w:rFonts w:ascii="Arial" w:hAnsi="Arial" w:cs="Arial"/>
                <w:sz w:val="18"/>
                <w:szCs w:val="16"/>
                <w:lang w:val="nl-NL"/>
              </w:rPr>
            </w:pPr>
            <w:r>
              <w:rPr>
                <w:rFonts w:ascii="Arial" w:hAnsi="Arial" w:cs="Arial"/>
                <w:sz w:val="18"/>
                <w:szCs w:val="16"/>
                <w:lang w:val="nl-NL"/>
              </w:rPr>
              <w:fldChar w:fldCharType="begin" w:fldLock="1"/>
            </w:r>
            <w:r>
              <w:rPr>
                <w:rFonts w:ascii="Arial" w:hAnsi="Arial" w:cs="Arial"/>
                <w:sz w:val="18"/>
                <w:szCs w:val="16"/>
                <w:lang w:val="nl-NL"/>
              </w:rPr>
              <w:instrText>ADDIN CSL_CITATION { "citationItems" : [ { "id" : "ITEM-1", "itemData" : { "ISBN" : "1007-9327 (Print)\\r1007-9327 (Linking)", "ISSN" : "10079327", "PMID" : "17854147", "abstract" : "AIM: To investigate the germline mutations of MSH6 gene in probands of Chinese hereditary non-polyposis colorectal cancer (HNPCC) families fulfilling different clinical criteria. METHODS: Germline mutations of MSH6 gene were detected by PCR-based DNA sequencing in 39 unrelated HNPCC probands fulfilling different clinical criteria in which MSH2 and MLH1 mutations were excluded. To further investigate the pathological effects of detected missense mutations, we analyzed the above related MSH6 exons using PCR-based sequencing in 137 healthy persons with no family history. The clinicopathological features were collected from the Archive Library of Cancer Hospital, Fudan University and analyzed. RESULTS: Four germline missense mutations distributed in the 4(th), 6(th) and 9(th) exons were observed. Of them, three were not found in international HNPCC databases and did not occur in 137 healthy controls, indicating that they were novel missense mutations. The remaining mutation which is consistent with the case H14 at c.3488A&gt;T of exon 6 of MSH6 gene was also found in the controls, the rate was approximately 3.65% (5/137) and the type of mutation was not found in the international HNPCC mutational and SNP databases, suggesting that this missense mutation was a new SNP unreported up to date. CONCLUSION: Three novel missense mutations and a new SNP observed in the probands of Chinese HNPCC families, may play an important role in the development of HNPCC.", "author" : [ { "dropping-particle" : "", "family" : "Yan", "given" : "Shi Yan", "non-dropping-particle" : "", "parse-names" : false, "suffix" : "" }, { "dropping-particle" : "", "family" : "Zhou", "given" : "Xiao Yan", "non-dropping-particle" : "", "parse-names" : false, "suffix" : "" }, { "dropping-particle" : "", "family" : "Du", "given" : "Xiang", "non-dropping-particle" : "", "parse-names" : false, "suffix" : "" }, { "dropping-particle" : "", "family" : "Zhang", "given" : "Tai Ming", "non-dropping-particle" : "", "parse-names" : false, "suffix" : "" }, { "dropping-particle" : "", "family" : "Lu", "given" : "Yong Ming", "non-dropping-particle" : "", "parse-names" : false, "suffix" : "" }, { "dropping-particle" : "", "family" : "Cai", "given" : "San Jun", "non-dropping-particle" : "", "parse-names" : false, "suffix" : "" }, { "dropping-particle" : "", "family" : "Xu", "given" : "Xiao Li", "non-dropping-particle" : "", "parse-names" : false, "suffix" : "" }, { "dropping-particle" : "", "family" : "Yu", "given" : "Bao Hua", "non-dropping-particle" : "", "parse-names" : false, "suffix" : "" }, { "dropping-particle" : "", "family" : "Zhou", "given" : "Heng Hua", "non-dropping-particle" : "", "parse-names" : false, "suffix" : "" }, { "dropping-particle" : "", "family" : "Shi", "given" : "Da Ren", "non-dropping-particle" : "", "parse-names" : false, "suffix" : "" } ], "container-title" : "World Journal of Gastroenterology", "id" : "ITEM-1", "issue" : "37", "issued" : { "date-parts" : [ [ "2007" ] ] }, "page" : "5021-5024", "title" : "Three novel missense germline mutations in different exons of MSH6 gene in Chinese hereditary non-polyposis colorectal cancer families", "type" : "article-journal", "volume" : "13" }, "uris" : [ "http://www.mendeley.com/documents/?uuid=6b401a56-7704-4b8e-9fba-98c371b9613f" ] } ], "mendeley" : { "formattedCitation" : "(5)", "plainTextFormattedCitation" : "(5)", "previouslyFormattedCitation" : "(Yan et al. 2007)" }, "properties" : { "noteIndex" : 0 }, "schema" : "https://github.com/citation-style-language/schema/raw/master/csl-citation.json" }</w:instrText>
            </w:r>
            <w:r>
              <w:rPr>
                <w:rFonts w:ascii="Arial" w:hAnsi="Arial" w:cs="Arial"/>
                <w:sz w:val="18"/>
                <w:szCs w:val="16"/>
                <w:lang w:val="nl-NL"/>
              </w:rPr>
              <w:fldChar w:fldCharType="separate"/>
            </w:r>
            <w:r w:rsidR="00DB4700">
              <w:rPr>
                <w:rFonts w:ascii="Arial" w:hAnsi="Arial" w:cs="Arial"/>
                <w:noProof/>
                <w:sz w:val="18"/>
                <w:szCs w:val="16"/>
                <w:lang w:val="nl-NL"/>
              </w:rPr>
              <w:t>[</w:t>
            </w:r>
            <w:r w:rsidR="00C91DF8">
              <w:rPr>
                <w:rFonts w:ascii="Arial" w:hAnsi="Arial" w:cs="Arial"/>
                <w:noProof/>
                <w:sz w:val="18"/>
                <w:szCs w:val="16"/>
                <w:lang w:val="nl-NL"/>
              </w:rPr>
              <w:t>31</w:t>
            </w:r>
            <w:r>
              <w:rPr>
                <w:rFonts w:ascii="Arial" w:hAnsi="Arial" w:cs="Arial"/>
                <w:sz w:val="18"/>
                <w:szCs w:val="16"/>
                <w:lang w:val="nl-NL"/>
              </w:rPr>
              <w:fldChar w:fldCharType="end"/>
            </w:r>
            <w:r w:rsidR="00DB4700">
              <w:rPr>
                <w:rFonts w:ascii="Arial" w:hAnsi="Arial" w:cs="Arial"/>
                <w:sz w:val="18"/>
                <w:szCs w:val="16"/>
                <w:lang w:val="nl-NL"/>
              </w:rPr>
              <w:t>]</w:t>
            </w:r>
          </w:p>
        </w:tc>
        <w:tc>
          <w:tcPr>
            <w:tcW w:w="993" w:type="dxa"/>
          </w:tcPr>
          <w:p w14:paraId="1C799369"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7F18D63E"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Possibly damaging</w:t>
            </w:r>
          </w:p>
        </w:tc>
        <w:tc>
          <w:tcPr>
            <w:tcW w:w="1134" w:type="dxa"/>
          </w:tcPr>
          <w:p w14:paraId="76E00414" w14:textId="77777777" w:rsidR="00356B88" w:rsidRPr="00083E82" w:rsidRDefault="00356B88" w:rsidP="000A3AB2">
            <w:pPr>
              <w:rPr>
                <w:rFonts w:ascii="Arial" w:hAnsi="Arial" w:cs="Arial"/>
                <w:sz w:val="18"/>
                <w:szCs w:val="16"/>
              </w:rPr>
            </w:pPr>
            <w:r>
              <w:rPr>
                <w:rFonts w:ascii="Arial" w:hAnsi="Arial" w:cs="Arial"/>
                <w:sz w:val="18"/>
                <w:szCs w:val="16"/>
              </w:rPr>
              <w:t>Not Pathogenic</w:t>
            </w:r>
          </w:p>
        </w:tc>
      </w:tr>
      <w:tr w:rsidR="00356B88" w:rsidRPr="00AF5EAC" w14:paraId="4385D9E8" w14:textId="77777777" w:rsidTr="000A3AB2">
        <w:trPr>
          <w:trHeight w:val="361"/>
        </w:trPr>
        <w:tc>
          <w:tcPr>
            <w:tcW w:w="959" w:type="dxa"/>
            <w:shd w:val="clear" w:color="auto" w:fill="auto"/>
          </w:tcPr>
          <w:p w14:paraId="01E7F3A4"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G686D</w:t>
            </w:r>
          </w:p>
        </w:tc>
        <w:tc>
          <w:tcPr>
            <w:tcW w:w="1276" w:type="dxa"/>
            <w:shd w:val="clear" w:color="auto" w:fill="auto"/>
          </w:tcPr>
          <w:p w14:paraId="3A7A946C" w14:textId="77777777" w:rsidR="00356B88" w:rsidRPr="00083E82" w:rsidRDefault="00356B88" w:rsidP="000A3AB2">
            <w:pPr>
              <w:autoSpaceDE w:val="0"/>
              <w:autoSpaceDN w:val="0"/>
              <w:adjustRightInd w:val="0"/>
              <w:rPr>
                <w:rFonts w:ascii="Arial" w:hAnsi="Arial" w:cs="Arial"/>
                <w:sz w:val="18"/>
                <w:szCs w:val="16"/>
              </w:rPr>
            </w:pPr>
          </w:p>
        </w:tc>
        <w:tc>
          <w:tcPr>
            <w:tcW w:w="850" w:type="dxa"/>
            <w:shd w:val="clear" w:color="auto" w:fill="auto"/>
          </w:tcPr>
          <w:p w14:paraId="0B9CD5C5"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1AC1AB94"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12E00B69"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382268ED"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1B202544"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3B425B06" w14:textId="77777777" w:rsidR="00356B88" w:rsidRPr="00083E82" w:rsidRDefault="00356B88" w:rsidP="000A3AB2">
            <w:pPr>
              <w:autoSpaceDE w:val="0"/>
              <w:autoSpaceDN w:val="0"/>
              <w:adjustRightInd w:val="0"/>
              <w:rPr>
                <w:rFonts w:ascii="Arial" w:hAnsi="Arial" w:cs="Arial"/>
                <w:sz w:val="18"/>
                <w:szCs w:val="16"/>
                <w:lang w:val="nl-NL"/>
              </w:rPr>
            </w:pPr>
          </w:p>
        </w:tc>
        <w:tc>
          <w:tcPr>
            <w:tcW w:w="993" w:type="dxa"/>
          </w:tcPr>
          <w:p w14:paraId="7BAACD4B"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4</w:t>
            </w:r>
          </w:p>
        </w:tc>
        <w:tc>
          <w:tcPr>
            <w:tcW w:w="1134" w:type="dxa"/>
            <w:shd w:val="clear" w:color="auto" w:fill="auto"/>
          </w:tcPr>
          <w:p w14:paraId="6292A77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2F2F4564" w14:textId="77777777" w:rsidR="00356B88" w:rsidRDefault="00356B88" w:rsidP="000A3AB2">
            <w:pPr>
              <w:rPr>
                <w:rFonts w:ascii="Arial" w:hAnsi="Arial" w:cs="Arial"/>
                <w:sz w:val="18"/>
                <w:szCs w:val="16"/>
              </w:rPr>
            </w:pPr>
            <w:r>
              <w:rPr>
                <w:rFonts w:ascii="Arial" w:hAnsi="Arial" w:cs="Arial"/>
                <w:sz w:val="18"/>
                <w:szCs w:val="16"/>
              </w:rPr>
              <w:t>Pathogenic</w:t>
            </w:r>
          </w:p>
        </w:tc>
      </w:tr>
      <w:tr w:rsidR="00356B88" w:rsidRPr="00AF5EAC" w14:paraId="31B595E3" w14:textId="77777777" w:rsidTr="000A3AB2">
        <w:trPr>
          <w:trHeight w:val="353"/>
        </w:trPr>
        <w:tc>
          <w:tcPr>
            <w:tcW w:w="959" w:type="dxa"/>
            <w:shd w:val="clear" w:color="auto" w:fill="auto"/>
          </w:tcPr>
          <w:p w14:paraId="01056530"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E983Q</w:t>
            </w:r>
          </w:p>
        </w:tc>
        <w:tc>
          <w:tcPr>
            <w:tcW w:w="1276" w:type="dxa"/>
            <w:shd w:val="clear" w:color="auto" w:fill="auto"/>
          </w:tcPr>
          <w:p w14:paraId="470795FD" w14:textId="77777777" w:rsidR="00356B88" w:rsidRPr="00083E82" w:rsidRDefault="00356B88" w:rsidP="000A3AB2">
            <w:pPr>
              <w:autoSpaceDE w:val="0"/>
              <w:autoSpaceDN w:val="0"/>
              <w:adjustRightInd w:val="0"/>
              <w:rPr>
                <w:rFonts w:ascii="Arial" w:hAnsi="Arial" w:cs="Arial"/>
                <w:sz w:val="18"/>
                <w:szCs w:val="16"/>
              </w:rPr>
            </w:pPr>
          </w:p>
        </w:tc>
        <w:tc>
          <w:tcPr>
            <w:tcW w:w="850" w:type="dxa"/>
            <w:shd w:val="clear" w:color="auto" w:fill="auto"/>
          </w:tcPr>
          <w:p w14:paraId="0911E38E"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0E5378F5"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33541596"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3BCCF961"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4187C891"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112643B6" w14:textId="77777777" w:rsidR="00356B88" w:rsidRPr="00083E82" w:rsidRDefault="00356B88" w:rsidP="000A3AB2">
            <w:pPr>
              <w:autoSpaceDE w:val="0"/>
              <w:autoSpaceDN w:val="0"/>
              <w:adjustRightInd w:val="0"/>
              <w:rPr>
                <w:rFonts w:ascii="Arial" w:hAnsi="Arial" w:cs="Arial"/>
                <w:sz w:val="18"/>
                <w:szCs w:val="16"/>
                <w:lang w:val="nl-NL"/>
              </w:rPr>
            </w:pPr>
          </w:p>
        </w:tc>
        <w:tc>
          <w:tcPr>
            <w:tcW w:w="993" w:type="dxa"/>
          </w:tcPr>
          <w:p w14:paraId="04005937"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NA</w:t>
            </w:r>
          </w:p>
        </w:tc>
        <w:tc>
          <w:tcPr>
            <w:tcW w:w="1134" w:type="dxa"/>
            <w:shd w:val="clear" w:color="auto" w:fill="auto"/>
          </w:tcPr>
          <w:p w14:paraId="1C6B3A05"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589D9DA5"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AF5EAC" w14:paraId="5504E474" w14:textId="77777777" w:rsidTr="000A3AB2">
        <w:trPr>
          <w:trHeight w:val="345"/>
        </w:trPr>
        <w:tc>
          <w:tcPr>
            <w:tcW w:w="959" w:type="dxa"/>
            <w:shd w:val="clear" w:color="auto" w:fill="auto"/>
          </w:tcPr>
          <w:p w14:paraId="1E44023A"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L1063R</w:t>
            </w:r>
          </w:p>
        </w:tc>
        <w:tc>
          <w:tcPr>
            <w:tcW w:w="1276" w:type="dxa"/>
            <w:shd w:val="clear" w:color="auto" w:fill="auto"/>
          </w:tcPr>
          <w:p w14:paraId="32163FF7"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27 yrs</w:t>
            </w:r>
          </w:p>
        </w:tc>
        <w:tc>
          <w:tcPr>
            <w:tcW w:w="850" w:type="dxa"/>
            <w:shd w:val="clear" w:color="auto" w:fill="auto"/>
          </w:tcPr>
          <w:p w14:paraId="1AA0B8DB"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22E06009"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14D0EEC5"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2E64C991"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6B959CE2" w14:textId="77777777" w:rsidR="00356B88" w:rsidRPr="00864E3E" w:rsidRDefault="00356B88" w:rsidP="000A3AB2">
            <w:pPr>
              <w:autoSpaceDE w:val="0"/>
              <w:autoSpaceDN w:val="0"/>
              <w:adjustRightInd w:val="0"/>
              <w:rPr>
                <w:rFonts w:ascii="Arial" w:hAnsi="Arial" w:cs="Verdana"/>
                <w:sz w:val="18"/>
                <w:szCs w:val="18"/>
                <w:lang w:eastAsia="en-US"/>
              </w:rPr>
            </w:pPr>
            <w:r w:rsidRPr="00481F78">
              <w:rPr>
                <w:rFonts w:ascii="Wingdings" w:hAnsi="Wingdings"/>
                <w:color w:val="000000"/>
                <w:sz w:val="18"/>
                <w:szCs w:val="18"/>
              </w:rPr>
              <w:t></w:t>
            </w:r>
            <w:r w:rsidRPr="00864E3E">
              <w:rPr>
                <w:rFonts w:ascii="Arial" w:hAnsi="Arial" w:cs="Verdana"/>
                <w:sz w:val="18"/>
                <w:szCs w:val="18"/>
                <w:lang w:eastAsia="en-US"/>
              </w:rPr>
              <w:t>Sibling CRC</w:t>
            </w:r>
          </w:p>
          <w:p w14:paraId="65B088CE" w14:textId="77777777" w:rsidR="00356B88" w:rsidRPr="00864E3E" w:rsidRDefault="00356B88" w:rsidP="000A3AB2">
            <w:pPr>
              <w:autoSpaceDE w:val="0"/>
              <w:autoSpaceDN w:val="0"/>
              <w:adjustRightInd w:val="0"/>
              <w:rPr>
                <w:rFonts w:ascii="Verdana" w:hAnsi="Verdana" w:cs="Verdana"/>
                <w:color w:val="008000"/>
                <w:sz w:val="18"/>
                <w:szCs w:val="18"/>
                <w:lang w:eastAsia="en-US"/>
              </w:rPr>
            </w:pPr>
            <w:r w:rsidRPr="00481F78">
              <w:rPr>
                <w:rFonts w:ascii="Wingdings" w:hAnsi="Wingdings"/>
                <w:color w:val="000000"/>
                <w:sz w:val="18"/>
                <w:szCs w:val="18"/>
              </w:rPr>
              <w:t></w:t>
            </w:r>
            <w:r w:rsidRPr="00864E3E">
              <w:rPr>
                <w:rFonts w:ascii="Arial" w:hAnsi="Arial" w:cs="Verdana"/>
                <w:sz w:val="18"/>
                <w:szCs w:val="18"/>
                <w:lang w:eastAsia="en-US"/>
              </w:rPr>
              <w:t>3 uncles/aunts CRC</w:t>
            </w:r>
          </w:p>
        </w:tc>
        <w:tc>
          <w:tcPr>
            <w:tcW w:w="1134" w:type="dxa"/>
            <w:shd w:val="clear" w:color="auto" w:fill="auto"/>
          </w:tcPr>
          <w:p w14:paraId="407D26AB"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InSiGHT database</w:t>
            </w:r>
          </w:p>
        </w:tc>
        <w:tc>
          <w:tcPr>
            <w:tcW w:w="993" w:type="dxa"/>
          </w:tcPr>
          <w:p w14:paraId="1C41542D"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4</w:t>
            </w:r>
          </w:p>
        </w:tc>
        <w:tc>
          <w:tcPr>
            <w:tcW w:w="1134" w:type="dxa"/>
            <w:shd w:val="clear" w:color="auto" w:fill="auto"/>
          </w:tcPr>
          <w:p w14:paraId="114704F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6C961733" w14:textId="77777777" w:rsidR="00356B88" w:rsidRDefault="00356B88" w:rsidP="000A3AB2">
            <w:pPr>
              <w:rPr>
                <w:rFonts w:ascii="Arial" w:hAnsi="Arial" w:cs="Arial"/>
                <w:sz w:val="18"/>
                <w:szCs w:val="16"/>
              </w:rPr>
            </w:pPr>
            <w:r>
              <w:rPr>
                <w:rFonts w:ascii="Arial" w:hAnsi="Arial" w:cs="Arial"/>
                <w:sz w:val="18"/>
                <w:szCs w:val="16"/>
              </w:rPr>
              <w:t>Pathogenic</w:t>
            </w:r>
          </w:p>
        </w:tc>
      </w:tr>
      <w:tr w:rsidR="00356B88" w:rsidRPr="00AF5EAC" w14:paraId="48E88EC5" w14:textId="77777777" w:rsidTr="000A3AB2">
        <w:trPr>
          <w:trHeight w:val="350"/>
        </w:trPr>
        <w:tc>
          <w:tcPr>
            <w:tcW w:w="959" w:type="dxa"/>
            <w:shd w:val="clear" w:color="auto" w:fill="auto"/>
          </w:tcPr>
          <w:p w14:paraId="37BD29C1"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R1095C</w:t>
            </w:r>
          </w:p>
        </w:tc>
        <w:tc>
          <w:tcPr>
            <w:tcW w:w="1276" w:type="dxa"/>
            <w:shd w:val="clear" w:color="auto" w:fill="auto"/>
          </w:tcPr>
          <w:p w14:paraId="6EF7B55D" w14:textId="77777777" w:rsidR="00356B88" w:rsidRPr="00083E82" w:rsidRDefault="00356B88" w:rsidP="000A3AB2">
            <w:pPr>
              <w:autoSpaceDE w:val="0"/>
              <w:autoSpaceDN w:val="0"/>
              <w:adjustRightInd w:val="0"/>
              <w:rPr>
                <w:rFonts w:ascii="Arial" w:hAnsi="Arial" w:cs="Arial"/>
                <w:sz w:val="18"/>
                <w:szCs w:val="16"/>
              </w:rPr>
            </w:pPr>
          </w:p>
        </w:tc>
        <w:tc>
          <w:tcPr>
            <w:tcW w:w="850" w:type="dxa"/>
            <w:shd w:val="clear" w:color="auto" w:fill="auto"/>
          </w:tcPr>
          <w:p w14:paraId="2FF5B256"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7FC76953"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20209E6C"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1E6A6616"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72DB0D17"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589226E9" w14:textId="77777777" w:rsidR="00356B88" w:rsidRPr="00083E82" w:rsidRDefault="00356B88" w:rsidP="000A3AB2">
            <w:pPr>
              <w:autoSpaceDE w:val="0"/>
              <w:autoSpaceDN w:val="0"/>
              <w:adjustRightInd w:val="0"/>
              <w:rPr>
                <w:rFonts w:ascii="Arial" w:hAnsi="Arial" w:cs="Arial"/>
                <w:sz w:val="18"/>
                <w:szCs w:val="16"/>
                <w:lang w:val="nl-NL"/>
              </w:rPr>
            </w:pPr>
          </w:p>
        </w:tc>
        <w:tc>
          <w:tcPr>
            <w:tcW w:w="993" w:type="dxa"/>
          </w:tcPr>
          <w:p w14:paraId="79EBA6B6"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NA</w:t>
            </w:r>
          </w:p>
        </w:tc>
        <w:tc>
          <w:tcPr>
            <w:tcW w:w="1134" w:type="dxa"/>
            <w:shd w:val="clear" w:color="auto" w:fill="auto"/>
          </w:tcPr>
          <w:p w14:paraId="60678DCD"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7FB7CAB5"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AF5EAC" w14:paraId="54C45F45" w14:textId="77777777" w:rsidTr="000A3AB2">
        <w:trPr>
          <w:trHeight w:val="723"/>
        </w:trPr>
        <w:tc>
          <w:tcPr>
            <w:tcW w:w="959" w:type="dxa"/>
            <w:shd w:val="clear" w:color="auto" w:fill="auto"/>
          </w:tcPr>
          <w:p w14:paraId="1CB9EFB7"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T1142M</w:t>
            </w:r>
          </w:p>
        </w:tc>
        <w:tc>
          <w:tcPr>
            <w:tcW w:w="1276" w:type="dxa"/>
            <w:shd w:val="clear" w:color="auto" w:fill="auto"/>
          </w:tcPr>
          <w:p w14:paraId="242DF249"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Polyps 27 yrs</w:t>
            </w:r>
          </w:p>
        </w:tc>
        <w:tc>
          <w:tcPr>
            <w:tcW w:w="850" w:type="dxa"/>
            <w:shd w:val="clear" w:color="auto" w:fill="auto"/>
          </w:tcPr>
          <w:p w14:paraId="11B493D8"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57987738"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0F229090"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 xml:space="preserve">No other pathogenic or unclassified variants. No </w:t>
            </w:r>
            <w:r w:rsidRPr="00426C48">
              <w:rPr>
                <w:rFonts w:ascii="Arial" w:hAnsi="Arial" w:cs="Arial"/>
                <w:i/>
                <w:sz w:val="18"/>
                <w:szCs w:val="16"/>
              </w:rPr>
              <w:t>MLH1</w:t>
            </w:r>
            <w:r>
              <w:rPr>
                <w:rFonts w:ascii="Arial" w:hAnsi="Arial" w:cs="Arial"/>
                <w:sz w:val="18"/>
                <w:szCs w:val="16"/>
              </w:rPr>
              <w:t xml:space="preserve"> promoter methylation</w:t>
            </w:r>
          </w:p>
        </w:tc>
        <w:tc>
          <w:tcPr>
            <w:tcW w:w="1275" w:type="dxa"/>
          </w:tcPr>
          <w:p w14:paraId="3C10A966"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Bethesda</w:t>
            </w:r>
          </w:p>
        </w:tc>
        <w:tc>
          <w:tcPr>
            <w:tcW w:w="2268" w:type="dxa"/>
          </w:tcPr>
          <w:p w14:paraId="663F73A9"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Verdana"/>
                <w:sz w:val="18"/>
                <w:szCs w:val="18"/>
                <w:lang w:eastAsia="en-US"/>
              </w:rPr>
              <w:t>Mother polyps</w:t>
            </w:r>
            <w:r w:rsidRPr="00864E3E">
              <w:rPr>
                <w:rFonts w:ascii="Arial" w:hAnsi="Arial" w:cs="Verdana"/>
                <w:sz w:val="18"/>
                <w:szCs w:val="18"/>
                <w:lang w:eastAsia="en-US"/>
              </w:rPr>
              <w:t xml:space="preserve"> </w:t>
            </w:r>
            <w:r>
              <w:rPr>
                <w:rFonts w:ascii="Arial" w:hAnsi="Arial" w:cs="Verdana"/>
                <w:sz w:val="18"/>
                <w:szCs w:val="18"/>
                <w:lang w:eastAsia="en-US"/>
              </w:rPr>
              <w:t>61 yrs</w:t>
            </w:r>
          </w:p>
        </w:tc>
        <w:tc>
          <w:tcPr>
            <w:tcW w:w="1134" w:type="dxa"/>
            <w:shd w:val="clear" w:color="auto" w:fill="auto"/>
          </w:tcPr>
          <w:p w14:paraId="2B4510C8" w14:textId="772CCE0F" w:rsidR="00356B88" w:rsidRPr="00083E82" w:rsidRDefault="00356B88" w:rsidP="00DB4700">
            <w:pPr>
              <w:autoSpaceDE w:val="0"/>
              <w:autoSpaceDN w:val="0"/>
              <w:adjustRightInd w:val="0"/>
              <w:rPr>
                <w:rFonts w:ascii="Arial" w:hAnsi="Arial" w:cs="Arial"/>
                <w:sz w:val="18"/>
                <w:szCs w:val="16"/>
                <w:lang w:val="nl-NL"/>
              </w:rPr>
            </w:pPr>
            <w:r>
              <w:rPr>
                <w:rFonts w:ascii="Arial" w:hAnsi="Arial" w:cs="Arial"/>
                <w:sz w:val="18"/>
                <w:szCs w:val="16"/>
                <w:lang w:val="nl-NL"/>
              </w:rPr>
              <w:fldChar w:fldCharType="begin" w:fldLock="1"/>
            </w:r>
            <w:r>
              <w:rPr>
                <w:rFonts w:ascii="Arial" w:hAnsi="Arial" w:cs="Arial"/>
                <w:sz w:val="18"/>
                <w:szCs w:val="16"/>
                <w:lang w:val="nl-NL"/>
              </w:rPr>
              <w:instrText>ADDIN CSL_CITATION { "citationItems" : [ { "id" : "ITEM-1", "itemData" : { "DOI" : "10.1016/j.jmoldx.2013.02.003", "ISSN" : "15251578", "PMID" : "23523604", "abstract" : "Lynch syndrome is caused by mutations in one of the mismatch-repair system (MMR) genes. A major difficulty in diagnosis and management of Lynch syndrome is the existence of unclassified genetic variants (UVs) with unknown clinical significance, especially mutations with new descriptions and missense-type nucleotide substitutions. We evaluated the pathogenicity of 20 such mutations (6 in MLH1, 4 in MSH2, and 7 in MSH6) found in Spanish patients suspected of Lynch syndrome. The UVs were tested for evidence of MMR defect in tumor samples and were evaluated for co-occurrence with a pathogenic mutation, the cosegregation of the variant with the disease; where sufficient data were available, in silico resources at the protein level and mRNA analysis were used to assess the putative effect on the splicing mechanism. To evaluate the frequency of these UVs in the general population, a case-control study was also performed. Five variants were identified with similar frequencies in both cases and controls, suggesting a nonpathogenic effect in patients. In contrast, abnormal splicing mutations were detected in a high proportion of patients [3/20 (15%)]. In this study, we classified 15 of the 20 UVs: six variants with strong evidence of pathogenicity and nine variants that should be considered neutral variants. Clinical significance of the other five remains unknown. Copyright \u00a9 2013 American Society for Investigative Pathology and the Association for Molecular Pathology. Published by Elsevier Inc. All rights reserved.", "author" : [ { "dropping-particle" : "", "family" : "P\u00e9rez-Cabornero", "given" : "Lucia", "non-dropping-particle" : "", "parse-names" : false, "suffix" : "" }, { "dropping-particle" : "", "family" : "Infante", "given" : "Mar", "non-dropping-particle" : "", "parse-names" : false, "suffix" : "" }, { "dropping-particle" : "", "family" : "Velasco", "given" : "Eladio", "non-dropping-particle" : "", "parse-names" : false, "suffix" : "" }, { "dropping-particle" : "", "family" : "Lastra", "given" : "Enrique", "non-dropping-particle" : "", "parse-names" : false, "suffix" : "" }, { "dropping-particle" : "", "family" : "Miner", "given" : "Cristina", "non-dropping-particle" : "", "parse-names" : false, "suffix" : "" }, { "dropping-particle" : "", "family" : "Dur\u00e1n", "given" : "Mercedes", "non-dropping-particle" : "", "parse-names" : false, "suffix" : "" } ], "container-title" : "Journal of Molecular Diagnostics", "id" : "ITEM-1", "issue" : "3", "issued" : { "date-parts" : [ [ "2013" ] ] }, "page" : "380-390", "publisher" : "American Society for Investigative Pathology", "title" : "Evaluating the effect of unclassified variants identified in MMR genes using phenotypic features, bioinformatics prediction, and RNA assays", "type" : "article-journal", "volume" : "15" }, "uris" : [ "http://www.mendeley.com/documents/?uuid=9286b116-60d7-4199-865a-a512f2c70430" ] } ], "mendeley" : { "formattedCitation" : "(10)", "plainTextFormattedCitation" : "(10)", "previouslyFormattedCitation" : "(P\u00e9rez-Cabornero et al. 2013)" }, "properties" : { "noteIndex" : 0 }, "schema" : "https://github.com/citation-style-language/schema/raw/master/csl-citation.json" }</w:instrText>
            </w:r>
            <w:r>
              <w:rPr>
                <w:rFonts w:ascii="Arial" w:hAnsi="Arial" w:cs="Arial"/>
                <w:sz w:val="18"/>
                <w:szCs w:val="16"/>
                <w:lang w:val="nl-NL"/>
              </w:rPr>
              <w:fldChar w:fldCharType="separate"/>
            </w:r>
            <w:r w:rsidR="00DB4700">
              <w:rPr>
                <w:rFonts w:ascii="Arial" w:hAnsi="Arial" w:cs="Arial"/>
                <w:noProof/>
                <w:sz w:val="18"/>
                <w:szCs w:val="16"/>
                <w:lang w:val="nl-NL"/>
              </w:rPr>
              <w:t>[</w:t>
            </w:r>
            <w:r w:rsidR="00C91DF8">
              <w:rPr>
                <w:rFonts w:ascii="Arial" w:hAnsi="Arial" w:cs="Arial"/>
                <w:noProof/>
                <w:sz w:val="18"/>
                <w:szCs w:val="16"/>
                <w:lang w:val="nl-NL"/>
              </w:rPr>
              <w:t>36</w:t>
            </w:r>
            <w:r>
              <w:rPr>
                <w:rFonts w:ascii="Arial" w:hAnsi="Arial" w:cs="Arial"/>
                <w:sz w:val="18"/>
                <w:szCs w:val="16"/>
                <w:lang w:val="nl-NL"/>
              </w:rPr>
              <w:fldChar w:fldCharType="end"/>
            </w:r>
            <w:r w:rsidR="00DB4700">
              <w:rPr>
                <w:rFonts w:ascii="Arial" w:hAnsi="Arial" w:cs="Arial"/>
                <w:sz w:val="18"/>
                <w:szCs w:val="16"/>
                <w:lang w:val="nl-NL"/>
              </w:rPr>
              <w:t>]</w:t>
            </w:r>
          </w:p>
        </w:tc>
        <w:tc>
          <w:tcPr>
            <w:tcW w:w="993" w:type="dxa"/>
          </w:tcPr>
          <w:p w14:paraId="13A1A233"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3AD83454"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135C3E07"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AF5EAC" w14:paraId="3E8B7C72" w14:textId="77777777" w:rsidTr="000A3AB2">
        <w:trPr>
          <w:trHeight w:val="572"/>
        </w:trPr>
        <w:tc>
          <w:tcPr>
            <w:tcW w:w="959" w:type="dxa"/>
            <w:shd w:val="clear" w:color="auto" w:fill="auto"/>
          </w:tcPr>
          <w:p w14:paraId="0C87B3E9"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E1193K</w:t>
            </w:r>
          </w:p>
        </w:tc>
        <w:tc>
          <w:tcPr>
            <w:tcW w:w="1276" w:type="dxa"/>
            <w:shd w:val="clear" w:color="auto" w:fill="auto"/>
          </w:tcPr>
          <w:p w14:paraId="4D0D9CF4"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EC 60 yrs</w:t>
            </w:r>
          </w:p>
        </w:tc>
        <w:tc>
          <w:tcPr>
            <w:tcW w:w="850" w:type="dxa"/>
            <w:shd w:val="clear" w:color="auto" w:fill="auto"/>
          </w:tcPr>
          <w:p w14:paraId="1E4B1608"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MSI-H</w:t>
            </w:r>
          </w:p>
        </w:tc>
        <w:tc>
          <w:tcPr>
            <w:tcW w:w="1133" w:type="dxa"/>
            <w:shd w:val="clear" w:color="auto" w:fill="auto"/>
          </w:tcPr>
          <w:p w14:paraId="4198FF22"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MSH2-</w:t>
            </w:r>
          </w:p>
          <w:p w14:paraId="2580871B"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MSH6-</w:t>
            </w:r>
          </w:p>
          <w:p w14:paraId="4ECBE2C9"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MLH1+</w:t>
            </w:r>
          </w:p>
        </w:tc>
        <w:tc>
          <w:tcPr>
            <w:tcW w:w="1986" w:type="dxa"/>
            <w:shd w:val="clear" w:color="auto" w:fill="auto"/>
          </w:tcPr>
          <w:p w14:paraId="7EC819E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 xml:space="preserve">No </w:t>
            </w:r>
            <w:r w:rsidRPr="000E5F36">
              <w:rPr>
                <w:rFonts w:ascii="Arial" w:hAnsi="Arial" w:cs="Arial"/>
                <w:i/>
                <w:sz w:val="18"/>
                <w:szCs w:val="16"/>
              </w:rPr>
              <w:t>MLH1</w:t>
            </w:r>
            <w:r>
              <w:rPr>
                <w:rFonts w:ascii="Arial" w:hAnsi="Arial" w:cs="Arial"/>
                <w:sz w:val="18"/>
                <w:szCs w:val="16"/>
              </w:rPr>
              <w:t xml:space="preserve"> promoter methylations</w:t>
            </w:r>
          </w:p>
        </w:tc>
        <w:tc>
          <w:tcPr>
            <w:tcW w:w="1275" w:type="dxa"/>
          </w:tcPr>
          <w:p w14:paraId="5D968770"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rPr>
              <w:t>No</w:t>
            </w:r>
          </w:p>
        </w:tc>
        <w:tc>
          <w:tcPr>
            <w:tcW w:w="2268" w:type="dxa"/>
          </w:tcPr>
          <w:p w14:paraId="72D6A954"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Brother skin cancer 60 yrs</w:t>
            </w:r>
          </w:p>
        </w:tc>
        <w:tc>
          <w:tcPr>
            <w:tcW w:w="1134" w:type="dxa"/>
            <w:shd w:val="clear" w:color="auto" w:fill="auto"/>
          </w:tcPr>
          <w:p w14:paraId="302AECF5" w14:textId="44C8995C" w:rsidR="00356B88" w:rsidRPr="00083E82" w:rsidRDefault="00356B88" w:rsidP="00DB4700">
            <w:pPr>
              <w:autoSpaceDE w:val="0"/>
              <w:autoSpaceDN w:val="0"/>
              <w:adjustRightInd w:val="0"/>
              <w:rPr>
                <w:rFonts w:ascii="Arial" w:hAnsi="Arial" w:cs="Arial"/>
                <w:sz w:val="18"/>
                <w:szCs w:val="16"/>
                <w:lang w:val="nl-NL"/>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"10.1038/sj.bjc.6602129", "ISSN" : "0007-0920", "PMID" : "15354210", "abstract" : "Mismatch repair (MMR) deficiency in tumours from patients with the hereditary nonpolyposis colorectal cancer (HNPCC) syndrome is mainly caused by mutations in the MLH1, MSH2, and MSH6 genes. A major challenge in the clinical management of patients with suspected HNPCC is the frequent occurrence of missense mutations in MSH6. These can be considered neither deleterious nor clinically innocent a priori. To assess their significance we studied five novel MSH6 missense mutations in six patients derived from a series of consecutive endometrial and colorectal cancer patients selected for study after their tumours were determined to be microsatellite unstable. We tested each mutated protein for heterodimerisation with MSH2 and for in vitro MMR capability. Four mutations (R128L, P623L, K728T, G881K+S) showed no impairment of these functions while the fifth (E1193K) displayed marked impairment of both functions. These results, taken together with our previous similar findings concerning six other missense mutations in MSH6, allow us to conclude that many or most missense changes in MSH6 likely are clinically innocent, whereas some missense changes such as E1193K, which lead to impaired MMR, are likely to be clinically significant, but have low penetrance.", "author" : [ { "dropping-particle" : "", "family" : "Kariola", "given" : "R", "non-dropping-particle" : "", "parse-names" : false, "suffix" : "" }, { "dropping-particle" : "", "family" : "Hampel", "given" : "H", "non-dropping-particle" : "", "parse-names" : false, "suffix" : "" }, { "dropping-particle" : "", "family" : "Frankel", "given" : "W L", "non-dropping-particle" : "", "parse-names" : false, "suffix" : "" }, { "dropping-particle" : "", "family" : "Raevaara", "given" : "T E", "non-dropping-particle" : "", "parse-names" : false, "suffix" : "" }, { "dropping-particle" : "", "family" : "la Chapelle", "given" : "a", "non-dropping-particle" : "de", "parse-names" : false, "suffix" : "" }, { "dropping-particle" : "", "family" : "Nystr\u00f6m-Lahti", "given" : "M", "non-dropping-particle" : "", "parse-names" : false, "suffix" : "" } ], "container-title" : "British journal of cancer", "id" : "ITEM-1", "issue" : "7", "issued" : { "date-parts" : [ [ "2004" ] ] }, "page" : "1287-92", "title" : "MSH6 missense mutations are often associated with no or low cancer susceptibility.", "type" : "article-journal", "volume" : "91" }, "uris" : [ "http://www.mendeley.com/documents/?uuid=30582e92-b05e-4aef-91bb-2c231391342d" ] }, { "id" : "ITEM-2", "itemData" : { "DOI" : "10.1158/0008-5472.CAN-06-1114", "ISSN" : "0008-5472", "PMID" : "16885385", "abstract" : "Endometrial cancer is the most common cancer in women with Lynch syndrome. The identification of individuals with Lynch syndrome is desirable because they can benefit from increased cancer surveillance. The purpose of this study was to determine the feasibility and desirability of molecular screening for Lynch syndrome in all endometrial cancer patients. Unselected endometrial cancer patients (N = 543) were studied. All tumors underwent microsatellite instability (MSI) testing. Patients with MSI-positive tumors underwent testing for germ line mutations in MLH1, MSH2, MSH6, and PMS2. Of 543 tumors studied, 118 (21.7%) were MSI positive (98 of 118 MSI high and 20 of 118 MSI low). All 118 patients with MSI-positive tumors had mutation testing, and nine of them had deleterious germ line mutations (one MLH1, three MSH2, and five MSH6). In addition, one case with an MSI-negative tumor had abnormal MSH6 immunohistochemical staining and was subsequently found to have a mutation in MSH6. Immunohistochemical staining was consistent with the mutation result in all seven truncating mutation-positive cases but was not consistent in two of the three missense mutation cases. We conclude that in central Ohio, at least 1.8% (95% confidence interval, 0.9-3.5%) of newly diagnosed endometrial cancer patients had Lynch syndrome. Seven of the 10 Lynch syndrome patients did not meet any published criteria for hereditary nonpolyposis colorectal cancer, and six of them were diagnosed at age &gt;50. Studying all endometrial cancer patients for Lynch syndrome using a combination of MSI and immunohistochemistry for molecular prescreening followed by gene sequencing and deletion analysis is feasible and may be desirable.", "author" : [ { "dropping-particle" : "", "family" : "Hampel", "given" : "Heather", "non-dropping-particle" : "", "parse-names" : false, "suffix" : "" }, { "dropping-particle" : "", "family" : "Frankel", "given" : "Wendy", "non-dropping-particle" : "", "parse-names" : false, "suffix" : "" }, { "dropping-particle" : "", "family" : "Panescu", "given" : "Jenny", "non-dropping-particle" : "", "parse-names" : false, "suffix" : "" }, { "dropping-particle" : "", "family" : "Lockman", "given" : "Janet", "non-dropping-particle" : "", "parse-names" : false, "suffix" : "" }, { "dropping-particle" : "", "family" : "Sotamaa", "given" : "Kaisa", "non-dropping-particle" : "", "parse-names" : false, "suffix" : "" }, { "dropping-particle" : "", "family" : "Fix", "given" : "Daniel", "non-dropping-particle" : "", "parse-names" : false, "suffix" : "" }, { "dropping-particle" : "", "family" : "Comeras", "given" : "Ilene", "non-dropping-particle" : "", "parse-names" : false, "suffix" : "" }, { "dropping-particle" : "", "family" : "Jeunesse", "given" : "Jennifer", "non-dropping-particle" : "La", "parse-names" : false, "suffix" : "" }, { "dropping-particle" : "", "family" : "Nakagawa", "given" : "Hidewaki", "non-dropping-particle" : "", "parse-names" : false, "suffix" : "" }, { "dropping-particle" : "", "family" : "Westman", "given" : "Judith a.", "non-dropping-particle" : "", "parse-names" : false, "suffix" : "" }, { "dropping-particle" : "", "family" : "Prior", "given" : "Thomas W.", "non-dropping-particle" : "", "parse-names" : false, "suffix" : "" }, { "dropping-particle" : "", "family" : "Clendenning", "given" : "Mark", "non-dropping-particle" : "", "parse-names" : false, "suffix" : "" }, { "dropping-particle" : "", "family" : "Penzone", "given" : "Pamela", "non-dropping-particle" : "", "parse-names" : false, "suffix" : "" }, { "dropping-particle" : "", "family" : "Lombardi", "given" : "Janet", "non-dropping-particle" : "", "parse-names" : false, "suffix" : "" }, { "dropping-particle" : "", "family" : "Dunn", "given" : "Patti", "non-dropping-particle" : "", "parse-names" : false, "suffix" : "" }, { "dropping-particle" : "", "family" : "Cohn", "given" : "David E.", "non-dropping-particle" : "", "parse-names" : false, "suffix" : "" }, { "dropping-particle" : "", "family" : "Copeland", "given" : "Larry", "non-dropping-particle" : "", "parse-names" : false, "suffix" : "" }, { "dropping-particle" : "", "family" : "Eaton", "given" : "Lynne", "non-dropping-particle" : "", "parse-names" : false, "suffix" : "" }, { "dropping-particle" : "", "family" : "Fowler", "given" : "Jeffrey", "non-dropping-particle" : "", "parse-names" : false, "suffix" : "" }, { "dropping-particle" : "", "family" : "Lewandowski", "given" : "George", "non-dropping-particle" : "", "parse-names" : false, "suffix" : "" }, { "dropping-particle" : "", "family" : "Vaccarello", "given" : "Luis", "non-dropping-particle" : "", "parse-names" : false, "suffix" : "" }, { "dropping-particle" : "", "family" : "Bell", "given" : "Jeffrey", "non-dropping-particle" : "", "parse-names" : false, "suffix" : "" }, { "dropping-particle" : "", "family" : "Reid", "given" : "Gary", "non-dropping-particle" : "", "parse-names" : false, "suffix" : "" }, { "dropping-particle" : "", "family" : "La Chapelle", "given" : "Albert", "non-dropping-particle" : "De", "parse-names" : false, "suffix" : "" } ], "container-title" : "Cancer research", "id" : "ITEM-2", "issue" : "15", "issued" : { "date-parts" : [ [ "2006", "8", "1" ] ] }, "page" : "7810-7", "title" : "Screening for Lynch syndrome (hereditary nonpolyposis colorectal cancer) among endometrial cancer patients.", "type" : "article-journal", "volume" : "66" }, "uris" : [ "http://www.mendeley.com/documents/?uuid=a634ad6f-45d2-4bc2-b362-8a4c24754390" ] } ], "mendeley" : { "formattedCitation" : "(1, 2)", "plainTextFormattedCitation" : "(1, 2)", "previouslyFormattedCitation" : "(Hampel et al. 2006; Kariola et al. 2004)"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27,28</w:t>
            </w:r>
            <w:r>
              <w:rPr>
                <w:rFonts w:ascii="Arial" w:hAnsi="Arial" w:cs="Arial"/>
                <w:sz w:val="18"/>
                <w:szCs w:val="16"/>
              </w:rPr>
              <w:fldChar w:fldCharType="end"/>
            </w:r>
            <w:r w:rsidR="00DB4700">
              <w:rPr>
                <w:rFonts w:ascii="Arial" w:hAnsi="Arial" w:cs="Arial"/>
                <w:sz w:val="18"/>
                <w:szCs w:val="16"/>
              </w:rPr>
              <w:t>]</w:t>
            </w:r>
          </w:p>
        </w:tc>
        <w:tc>
          <w:tcPr>
            <w:tcW w:w="993" w:type="dxa"/>
          </w:tcPr>
          <w:p w14:paraId="79D14D24"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3</w:t>
            </w:r>
          </w:p>
        </w:tc>
        <w:tc>
          <w:tcPr>
            <w:tcW w:w="1134" w:type="dxa"/>
            <w:shd w:val="clear" w:color="auto" w:fill="auto"/>
          </w:tcPr>
          <w:p w14:paraId="6D894B9F"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4727022E" w14:textId="77777777" w:rsidR="00356B88" w:rsidRDefault="00356B88" w:rsidP="000A3AB2">
            <w:pPr>
              <w:rPr>
                <w:rFonts w:ascii="Arial" w:hAnsi="Arial" w:cs="Arial"/>
                <w:sz w:val="18"/>
                <w:szCs w:val="16"/>
              </w:rPr>
            </w:pPr>
            <w:r>
              <w:rPr>
                <w:rFonts w:ascii="Arial" w:hAnsi="Arial" w:cs="Arial"/>
                <w:sz w:val="18"/>
                <w:szCs w:val="16"/>
              </w:rPr>
              <w:t>Pathogenic</w:t>
            </w:r>
          </w:p>
        </w:tc>
      </w:tr>
      <w:tr w:rsidR="00356B88" w:rsidRPr="00AF5EAC" w14:paraId="4800E1C5" w14:textId="77777777" w:rsidTr="000A3AB2">
        <w:trPr>
          <w:trHeight w:val="510"/>
        </w:trPr>
        <w:tc>
          <w:tcPr>
            <w:tcW w:w="959" w:type="dxa"/>
            <w:shd w:val="clear" w:color="auto" w:fill="auto"/>
          </w:tcPr>
          <w:p w14:paraId="0832042C"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E1193K</w:t>
            </w:r>
          </w:p>
        </w:tc>
        <w:tc>
          <w:tcPr>
            <w:tcW w:w="1276" w:type="dxa"/>
            <w:shd w:val="clear" w:color="auto" w:fill="auto"/>
          </w:tcPr>
          <w:p w14:paraId="01D6CEE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EC 59 yrs</w:t>
            </w:r>
          </w:p>
        </w:tc>
        <w:tc>
          <w:tcPr>
            <w:tcW w:w="850" w:type="dxa"/>
            <w:shd w:val="clear" w:color="auto" w:fill="auto"/>
          </w:tcPr>
          <w:p w14:paraId="28CC08E6"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MSI-H</w:t>
            </w:r>
          </w:p>
        </w:tc>
        <w:tc>
          <w:tcPr>
            <w:tcW w:w="1133" w:type="dxa"/>
            <w:shd w:val="clear" w:color="auto" w:fill="auto"/>
          </w:tcPr>
          <w:p w14:paraId="367E3401"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MSH2+</w:t>
            </w:r>
          </w:p>
          <w:p w14:paraId="229DC9AE"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MSH6 5%</w:t>
            </w:r>
          </w:p>
          <w:p w14:paraId="1A4EDE59"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MLH1+</w:t>
            </w:r>
          </w:p>
        </w:tc>
        <w:tc>
          <w:tcPr>
            <w:tcW w:w="1986" w:type="dxa"/>
            <w:shd w:val="clear" w:color="auto" w:fill="auto"/>
          </w:tcPr>
          <w:p w14:paraId="5EB4B068"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 xml:space="preserve">No </w:t>
            </w:r>
            <w:r w:rsidRPr="000E5F36">
              <w:rPr>
                <w:rFonts w:ascii="Arial" w:hAnsi="Arial" w:cs="Arial"/>
                <w:i/>
                <w:sz w:val="18"/>
                <w:szCs w:val="16"/>
              </w:rPr>
              <w:t>MLH1</w:t>
            </w:r>
            <w:r>
              <w:rPr>
                <w:rFonts w:ascii="Arial" w:hAnsi="Arial" w:cs="Arial"/>
                <w:sz w:val="18"/>
                <w:szCs w:val="16"/>
              </w:rPr>
              <w:t xml:space="preserve"> promoter methylations</w:t>
            </w:r>
          </w:p>
        </w:tc>
        <w:tc>
          <w:tcPr>
            <w:tcW w:w="1275" w:type="dxa"/>
          </w:tcPr>
          <w:p w14:paraId="54E068D6"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rPr>
              <w:t>No</w:t>
            </w:r>
          </w:p>
        </w:tc>
        <w:tc>
          <w:tcPr>
            <w:tcW w:w="2268" w:type="dxa"/>
          </w:tcPr>
          <w:p w14:paraId="4022B887"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None</w:t>
            </w:r>
          </w:p>
        </w:tc>
        <w:tc>
          <w:tcPr>
            <w:tcW w:w="1134" w:type="dxa"/>
            <w:shd w:val="clear" w:color="auto" w:fill="auto"/>
          </w:tcPr>
          <w:p w14:paraId="0F0DE445" w14:textId="727970EB" w:rsidR="00356B88" w:rsidRPr="00083E82" w:rsidRDefault="00356B88" w:rsidP="00DB4700">
            <w:pPr>
              <w:autoSpaceDE w:val="0"/>
              <w:autoSpaceDN w:val="0"/>
              <w:adjustRightInd w:val="0"/>
              <w:rPr>
                <w:rFonts w:ascii="Arial" w:hAnsi="Arial" w:cs="Arial"/>
                <w:sz w:val="18"/>
                <w:szCs w:val="16"/>
                <w:lang w:val="nl-NL"/>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"10.1038/sj.bjc.6602129", "ISSN" : "0007-0920", "PMID" : "15354210", "abstract" : "Mismatch repair (MMR) deficiency in tumours from patients with the hereditary nonpolyposis colorectal cancer (HNPCC) syndrome is mainly caused by mutations in the MLH1, MSH2, and MSH6 genes. A major challenge in the clinical management of patients with suspected HNPCC is the frequent occurrence of missense mutations in MSH6. These can be considered neither deleterious nor clinically innocent a priori. To assess their significance we studied five novel MSH6 missense mutations in six patients derived from a series of consecutive endometrial and colorectal cancer patients selected for study after their tumours were determined to be microsatellite unstable. We tested each mutated protein for heterodimerisation with MSH2 and for in vitro MMR capability. Four mutations (R128L, P623L, K728T, G881K+S) showed no impairment of these functions while the fifth (E1193K) displayed marked impairment of both functions. These results, taken together with our previous similar findings concerning six other missense mutations in MSH6, allow us to conclude that many or most missense changes in MSH6 likely are clinically innocent, whereas some missense changes such as E1193K, which lead to impaired MMR, are likely to be clinically significant, but have low penetrance.", "author" : [ { "dropping-particle" : "", "family" : "Kariola", "given" : "R", "non-dropping-particle" : "", "parse-names" : false, "suffix" : "" }, { "dropping-particle" : "", "family" : "Hampel", "given" : "H", "non-dropping-particle" : "", "parse-names" : false, "suffix" : "" }, { "dropping-particle" : "", "family" : "Frankel", "given" : "W L", "non-dropping-particle" : "", "parse-names" : false, "suffix" : "" }, { "dropping-particle" : "", "family" : "Raevaara", "given" : "T E", "non-dropping-particle" : "", "parse-names" : false, "suffix" : "" }, { "dropping-particle" : "", "family" : "la Chapelle", "given" : "a", "non-dropping-particle" : "de", "parse-names" : false, "suffix" : "" }, { "dropping-particle" : "", "family" : "Nystr\u00f6m-Lahti", "given" : "M", "non-dropping-particle" : "", "parse-names" : false, "suffix" : "" } ], "container-title" : "British journal of cancer", "id" : "ITEM-1", "issue" : "7", "issued" : { "date-parts" : [ [ "2004" ] ] }, "page" : "1287-92", "title" : "MSH6 missense mutations are often associated with no or low cancer susceptibility.", "type" : "article-journal", "volume" : "91" }, "uris" : [ "http://www.mendeley.com/documents/?uuid=30582e92-b05e-4aef-91bb-2c231391342d" ] }, { "id" : "ITEM-2", "itemData" : { "DOI" : "10.1158/0008-5472.CAN-06-1114", "ISSN" : "0008-5472", "PMID" : "16885385", "abstract" : "Endometrial cancer is the most common cancer in women with Lynch syndrome. The identification of individuals with Lynch syndrome is desirable because they can benefit from increased cancer surveillance. The purpose of this study was to determine the feasibility and desirability of molecular screening for Lynch syndrome in all endometrial cancer patients. Unselected endometrial cancer patients (N = 543) were studied. All tumors underwent microsatellite instability (MSI) testing. Patients with MSI-positive tumors underwent testing for germ line mutations in MLH1, MSH2, MSH6, and PMS2. Of 543 tumors studied, 118 (21.7%) were MSI positive (98 of 118 MSI high and 20 of 118 MSI low). All 118 patients with MSI-positive tumors had mutation testing, and nine of them had deleterious germ line mutations (one MLH1, three MSH2, and five MSH6). In addition, one case with an MSI-negative tumor had abnormal MSH6 immunohistochemical staining and was subsequently found to have a mutation in MSH6. Immunohistochemical staining was consistent with the mutation result in all seven truncating mutation-positive cases but was not consistent in two of the three missense mutation cases. We conclude that in central Ohio, at least 1.8% (95% confidence interval, 0.9-3.5%) of newly diagnosed endometrial cancer patients had Lynch syndrome. Seven of the 10 Lynch syndrome patients did not meet any published criteria for hereditary nonpolyposis colorectal cancer, and six of them were diagnosed at age &gt;50. Studying all endometrial cancer patients for Lynch syndrome using a combination of MSI and immunohistochemistry for molecular prescreening followed by gene sequencing and deletion analysis is feasible and may be desirable.", "author" : [ { "dropping-particle" : "", "family" : "Hampel", "given" : "Heather", "non-dropping-particle" : "", "parse-names" : false, "suffix" : "" }, { "dropping-particle" : "", "family" : "Frankel", "given" : "Wendy", "non-dropping-particle" : "", "parse-names" : false, "suffix" : "" }, { "dropping-particle" : "", "family" : "Panescu", "given" : "Jenny", "non-dropping-particle" : "", "parse-names" : false, "suffix" : "" }, { "dropping-particle" : "", "family" : "Lockman", "given" : "Janet", "non-dropping-particle" : "", "parse-names" : false, "suffix" : "" }, { "dropping-particle" : "", "family" : "Sotamaa", "given" : "Kaisa", "non-dropping-particle" : "", "parse-names" : false, "suffix" : "" }, { "dropping-particle" : "", "family" : "Fix", "given" : "Daniel", "non-dropping-particle" : "", "parse-names" : false, "suffix" : "" }, { "dropping-particle" : "", "family" : "Comeras", "given" : "Ilene", "non-dropping-particle" : "", "parse-names" : false, "suffix" : "" }, { "dropping-particle" : "", "family" : "Jeunesse", "given" : "Jennifer", "non-dropping-particle" : "La", "parse-names" : false, "suffix" : "" }, { "dropping-particle" : "", "family" : "Nakagawa", "given" : "Hidewaki", "non-dropping-particle" : "", "parse-names" : false, "suffix" : "" }, { "dropping-particle" : "", "family" : "Westman", "given" : "Judith a.", "non-dropping-particle" : "", "parse-names" : false, "suffix" : "" }, { "dropping-particle" : "", "family" : "Prior", "given" : "Thomas W.", "non-dropping-particle" : "", "parse-names" : false, "suffix" : "" }, { "dropping-particle" : "", "family" : "Clendenning", "given" : "Mark", "non-dropping-particle" : "", "parse-names" : false, "suffix" : "" }, { "dropping-particle" : "", "family" : "Penzone", "given" : "Pamela", "non-dropping-particle" : "", "parse-names" : false, "suffix" : "" }, { "dropping-particle" : "", "family" : "Lombardi", "given" : "Janet", "non-dropping-particle" : "", "parse-names" : false, "suffix" : "" }, { "dropping-particle" : "", "family" : "Dunn", "given" : "Patti", "non-dropping-particle" : "", "parse-names" : false, "suffix" : "" }, { "dropping-particle" : "", "family" : "Cohn", "given" : "David E.", "non-dropping-particle" : "", "parse-names" : false, "suffix" : "" }, { "dropping-particle" : "", "family" : "Copeland", "given" : "Larry", "non-dropping-particle" : "", "parse-names" : false, "suffix" : "" }, { "dropping-particle" : "", "family" : "Eaton", "given" : "Lynne", "non-dropping-particle" : "", "parse-names" : false, "suffix" : "" }, { "dropping-particle" : "", "family" : "Fowler", "given" : "Jeffrey", "non-dropping-particle" : "", "parse-names" : false, "suffix" : "" }, { "dropping-particle" : "", "family" : "Lewandowski", "given" : "George", "non-dropping-particle" : "", "parse-names" : false, "suffix" : "" }, { "dropping-particle" : "", "family" : "Vaccarello", "given" : "Luis", "non-dropping-particle" : "", "parse-names" : false, "suffix" : "" }, { "dropping-particle" : "", "family" : "Bell", "given" : "Jeffrey", "non-dropping-particle" : "", "parse-names" : false, "suffix" : "" }, { "dropping-particle" : "", "family" : "Reid", "given" : "Gary", "non-dropping-particle" : "", "parse-names" : false, "suffix" : "" }, { "dropping-particle" : "", "family" : "La Chapelle", "given" : "Albert", "non-dropping-particle" : "De", "parse-names" : false, "suffix" : "" } ], "container-title" : "Cancer research", "id" : "ITEM-2", "issue" : "15", "issued" : { "date-parts" : [ [ "2006", "8", "1" ] ] }, "page" : "7810-7", "title" : "Screening for Lynch syndrome (hereditary nonpolyposis colorectal cancer) among endometrial cancer patients.", "type" : "article-journal", "volume" : "66" }, "uris" : [ "http://www.mendeley.com/documents/?uuid=a634ad6f-45d2-4bc2-b362-8a4c24754390" ] } ], "mendeley" : { "formattedCitation" : "(1, 2)", "plainTextFormattedCitation" : "(1, 2)", "previouslyFormattedCitation" : "(Hampel et al. 2006; Kariola et al. 2004)"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27,28</w:t>
            </w:r>
            <w:r>
              <w:rPr>
                <w:rFonts w:ascii="Arial" w:hAnsi="Arial" w:cs="Arial"/>
                <w:sz w:val="18"/>
                <w:szCs w:val="16"/>
              </w:rPr>
              <w:fldChar w:fldCharType="end"/>
            </w:r>
            <w:r w:rsidR="00DB4700">
              <w:rPr>
                <w:rFonts w:ascii="Arial" w:hAnsi="Arial" w:cs="Arial"/>
                <w:sz w:val="18"/>
                <w:szCs w:val="16"/>
              </w:rPr>
              <w:t>]</w:t>
            </w:r>
          </w:p>
        </w:tc>
        <w:tc>
          <w:tcPr>
            <w:tcW w:w="993" w:type="dxa"/>
          </w:tcPr>
          <w:p w14:paraId="22FADAA6"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0CA2D2E5"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5D8164B2" w14:textId="77777777" w:rsidR="00356B88" w:rsidRDefault="00356B88" w:rsidP="000A3AB2">
            <w:pPr>
              <w:rPr>
                <w:rFonts w:ascii="Arial" w:hAnsi="Arial" w:cs="Arial"/>
                <w:sz w:val="18"/>
                <w:szCs w:val="16"/>
              </w:rPr>
            </w:pPr>
            <w:r>
              <w:rPr>
                <w:rFonts w:ascii="Arial" w:hAnsi="Arial" w:cs="Arial"/>
                <w:sz w:val="18"/>
                <w:szCs w:val="16"/>
              </w:rPr>
              <w:t>Pathogenic</w:t>
            </w:r>
          </w:p>
        </w:tc>
      </w:tr>
      <w:tr w:rsidR="00356B88" w:rsidRPr="00AF5EAC" w14:paraId="59EBD866" w14:textId="77777777" w:rsidTr="000A3AB2">
        <w:trPr>
          <w:trHeight w:val="306"/>
        </w:trPr>
        <w:tc>
          <w:tcPr>
            <w:tcW w:w="959" w:type="dxa"/>
            <w:shd w:val="clear" w:color="auto" w:fill="auto"/>
          </w:tcPr>
          <w:p w14:paraId="64E22BFD"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T1219D</w:t>
            </w:r>
          </w:p>
        </w:tc>
        <w:tc>
          <w:tcPr>
            <w:tcW w:w="1276" w:type="dxa"/>
            <w:shd w:val="clear" w:color="auto" w:fill="auto"/>
          </w:tcPr>
          <w:p w14:paraId="53BE788D" w14:textId="77777777" w:rsidR="00356B88" w:rsidRPr="00083E82" w:rsidRDefault="00356B88" w:rsidP="000A3AB2">
            <w:pPr>
              <w:autoSpaceDE w:val="0"/>
              <w:autoSpaceDN w:val="0"/>
              <w:adjustRightInd w:val="0"/>
              <w:rPr>
                <w:rFonts w:ascii="Arial" w:hAnsi="Arial" w:cs="Arial"/>
                <w:sz w:val="18"/>
                <w:szCs w:val="16"/>
              </w:rPr>
            </w:pPr>
          </w:p>
        </w:tc>
        <w:tc>
          <w:tcPr>
            <w:tcW w:w="850" w:type="dxa"/>
            <w:shd w:val="clear" w:color="auto" w:fill="auto"/>
          </w:tcPr>
          <w:p w14:paraId="4D23ABCA"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6C8233CE"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5A0A545B"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5952FDE6"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5FE34E66"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2E4383D6" w14:textId="77777777" w:rsidR="00356B88" w:rsidRPr="00083E82" w:rsidRDefault="00356B88" w:rsidP="000A3AB2">
            <w:pPr>
              <w:autoSpaceDE w:val="0"/>
              <w:autoSpaceDN w:val="0"/>
              <w:adjustRightInd w:val="0"/>
              <w:rPr>
                <w:rFonts w:ascii="Arial" w:hAnsi="Arial" w:cs="Arial"/>
                <w:sz w:val="18"/>
                <w:szCs w:val="16"/>
                <w:lang w:val="nl-NL"/>
              </w:rPr>
            </w:pPr>
          </w:p>
        </w:tc>
        <w:tc>
          <w:tcPr>
            <w:tcW w:w="993" w:type="dxa"/>
          </w:tcPr>
          <w:p w14:paraId="6F2567FB"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NA</w:t>
            </w:r>
          </w:p>
        </w:tc>
        <w:tc>
          <w:tcPr>
            <w:tcW w:w="1134" w:type="dxa"/>
            <w:shd w:val="clear" w:color="auto" w:fill="auto"/>
          </w:tcPr>
          <w:p w14:paraId="0912EDB7"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36363DC1" w14:textId="77777777" w:rsidR="00356B88" w:rsidRDefault="00356B88" w:rsidP="000A3AB2">
            <w:pPr>
              <w:rPr>
                <w:rFonts w:ascii="Arial" w:hAnsi="Arial" w:cs="Arial"/>
                <w:sz w:val="18"/>
                <w:szCs w:val="16"/>
              </w:rPr>
            </w:pPr>
            <w:r>
              <w:rPr>
                <w:rFonts w:ascii="Arial" w:hAnsi="Arial" w:cs="Arial"/>
                <w:sz w:val="18"/>
                <w:szCs w:val="16"/>
              </w:rPr>
              <w:t>Pathogenic</w:t>
            </w:r>
          </w:p>
        </w:tc>
      </w:tr>
      <w:tr w:rsidR="00356B88" w:rsidRPr="00AF5EAC" w14:paraId="5DC9FD0F" w14:textId="77777777" w:rsidTr="000A3AB2">
        <w:trPr>
          <w:trHeight w:val="723"/>
        </w:trPr>
        <w:tc>
          <w:tcPr>
            <w:tcW w:w="959" w:type="dxa"/>
            <w:shd w:val="clear" w:color="auto" w:fill="auto"/>
          </w:tcPr>
          <w:p w14:paraId="47D99F3D"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T1219I</w:t>
            </w:r>
          </w:p>
        </w:tc>
        <w:tc>
          <w:tcPr>
            <w:tcW w:w="1276" w:type="dxa"/>
            <w:shd w:val="clear" w:color="auto" w:fill="auto"/>
          </w:tcPr>
          <w:p w14:paraId="02BECD5E"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37 yrs</w:t>
            </w:r>
          </w:p>
        </w:tc>
        <w:tc>
          <w:tcPr>
            <w:tcW w:w="850" w:type="dxa"/>
            <w:shd w:val="clear" w:color="auto" w:fill="auto"/>
          </w:tcPr>
          <w:p w14:paraId="6CD93955"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MSI-H</w:t>
            </w:r>
          </w:p>
        </w:tc>
        <w:tc>
          <w:tcPr>
            <w:tcW w:w="1133" w:type="dxa"/>
            <w:shd w:val="clear" w:color="auto" w:fill="auto"/>
          </w:tcPr>
          <w:p w14:paraId="647955D5"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MSH2+</w:t>
            </w:r>
          </w:p>
          <w:p w14:paraId="1DDEC923"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MSH6+</w:t>
            </w:r>
          </w:p>
          <w:p w14:paraId="06D707C1"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MLH1+</w:t>
            </w:r>
          </w:p>
        </w:tc>
        <w:tc>
          <w:tcPr>
            <w:tcW w:w="1986" w:type="dxa"/>
            <w:shd w:val="clear" w:color="auto" w:fill="auto"/>
          </w:tcPr>
          <w:p w14:paraId="025127E5"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7E74392E"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Amsterdam II</w:t>
            </w:r>
          </w:p>
        </w:tc>
        <w:tc>
          <w:tcPr>
            <w:tcW w:w="2268" w:type="dxa"/>
          </w:tcPr>
          <w:p w14:paraId="4BC2945F" w14:textId="77777777" w:rsidR="00356B88"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Parent CRC 36 yrs</w:t>
            </w:r>
          </w:p>
          <w:p w14:paraId="02C2D842" w14:textId="77777777" w:rsidR="00356B88"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2</w:t>
            </w:r>
            <w:r w:rsidRPr="00B50720">
              <w:rPr>
                <w:rFonts w:ascii="Arial" w:hAnsi="Arial" w:cs="Arial"/>
                <w:sz w:val="18"/>
                <w:szCs w:val="16"/>
                <w:vertAlign w:val="superscript"/>
              </w:rPr>
              <w:t>nd</w:t>
            </w:r>
            <w:r>
              <w:rPr>
                <w:rFonts w:ascii="Arial" w:hAnsi="Arial" w:cs="Arial"/>
                <w:sz w:val="18"/>
                <w:szCs w:val="16"/>
              </w:rPr>
              <w:t xml:space="preserve"> degree relative CRC</w:t>
            </w:r>
          </w:p>
          <w:p w14:paraId="07EF03FE"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2 3</w:t>
            </w:r>
            <w:r w:rsidRPr="00B50720">
              <w:rPr>
                <w:rFonts w:ascii="Arial" w:hAnsi="Arial" w:cs="Arial"/>
                <w:sz w:val="18"/>
                <w:szCs w:val="16"/>
                <w:vertAlign w:val="superscript"/>
              </w:rPr>
              <w:t>rd</w:t>
            </w:r>
            <w:r>
              <w:rPr>
                <w:rFonts w:ascii="Arial" w:hAnsi="Arial" w:cs="Arial"/>
                <w:sz w:val="18"/>
                <w:szCs w:val="16"/>
              </w:rPr>
              <w:t xml:space="preserve"> degree relatives had cancer of unknown origins</w:t>
            </w:r>
          </w:p>
        </w:tc>
        <w:tc>
          <w:tcPr>
            <w:tcW w:w="1134" w:type="dxa"/>
            <w:shd w:val="clear" w:color="auto" w:fill="auto"/>
          </w:tcPr>
          <w:p w14:paraId="7778DA99" w14:textId="01202186" w:rsidR="00356B88" w:rsidRPr="007D0C03" w:rsidRDefault="00356B88" w:rsidP="00DB4700">
            <w:pPr>
              <w:autoSpaceDE w:val="0"/>
              <w:autoSpaceDN w:val="0"/>
              <w:adjustRightInd w:val="0"/>
              <w:rPr>
                <w:rFonts w:ascii="Arial" w:hAnsi="Arial" w:cs="Arial"/>
                <w:color w:val="000000" w:themeColor="text1"/>
                <w:sz w:val="18"/>
                <w:szCs w:val="16"/>
                <w:lang w:val="nl-NL"/>
              </w:rPr>
            </w:pPr>
            <w:r w:rsidRPr="007D0C03">
              <w:rPr>
                <w:rFonts w:ascii="Arial" w:hAnsi="Arial" w:cs="Arial"/>
                <w:color w:val="000000" w:themeColor="text1"/>
                <w:sz w:val="18"/>
                <w:szCs w:val="16"/>
                <w:lang w:val="nl-NL"/>
              </w:rPr>
              <w:fldChar w:fldCharType="begin" w:fldLock="1"/>
            </w:r>
            <w:r>
              <w:rPr>
                <w:rFonts w:ascii="Arial" w:hAnsi="Arial" w:cs="Arial"/>
                <w:color w:val="000000" w:themeColor="text1"/>
                <w:sz w:val="18"/>
                <w:szCs w:val="16"/>
                <w:lang w:val="nl-NL"/>
              </w:rPr>
              <w:instrText>ADDIN CSL_CITATION { "citationItems" : [ { "id" : "ITEM-1", "itemData" : { "DOI" : "10.1086/337944", "ISSN" : "00029297", "PMID" : "11709755", "abstract" : "The MSH6 gene is one of the mismatch-repair genes involved in hereditary nonpolyposis colorectal cancer (HNPCC). Three hundred sixteen individuals who were known or suspected to have HNPCC were analyzed for MSH6 germline mutations. For 25 index patients and 8 relatives with MSH6 variants, molecular and clinical features are described. For analysis of microsatellite instability (MSI), the five consensus markers were used. Immunohistochemical analysis of the MLH1, MSH2, and MSH6 proteins was performed. Five truncating MSH6 mutations, of which one was detected seven times, were found in 12 index patients, and 10 MSH6 variants with unknown pathogenicity were found in 13 index patients. Fourteen (54%) of 26 colorectal cancers (CRCs) and endometrial cancers showed no, or only weak, MSI. Twelve of 18 tumors of truncating-mutation carriers and 3 of 17 tumors of missense-mutation carriers showed loss of MSH6 staining. Six of the families that we studied fulfilled the original Amsterdam criteria; most families with MSH6, however, were only suspected to have HNPCC. In families that did not fulfill the revised Amsterdam criteria, the prevalence of MSH6 variants is about the same as the prevalence of those in MLH1/MSH2. Endometrial cancer and/or atypical hyperplasia were diagnosed in 8 of 12 female carriers of MSH6 truncating mutations. Most CRCs were localized distally in the colon. Although, molecularly, missense variants are labeled as doubtfully pathogenic, clinical data disclose a great resemblance between missense-variant carriers and truncating-mutation carriers. We conclude that, in all patients suspected to have HNPCC, MSH6-mutation analysis should be considered. Neither MSI nor immunohistochemistry should be a definitive selection criterion for MSH6-mutation analysis.", "author" : [ { "dropping-particle" : "", "family" : "Berends", "given" : "Maran J W", "non-dropping-particle" : "", "parse-names" : false, "suffix" : "" }, { "dropping-particle" : "", "family" : "Wu", "given" : "Ying", "non-dropping-particle" : "", "parse-names" : false, "suffix" : "" }, { "dropping-particle" : "", "family" : "Sijmons", "given" : "Rolf H", "non-dropping-particle" : "", "parse-names" : false, "suffix" : "" }, { "dropping-particle" : "", "family" : "Mensink", "given" : "Rob G J", "non-dropping-particle" : "", "parse-names" : false, "suffix" : "" }, { "dropping-particle" : "", "family" : "Sluis", "given" : "Tineke", "non-dropping-particle" : "van der", "parse-names" : false, "suffix" : "" }, { "dropping-particle" : "", "family" : "Hordijk-Hos", "given" : "Jannet M", "non-dropping-particle" : "", "parse-names" : false, "suffix" : "" }, { "dropping-particle" : "", "family" : "Vries", "given" : "Elisabeth G E", "non-dropping-particle" : "de", "parse-names" : false, "suffix" : "" }, { "dropping-particle" : "", "family" : "Hollema", "given" : "Harry", "non-dropping-particle" : "", "parse-names" : false, "suffix" : "" }, { "dropping-particle" : "", "family" : "Karrenbeld", "given" : "Arend", "non-dropping-particle" : "", "parse-names" : false, "suffix" : "" }, { "dropping-particle" : "", "family" : "Buys", "given" : "Charles H C M", "non-dropping-particle" : "", "parse-names" : false, "suffix" : "" }, { "dropping-particle" : "", "family" : "Zee", "given" : "Ate G J", "non-dropping-particle" : "van der", "parse-names" : false, "suffix" : "" }, { "dropping-particle" : "", "family" : "Hofstra", "given" : "Robert M W", "non-dropping-particle" : "", "parse-names" : false, "suffix" : "" }, { "dropping-particle" : "", "family" : "Kleibeuker", "given" : "Jan H", "non-dropping-particle" : "", "parse-names" : false, "suffix" : "" } ], "container-title" : "American journal of human genetics", "id" : "ITEM-1", "issue" : "1", "issued" : { "date-parts" : [ [ "2002" ] ] }, "page" : "26-37", "title" : "Molecular and clinical characteristics of MSH6 variants: an analysis of 25 index carriers of a germline variant.", "type" : "article-journal", "volume" : "70" }, "uris" : [ "http://www.mendeley.com/documents/?uuid=9badea68-0713-49de-960f-aa445ca09bf4" ] } ], "mendeley" : { "formattedCitation" : "(11)", "plainTextFormattedCitation" : "(11)", "previouslyFormattedCitation" : "(Berends et al. 2002)" }, "properties" : { "noteIndex" : 0 }, "schema" : "https://github.com/citation-style-language/schema/raw/master/csl-citation.json" }</w:instrText>
            </w:r>
            <w:r w:rsidRPr="007D0C03">
              <w:rPr>
                <w:rFonts w:ascii="Arial" w:hAnsi="Arial" w:cs="Arial"/>
                <w:color w:val="000000" w:themeColor="text1"/>
                <w:sz w:val="18"/>
                <w:szCs w:val="16"/>
                <w:lang w:val="nl-NL"/>
              </w:rPr>
              <w:fldChar w:fldCharType="separate"/>
            </w:r>
            <w:r w:rsidR="00DB4700">
              <w:rPr>
                <w:rFonts w:ascii="Arial" w:hAnsi="Arial" w:cs="Arial"/>
                <w:noProof/>
                <w:color w:val="000000" w:themeColor="text1"/>
                <w:sz w:val="18"/>
                <w:szCs w:val="16"/>
                <w:lang w:val="nl-NL"/>
              </w:rPr>
              <w:t>[</w:t>
            </w:r>
            <w:r w:rsidR="00C91DF8">
              <w:rPr>
                <w:rFonts w:ascii="Arial" w:hAnsi="Arial" w:cs="Arial"/>
                <w:noProof/>
                <w:color w:val="000000" w:themeColor="text1"/>
                <w:sz w:val="18"/>
                <w:szCs w:val="16"/>
                <w:lang w:val="nl-NL"/>
              </w:rPr>
              <w:t>37</w:t>
            </w:r>
            <w:r w:rsidRPr="007D0C03">
              <w:rPr>
                <w:rFonts w:ascii="Arial" w:hAnsi="Arial" w:cs="Arial"/>
                <w:color w:val="000000" w:themeColor="text1"/>
                <w:sz w:val="18"/>
                <w:szCs w:val="16"/>
                <w:lang w:val="nl-NL"/>
              </w:rPr>
              <w:fldChar w:fldCharType="end"/>
            </w:r>
            <w:r w:rsidR="00DB4700">
              <w:rPr>
                <w:rFonts w:ascii="Arial" w:hAnsi="Arial" w:cs="Arial"/>
                <w:color w:val="000000" w:themeColor="text1"/>
                <w:sz w:val="18"/>
                <w:szCs w:val="16"/>
                <w:lang w:val="nl-NL"/>
              </w:rPr>
              <w:t>]</w:t>
            </w:r>
          </w:p>
        </w:tc>
        <w:tc>
          <w:tcPr>
            <w:tcW w:w="993" w:type="dxa"/>
          </w:tcPr>
          <w:p w14:paraId="726720AC"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795D5633"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0CC0DC24" w14:textId="77777777" w:rsidR="00356B88" w:rsidRDefault="00356B88" w:rsidP="000A3AB2">
            <w:pPr>
              <w:rPr>
                <w:rFonts w:ascii="Arial" w:hAnsi="Arial" w:cs="Arial"/>
                <w:sz w:val="18"/>
                <w:szCs w:val="16"/>
              </w:rPr>
            </w:pPr>
            <w:r>
              <w:rPr>
                <w:rFonts w:ascii="Arial" w:hAnsi="Arial" w:cs="Arial"/>
                <w:sz w:val="18"/>
                <w:szCs w:val="16"/>
              </w:rPr>
              <w:t>Pathogenic</w:t>
            </w:r>
          </w:p>
        </w:tc>
      </w:tr>
      <w:tr w:rsidR="00356B88" w:rsidRPr="00AF5EAC" w14:paraId="4644DED0" w14:textId="77777777" w:rsidTr="000A3AB2">
        <w:trPr>
          <w:trHeight w:val="346"/>
        </w:trPr>
        <w:tc>
          <w:tcPr>
            <w:tcW w:w="959" w:type="dxa"/>
            <w:shd w:val="clear" w:color="auto" w:fill="auto"/>
          </w:tcPr>
          <w:p w14:paraId="28FE1A31"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T1225M</w:t>
            </w:r>
          </w:p>
          <w:p w14:paraId="373F994D" w14:textId="77777777" w:rsidR="00356B88" w:rsidRDefault="00356B88" w:rsidP="000A3AB2">
            <w:pPr>
              <w:autoSpaceDE w:val="0"/>
              <w:autoSpaceDN w:val="0"/>
              <w:adjustRightInd w:val="0"/>
              <w:rPr>
                <w:rFonts w:ascii="Arial" w:hAnsi="Arial" w:cs="Arial"/>
                <w:sz w:val="18"/>
                <w:szCs w:val="16"/>
              </w:rPr>
            </w:pPr>
          </w:p>
        </w:tc>
        <w:tc>
          <w:tcPr>
            <w:tcW w:w="1276" w:type="dxa"/>
            <w:shd w:val="clear" w:color="auto" w:fill="auto"/>
          </w:tcPr>
          <w:p w14:paraId="1DE8EE19"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EC 61 yrs</w:t>
            </w:r>
          </w:p>
        </w:tc>
        <w:tc>
          <w:tcPr>
            <w:tcW w:w="850" w:type="dxa"/>
            <w:shd w:val="clear" w:color="auto" w:fill="auto"/>
          </w:tcPr>
          <w:p w14:paraId="0C0307BB"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MSI-H</w:t>
            </w:r>
          </w:p>
        </w:tc>
        <w:tc>
          <w:tcPr>
            <w:tcW w:w="1133" w:type="dxa"/>
            <w:shd w:val="clear" w:color="auto" w:fill="auto"/>
          </w:tcPr>
          <w:p w14:paraId="6B4C51D2"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69EBCAAA"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15CAD2D2" w14:textId="77777777" w:rsidR="00356B88"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No</w:t>
            </w:r>
          </w:p>
        </w:tc>
        <w:tc>
          <w:tcPr>
            <w:tcW w:w="2268" w:type="dxa"/>
          </w:tcPr>
          <w:p w14:paraId="21068DD2"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137B685D" w14:textId="36599966" w:rsidR="00356B88"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"10.1158/0008-5472.CAN-06-1114", "ISSN" : "0008-5472", "PMID" : "16885385", "abstract" : "Endometrial cancer is the most common cancer in women with Lynch syndrome. The identification of individuals with Lynch syndrome is desirable because they can benefit from increased cancer surveillance. The purpose of this study was to determine the feasibility and desirability of molecular screening for Lynch syndrome in all endometrial cancer patients. Unselected endometrial cancer patients (N = 543) were studied. All tumors underwent microsatellite instability (MSI) testing. Patients with MSI-positive tumors underwent testing for germ line mutations in MLH1, MSH2, MSH6, and PMS2. Of 543 tumors studied, 118 (21.7%) were MSI positive (98 of 118 MSI high and 20 of 118 MSI low). All 118 patients with MSI-positive tumors had mutation testing, and nine of them had deleterious germ line mutations (one MLH1, three MSH2, and five MSH6). In addition, one case with an MSI-negative tumor had abnormal MSH6 immunohistochemical staining and was subsequently found to have a mutation in MSH6. Immunohistochemical staining was consistent with the mutation result in all seven truncating mutation-positive cases but was not consistent in two of the three missense mutation cases. We conclude that in central Ohio, at least 1.8% (95% confidence interval, 0.9-3.5%) of newly diagnosed endometrial cancer patients had Lynch syndrome. Seven of the 10 Lynch syndrome patients did not meet any published criteria for hereditary nonpolyposis colorectal cancer, and six of them were diagnosed at age &gt;50. Studying all endometrial cancer patients for Lynch syndrome using a combination of MSI and immunohistochemistry for molecular prescreening followed by gene sequencing and deletion analysis is feasible and may be desirable.", "author" : [ { "dropping-particle" : "", "family" : "Hampel", "given" : "Heather", "non-dropping-particle" : "", "parse-names" : false, "suffix" : "" }, { "dropping-particle" : "", "family" : "Frankel", "given" : "Wendy", "non-dropping-particle" : "", "parse-names" : false, "suffix" : "" }, { "dropping-particle" : "", "family" : "Panescu", "given" : "Jenny", "non-dropping-particle" : "", "parse-names" : false, "suffix" : "" }, { "dropping-particle" : "", "family" : "Lockman", "given" : "Janet", "non-dropping-particle" : "", "parse-names" : false, "suffix" : "" }, { "dropping-particle" : "", "family" : "Sotamaa", "given" : "Kaisa", "non-dropping-particle" : "", "parse-names" : false, "suffix" : "" }, { "dropping-particle" : "", "family" : "Fix", "given" : "Daniel", "non-dropping-particle" : "", "parse-names" : false, "suffix" : "" }, { "dropping-particle" : "", "family" : "Comeras", "given" : "Ilene", "non-dropping-particle" : "", "parse-names" : false, "suffix" : "" }, { "dropping-particle" : "", "family" : "Jeunesse", "given" : "Jennifer", "non-dropping-particle" : "La", "parse-names" : false, "suffix" : "" }, { "dropping-particle" : "", "family" : "Nakagawa", "given" : "Hidewaki", "non-dropping-particle" : "", "parse-names" : false, "suffix" : "" }, { "dropping-particle" : "", "family" : "Westman", "given" : "Judith a.", "non-dropping-particle" : "", "parse-names" : false, "suffix" : "" }, { "dropping-particle" : "", "family" : "Prior", "given" : "Thomas W.", "non-dropping-particle" : "", "parse-names" : false, "suffix" : "" }, { "dropping-particle" : "", "family" : "Clendenning", "given" : "Mark", "non-dropping-particle" : "", "parse-names" : false, "suffix" : "" }, { "dropping-particle" : "", "family" : "Penzone", "given" : "Pamela", "non-dropping-particle" : "", "parse-names" : false, "suffix" : "" }, { "dropping-particle" : "", "family" : "Lombardi", "given" : "Janet", "non-dropping-particle" : "", "parse-names" : false, "suffix" : "" }, { "dropping-particle" : "", "family" : "Dunn", "given" : "Patti", "non-dropping-particle" : "", "parse-names" : false, "suffix" : "" }, { "dropping-particle" : "", "family" : "Cohn", "given" : "David E.", "non-dropping-particle" : "", "parse-names" : false, "suffix" : "" }, { "dropping-particle" : "", "family" : "Copeland", "given" : "Larry", "non-dropping-particle" : "", "parse-names" : false, "suffix" : "" }, { "dropping-particle" : "", "family" : "Eaton", "given" : "Lynne", "non-dropping-particle" : "", "parse-names" : false, "suffix" : "" }, { "dropping-particle" : "", "family" : "Fowler", "given" : "Jeffrey", "non-dropping-particle" : "", "parse-names" : false, "suffix" : "" }, { "dropping-particle" : "", "family" : "Lewandowski", "given" : "George", "non-dropping-particle" : "", "parse-names" : false, "suffix" : "" }, { "dropping-particle" : "", "family" : "Vaccarello", "given" : "Luis", "non-dropping-particle" : "", "parse-names" : false, "suffix" : "" }, { "dropping-particle" : "", "family" : "Bell", "given" : "Jeffrey", "non-dropping-particle" : "", "parse-names" : false, "suffix" : "" }, { "dropping-particle" : "", "family" : "Reid", "given" : "Gary", "non-dropping-particle" : "", "parse-names" : false, "suffix" : "" }, { "dropping-particle" : "", "family" : "La Chapelle", "given" : "Albert", "non-dropping-particle" : "De", "parse-names" : false, "suffix" : "" } ], "container-title" : "Cancer research", "id" : "ITEM-1", "issue" : "15", "issued" : { "date-parts" : [ [ "2006", "8", "1" ] ] }, "page" : "7810-7", "title" : "Screening for Lynch syndrome (hereditary nonpolyposis colorectal cancer) among endometrial cancer patients.", "type" : "article-journal", "volume" : "66" }, "uris" : [ "http://www.mendeley.com/documents/?uuid=a634ad6f-45d2-4bc2-b362-8a4c24754390" ] } ], "mendeley" : { "formattedCitation" : "(2)", "plainTextFormattedCitation" : "(2)", "previouslyFormattedCitation" : "(Hampel et al. 2006)"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28</w:t>
            </w:r>
            <w:r>
              <w:rPr>
                <w:rFonts w:ascii="Arial" w:hAnsi="Arial" w:cs="Arial"/>
                <w:sz w:val="18"/>
                <w:szCs w:val="16"/>
              </w:rPr>
              <w:fldChar w:fldCharType="end"/>
            </w:r>
            <w:r w:rsidR="00DB4700">
              <w:rPr>
                <w:rFonts w:ascii="Arial" w:hAnsi="Arial" w:cs="Arial"/>
                <w:sz w:val="18"/>
                <w:szCs w:val="16"/>
              </w:rPr>
              <w:t>]</w:t>
            </w:r>
          </w:p>
        </w:tc>
        <w:tc>
          <w:tcPr>
            <w:tcW w:w="993" w:type="dxa"/>
          </w:tcPr>
          <w:p w14:paraId="005F7EAC"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3</w:t>
            </w:r>
          </w:p>
        </w:tc>
        <w:tc>
          <w:tcPr>
            <w:tcW w:w="1134" w:type="dxa"/>
            <w:shd w:val="clear" w:color="auto" w:fill="auto"/>
          </w:tcPr>
          <w:p w14:paraId="6A8B3984"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7A2A5D29"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AF5EAC" w14:paraId="012F063F" w14:textId="77777777" w:rsidTr="000A3AB2">
        <w:trPr>
          <w:trHeight w:val="390"/>
        </w:trPr>
        <w:tc>
          <w:tcPr>
            <w:tcW w:w="959" w:type="dxa"/>
            <w:shd w:val="clear" w:color="auto" w:fill="auto"/>
          </w:tcPr>
          <w:p w14:paraId="5B24A136"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T1225M</w:t>
            </w:r>
          </w:p>
          <w:p w14:paraId="274971AE" w14:textId="77777777" w:rsidR="00356B88" w:rsidRDefault="00356B88" w:rsidP="000A3AB2">
            <w:pPr>
              <w:autoSpaceDE w:val="0"/>
              <w:autoSpaceDN w:val="0"/>
              <w:adjustRightInd w:val="0"/>
              <w:rPr>
                <w:rFonts w:ascii="Arial" w:hAnsi="Arial" w:cs="Arial"/>
                <w:sz w:val="18"/>
                <w:szCs w:val="16"/>
              </w:rPr>
            </w:pPr>
          </w:p>
        </w:tc>
        <w:tc>
          <w:tcPr>
            <w:tcW w:w="1276" w:type="dxa"/>
            <w:shd w:val="clear" w:color="auto" w:fill="auto"/>
          </w:tcPr>
          <w:p w14:paraId="479AEA9D"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CRC 49 yrs</w:t>
            </w:r>
          </w:p>
        </w:tc>
        <w:tc>
          <w:tcPr>
            <w:tcW w:w="850" w:type="dxa"/>
            <w:shd w:val="clear" w:color="auto" w:fill="auto"/>
          </w:tcPr>
          <w:p w14:paraId="1D27710A"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MSS</w:t>
            </w:r>
          </w:p>
        </w:tc>
        <w:tc>
          <w:tcPr>
            <w:tcW w:w="1133" w:type="dxa"/>
            <w:shd w:val="clear" w:color="auto" w:fill="auto"/>
          </w:tcPr>
          <w:p w14:paraId="0D28449C"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MSH6+</w:t>
            </w:r>
          </w:p>
        </w:tc>
        <w:tc>
          <w:tcPr>
            <w:tcW w:w="1986" w:type="dxa"/>
            <w:shd w:val="clear" w:color="auto" w:fill="auto"/>
          </w:tcPr>
          <w:p w14:paraId="5CDCBC15"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1B28604D" w14:textId="77777777" w:rsidR="00356B88"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No</w:t>
            </w:r>
          </w:p>
        </w:tc>
        <w:tc>
          <w:tcPr>
            <w:tcW w:w="2268" w:type="dxa"/>
          </w:tcPr>
          <w:p w14:paraId="7703284F" w14:textId="77777777" w:rsidR="00356B88"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Parent CRC 49 yrs</w:t>
            </w:r>
          </w:p>
          <w:p w14:paraId="4F2E63B2"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41B38D63" w14:textId="07B6205B" w:rsidR="00356B88"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"10.1093/jnci/djk051", "ISSN" : "00278874", "PMID" : "17312306", "abstract" : "BACKGROUND: Preventive programs for individuals who have high lifetime risks of colorectal cancer may reduce disease morbidity and mortality. Thus, it is important to identify the factors that are associated with hereditary colorectal cancer and to monitor the effects of tailored surveillance. In particular, patients with Lynch syndrome, hereditary nonpolyposis colorectal cancer (HNPCC), have an increased risk to develop colorectal cancer at an early age. The syndrome is explained by germline mutations in DNA mismatch repair (MMR) genes, and there is a need for diagnostic tools to preselect patients for genetic testing to diagnose those with HNPCC. METHODS: Patients (n = 112) from 285 families who were counseled between 1990 and 2005 at a clinic for patients at high risk for HNPCC were selected for screening to detect mutations in MMR genes MLH1, MSH2, MSH6, and PMS2 based on family history, microsatellite instability (MSI), and immunohistochemical analysis of MMR protein expression. Tumors were also screened for BRAF V600E mutations; patients with the mutation were considered as non-HNPCC. RESULTS: Among the 112 patients who were selected for screening, 69 had germline MMR mutations (58 pathogenic and 11 of unknown biologic relevance). Sixteen of the 69 mutations (23%) were missense mutations. Among patients with MSI-positive tumors, pathogenic MMR mutations were found in 38 of 43 (88%) of patients in families who met Amsterdam criteria and in 13 of 22 (59%) of patients in families who did not. Among patients with MSI-negative tumors, pathogenic MMR mutations were found in 5 of 17 (29%) of families meeting Amsterdam criteria and in 1 of 30 (3%) of non-Amsterdam families with one patient younger than age 50 years. In three patients with MSI-negative tumors who had pathogenic mutations in MLH1 or MSH6, immunohistochemistry showed loss of the mutated protein. CONCLUSION: Our findings suggest that missense MMR gene mutations are common in HNPCC and that germline MMR mutations are also found in patients with MSI-negative tumors.", "author" : [ { "dropping-particle" : "", "family" : "Lagerstedt Robinson", "given" : "Kristina", "non-dropping-particle" : "", "parse-names" : false, "suffix" : "" }, { "dropping-particle" : "", "family" : "Liu", "given" : "Tao", "non-dropping-particle" : "", "parse-names" : false, "suffix" : "" }, { "dropping-particle" : "", "family" : "Vandrovcova", "given" : "Jana", "non-dropping-particle" : "", "parse-names" : false, "suffix" : "" }, { "dropping-particle" : "", "family" : "Halvarsson", "given" : "Britta", "non-dropping-particle" : "", "parse-names" : false, "suffix" : "" }, { "dropping-particle" : "", "family" : "Clendenning", "given" : "Mark", "non-dropping-particle" : "", "parse-names" : false, "suffix" : "" }, { "dropping-particle" : "", "family" : "Frebourg", "given" : "Thierry", "non-dropping-particle" : "", "parse-names" : false, "suffix" : "" }, { "dropping-particle" : "", "family" : "Papadopoulos", "given" : "Nickolas",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"Peltom??ki", "given" : "P??ivi", "non-dropping-particle" : "", "parse-names" : false, "suffix" : "" }, { "dropping-particle" : "", "family" : "Kolodner", "given" : "Richard D.", "non-dropping-particle" : "", "parse-names" : false, "suffix" : "" }, { "dropping-particle" : "", "family" : "Nilbert", "given" : "Mef", "non-dropping-particle" : "", "parse-names" : false, "suffix" : "" }, { "dropping-particle" : "", "family" : "Lindblom", "given" : "Annika", "non-dropping-particle" : "", "parse-names" : false, "suffix" : "" } ], "container-title" : "Journal of the National Cancer Institute", "id" : "ITEM-1", "issue" : "4", "issued" : { "date-parts" : [ [ "2007" ] ] }, "page" : "291-299", "title" : "Lynch syndrome (hereditary nonpolyposis colorectal cancer) diagnostics", "type" : "article-journal", "volume" : "99" }, "uris" : [ "http://www.mendeley.com/documents/?uuid=af646528-98da-4bbb-9f75-592fe810fa3c" ] } ], "mendeley" : { "formattedCitation" : "(12)", "plainTextFormattedCitation" : "(12)", "previouslyFormattedCitation" : "(Lagerstedt Robinson et al. 2007)"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38</w:t>
            </w:r>
            <w:r>
              <w:rPr>
                <w:rFonts w:ascii="Arial" w:hAnsi="Arial" w:cs="Arial"/>
                <w:sz w:val="18"/>
                <w:szCs w:val="16"/>
              </w:rPr>
              <w:fldChar w:fldCharType="end"/>
            </w:r>
            <w:r w:rsidR="00DB4700">
              <w:rPr>
                <w:rFonts w:ascii="Arial" w:hAnsi="Arial" w:cs="Arial"/>
                <w:sz w:val="18"/>
                <w:szCs w:val="16"/>
              </w:rPr>
              <w:t>]</w:t>
            </w:r>
          </w:p>
        </w:tc>
        <w:tc>
          <w:tcPr>
            <w:tcW w:w="993" w:type="dxa"/>
          </w:tcPr>
          <w:p w14:paraId="2043F41F"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3</w:t>
            </w:r>
          </w:p>
        </w:tc>
        <w:tc>
          <w:tcPr>
            <w:tcW w:w="1134" w:type="dxa"/>
            <w:shd w:val="clear" w:color="auto" w:fill="auto"/>
          </w:tcPr>
          <w:p w14:paraId="69F904FA"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lang w:val="en-GB"/>
              </w:rPr>
              <w:t>Probably damaging</w:t>
            </w:r>
          </w:p>
        </w:tc>
        <w:tc>
          <w:tcPr>
            <w:tcW w:w="1134" w:type="dxa"/>
          </w:tcPr>
          <w:p w14:paraId="1140E21C"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AF5EAC" w14:paraId="4A753BA3" w14:textId="77777777" w:rsidTr="000A3AB2">
        <w:trPr>
          <w:trHeight w:val="396"/>
        </w:trPr>
        <w:tc>
          <w:tcPr>
            <w:tcW w:w="959" w:type="dxa"/>
            <w:shd w:val="clear" w:color="auto" w:fill="auto"/>
          </w:tcPr>
          <w:p w14:paraId="040F499A"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T1225M</w:t>
            </w:r>
          </w:p>
          <w:p w14:paraId="59873A97" w14:textId="77777777" w:rsidR="00356B88" w:rsidRDefault="00356B88" w:rsidP="000A3AB2">
            <w:pPr>
              <w:autoSpaceDE w:val="0"/>
              <w:autoSpaceDN w:val="0"/>
              <w:adjustRightInd w:val="0"/>
              <w:rPr>
                <w:rFonts w:ascii="Arial" w:hAnsi="Arial" w:cs="Arial"/>
                <w:sz w:val="18"/>
                <w:szCs w:val="16"/>
              </w:rPr>
            </w:pPr>
          </w:p>
        </w:tc>
        <w:tc>
          <w:tcPr>
            <w:tcW w:w="1276" w:type="dxa"/>
            <w:shd w:val="clear" w:color="auto" w:fill="auto"/>
          </w:tcPr>
          <w:p w14:paraId="33DF872F"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rPr>
              <w:t>CRC 49 yrs</w:t>
            </w:r>
          </w:p>
        </w:tc>
        <w:tc>
          <w:tcPr>
            <w:tcW w:w="850" w:type="dxa"/>
            <w:shd w:val="clear" w:color="auto" w:fill="auto"/>
          </w:tcPr>
          <w:p w14:paraId="2151E5E0"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5DEC8702"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56044040"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7C21BFFF" w14:textId="77777777" w:rsidR="00356B88" w:rsidRPr="00083E82" w:rsidRDefault="00356B88" w:rsidP="000A3AB2">
            <w:pPr>
              <w:autoSpaceDE w:val="0"/>
              <w:autoSpaceDN w:val="0"/>
              <w:adjustRightInd w:val="0"/>
              <w:rPr>
                <w:rFonts w:ascii="Arial" w:hAnsi="Arial" w:cs="Arial"/>
                <w:sz w:val="18"/>
                <w:szCs w:val="16"/>
                <w:lang w:val="nl-NL"/>
              </w:rPr>
            </w:pPr>
            <w:r>
              <w:rPr>
                <w:rFonts w:ascii="Arial" w:hAnsi="Arial" w:cs="Arial"/>
                <w:sz w:val="18"/>
                <w:szCs w:val="16"/>
                <w:lang w:val="nl-NL"/>
              </w:rPr>
              <w:t>Amsterdam I &amp; II</w:t>
            </w:r>
          </w:p>
        </w:tc>
        <w:tc>
          <w:tcPr>
            <w:tcW w:w="2268" w:type="dxa"/>
          </w:tcPr>
          <w:p w14:paraId="35CF974B" w14:textId="77777777" w:rsidR="00356B88"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Relative CRC 53 yrs</w:t>
            </w:r>
          </w:p>
          <w:p w14:paraId="77EBE33F" w14:textId="77777777" w:rsidR="00356B88" w:rsidRPr="00083E82" w:rsidRDefault="00356B88" w:rsidP="000A3AB2">
            <w:pPr>
              <w:autoSpaceDE w:val="0"/>
              <w:autoSpaceDN w:val="0"/>
              <w:adjustRightInd w:val="0"/>
              <w:rPr>
                <w:rFonts w:ascii="Arial" w:hAnsi="Arial" w:cs="Arial"/>
                <w:sz w:val="18"/>
                <w:szCs w:val="16"/>
              </w:rPr>
            </w:pPr>
            <w:r w:rsidRPr="00481F78">
              <w:rPr>
                <w:rFonts w:ascii="Wingdings" w:hAnsi="Wingdings"/>
                <w:color w:val="000000"/>
                <w:sz w:val="18"/>
                <w:szCs w:val="18"/>
              </w:rPr>
              <w:t></w:t>
            </w:r>
            <w:r>
              <w:rPr>
                <w:rFonts w:ascii="Arial" w:hAnsi="Arial" w:cs="Arial"/>
                <w:sz w:val="18"/>
                <w:szCs w:val="16"/>
              </w:rPr>
              <w:t>Relative CRC 59 yrs</w:t>
            </w:r>
          </w:p>
        </w:tc>
        <w:tc>
          <w:tcPr>
            <w:tcW w:w="1134" w:type="dxa"/>
            <w:shd w:val="clear" w:color="auto" w:fill="auto"/>
          </w:tcPr>
          <w:p w14:paraId="2F79E146" w14:textId="36C50954" w:rsidR="00356B88" w:rsidRPr="007D0C03" w:rsidRDefault="00356B88" w:rsidP="00DB4700">
            <w:pPr>
              <w:autoSpaceDE w:val="0"/>
              <w:autoSpaceDN w:val="0"/>
              <w:adjustRightInd w:val="0"/>
              <w:rPr>
                <w:rFonts w:ascii="Arial" w:hAnsi="Arial" w:cs="Arial"/>
                <w:sz w:val="18"/>
                <w:szCs w:val="16"/>
              </w:rPr>
            </w:pPr>
            <w:r>
              <w:rPr>
                <w:rFonts w:ascii="Arial" w:hAnsi="Arial" w:cs="Arial"/>
                <w:sz w:val="18"/>
                <w:szCs w:val="16"/>
              </w:rPr>
              <w:fldChar w:fldCharType="begin" w:fldLock="1"/>
            </w:r>
            <w:r>
              <w:rPr>
                <w:rFonts w:ascii="Arial" w:hAnsi="Arial" w:cs="Arial"/>
                <w:sz w:val="18"/>
                <w:szCs w:val="16"/>
              </w:rPr>
              <w:instrText>ADDIN CSL_CITATION { "citationItems" : [ { "id" : "ITEM-1", "itemData" : { "DOI" : "10.1038/13773", "ISBN" : "1061-4036 (Print)\\r1061-4036 (Linking)", "ISSN" : "1061-4036", "PMID" : "10508506", "author" : [ { "dropping-particle" : "", "family" : "Wijnen", "given" : "J", "non-dropping-particle" : "", "parse-names" : false, "suffix" : "" }, { "dropping-particle" : "", "family" : "Leeuw", "given" : "W", "non-dropping-particle" : "de", "parse-names" : false, "suffix" : "" }, { "dropping-particle" : "", "family" : "Vasen", "given" : "H", "non-dropping-particle" : "", "parse-names" : false, "suffix" : "" }, { "dropping-particle" : "", "family" : "Klift", "given" : "H", "non-dropping-particle" : "van der", "parse-names" : false, "suffix" : "" }, { "dropping-particle" : "", "family" : "M\u00f8ller", "given" : "P", "non-dropping-particle" : "", "parse-names" : false, "suffix" : "" }, { "dropping-particle" : "", "family" : "Stormorken", "given" : "a", "non-dropping-particle" : "", "parse-names" : false, "suffix" : "" }, { "dropping-particle" : "", "family" : "Meijers-Heijboer", "given" : "H", "non-dropping-particle" : "", "parse-names" : false, "suffix" : "" }, { "dropping-particle" : "", "family" : "Lindhout", "given" : "D", "non-dropping-particle" : "", "parse-names" : false, "suffix" : "" }, { "dropping-particle" : "", "family" : "Menko", "given" : "F", "non-dropping-particle" : "", "parse-names" : false, "suffix" : "" }, { "dropping-particle" : "", "family" : "Vossen", "given" : "S", "non-dropping-particle" : "", "parse-names" : false, "suffix" : "" }, { "dropping-particle" : "", "family" : "M\u00f6slein", "given" : "G", "non-dropping-particle" : "", "parse-names" : false, "suffix" : "" }, { "dropping-particle" : "", "family" : "Tops", "given" : "C", "non-dropping-particle" : "", "parse-names" : false, "suffix" : "" }, { "dropping-particle" : "", "family" : "Br\u00f6cker-Vriends", "given" : "a", "non-dropping-particle" : "", "parse-names" : false, "suffix" : "" }, { "dropping-particle" : "", "family" : "Wu", "given" : "Y", "non-dropping-particle" : "", "parse-names" : false, "suffix" : "" }, { "dropping-particle" : "", "family" : "Hofstra", "given" : "R", "non-dropping-particle" : "", "parse-names" : false, "suffix" : "" }, { "dropping-particle" : "", "family" : "Sijmons", "given" : "R", "non-dropping-particle" : "", "parse-names" : false, "suffix" : "" }, { "dropping-particle" : "", "family" : "Cornelisse", "given" : "C", "non-dropping-particle" : "", "parse-names" : false, "suffix" : "" }, { "dropping-particle" : "", "family" : "Morreau", "given" : "H", "non-dropping-particle" : "", "parse-names" : false, "suffix" : "" }, { "dropping-particle" : "", "family" : "Fodde", "given" : "R", "non-dropping-particle" : "", "parse-names" : false, "suffix" : "" } ], "container-title" : "Nature genetics", "id" : "ITEM-1", "issue" : "2", "issued" : { "date-parts" : [ [ "1999" ] ] }, "page" : "142-144", "title" : "Familial endometrial cancer in female carriers of MSH6 germline mutations.", "type" : "article-journal", "volume" : "23" }, "uris" : [ "http://www.mendeley.com/documents/?uuid=53471e14-4158-4580-9630-fa3c887dffd9" ] } ], "mendeley" : { "formattedCitation" : "(9)", "plainTextFormattedCitation" : "(9)", "previouslyFormattedCitation" : "(Wijnen et al. 1999)" }, "properties" : { "noteIndex" : 0 }, "schema" : "https://github.com/citation-style-language/schema/raw/master/csl-citation.json" }</w:instrText>
            </w:r>
            <w:r>
              <w:rPr>
                <w:rFonts w:ascii="Arial" w:hAnsi="Arial" w:cs="Arial"/>
                <w:sz w:val="18"/>
                <w:szCs w:val="16"/>
              </w:rPr>
              <w:fldChar w:fldCharType="separate"/>
            </w:r>
            <w:r w:rsidR="00DB4700">
              <w:rPr>
                <w:rFonts w:ascii="Arial" w:hAnsi="Arial" w:cs="Arial"/>
                <w:noProof/>
                <w:sz w:val="18"/>
                <w:szCs w:val="16"/>
              </w:rPr>
              <w:t>[</w:t>
            </w:r>
            <w:r w:rsidR="00C91DF8">
              <w:rPr>
                <w:rFonts w:ascii="Arial" w:hAnsi="Arial" w:cs="Arial"/>
                <w:noProof/>
                <w:sz w:val="18"/>
                <w:szCs w:val="16"/>
              </w:rPr>
              <w:t>35</w:t>
            </w:r>
            <w:r>
              <w:rPr>
                <w:rFonts w:ascii="Arial" w:hAnsi="Arial" w:cs="Arial"/>
                <w:sz w:val="18"/>
                <w:szCs w:val="16"/>
              </w:rPr>
              <w:fldChar w:fldCharType="end"/>
            </w:r>
            <w:r w:rsidR="00DB4700">
              <w:rPr>
                <w:rFonts w:ascii="Arial" w:hAnsi="Arial" w:cs="Arial"/>
                <w:sz w:val="18"/>
                <w:szCs w:val="16"/>
              </w:rPr>
              <w:t>]</w:t>
            </w:r>
            <w:bookmarkStart w:id="0" w:name="_GoBack"/>
            <w:bookmarkEnd w:id="0"/>
          </w:p>
        </w:tc>
        <w:tc>
          <w:tcPr>
            <w:tcW w:w="993" w:type="dxa"/>
          </w:tcPr>
          <w:p w14:paraId="71C3F7CB"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3</w:t>
            </w:r>
          </w:p>
        </w:tc>
        <w:tc>
          <w:tcPr>
            <w:tcW w:w="1134" w:type="dxa"/>
            <w:shd w:val="clear" w:color="auto" w:fill="auto"/>
          </w:tcPr>
          <w:p w14:paraId="06061DE3"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Probably damaging</w:t>
            </w:r>
          </w:p>
        </w:tc>
        <w:tc>
          <w:tcPr>
            <w:tcW w:w="1134" w:type="dxa"/>
          </w:tcPr>
          <w:p w14:paraId="33B539C0" w14:textId="77777777" w:rsidR="00356B88" w:rsidRDefault="00356B88" w:rsidP="000A3AB2">
            <w:pPr>
              <w:rPr>
                <w:rFonts w:ascii="Arial" w:hAnsi="Arial" w:cs="Arial"/>
                <w:sz w:val="18"/>
                <w:szCs w:val="16"/>
              </w:rPr>
            </w:pPr>
            <w:r>
              <w:rPr>
                <w:rFonts w:ascii="Arial" w:hAnsi="Arial" w:cs="Arial"/>
                <w:sz w:val="18"/>
                <w:szCs w:val="16"/>
              </w:rPr>
              <w:t>Not Pathogenic</w:t>
            </w:r>
          </w:p>
        </w:tc>
      </w:tr>
      <w:tr w:rsidR="00356B88" w:rsidRPr="00AF5EAC" w14:paraId="348DE999" w14:textId="77777777" w:rsidTr="000A3AB2">
        <w:trPr>
          <w:trHeight w:val="423"/>
        </w:trPr>
        <w:tc>
          <w:tcPr>
            <w:tcW w:w="959" w:type="dxa"/>
            <w:shd w:val="clear" w:color="auto" w:fill="auto"/>
          </w:tcPr>
          <w:p w14:paraId="0E7DC199" w14:textId="77777777" w:rsidR="00356B88" w:rsidRDefault="00356B88" w:rsidP="000A3AB2">
            <w:pPr>
              <w:autoSpaceDE w:val="0"/>
              <w:autoSpaceDN w:val="0"/>
              <w:adjustRightInd w:val="0"/>
              <w:rPr>
                <w:rFonts w:ascii="Arial" w:hAnsi="Arial" w:cs="Arial"/>
                <w:sz w:val="18"/>
                <w:szCs w:val="16"/>
              </w:rPr>
            </w:pPr>
            <w:r>
              <w:rPr>
                <w:rFonts w:ascii="Arial" w:hAnsi="Arial" w:cs="Arial"/>
                <w:sz w:val="18"/>
                <w:szCs w:val="16"/>
              </w:rPr>
              <w:t>R1304K</w:t>
            </w:r>
          </w:p>
        </w:tc>
        <w:tc>
          <w:tcPr>
            <w:tcW w:w="1276" w:type="dxa"/>
            <w:shd w:val="clear" w:color="auto" w:fill="auto"/>
          </w:tcPr>
          <w:p w14:paraId="0978B4D8" w14:textId="77777777" w:rsidR="00356B88" w:rsidRPr="00083E82" w:rsidRDefault="00356B88" w:rsidP="000A3AB2">
            <w:pPr>
              <w:autoSpaceDE w:val="0"/>
              <w:autoSpaceDN w:val="0"/>
              <w:adjustRightInd w:val="0"/>
              <w:rPr>
                <w:rFonts w:ascii="Arial" w:hAnsi="Arial" w:cs="Arial"/>
                <w:sz w:val="18"/>
                <w:szCs w:val="16"/>
              </w:rPr>
            </w:pPr>
          </w:p>
        </w:tc>
        <w:tc>
          <w:tcPr>
            <w:tcW w:w="850" w:type="dxa"/>
            <w:shd w:val="clear" w:color="auto" w:fill="auto"/>
          </w:tcPr>
          <w:p w14:paraId="76BE8706" w14:textId="77777777" w:rsidR="00356B88" w:rsidRPr="00083E82" w:rsidRDefault="00356B88" w:rsidP="000A3AB2">
            <w:pPr>
              <w:autoSpaceDE w:val="0"/>
              <w:autoSpaceDN w:val="0"/>
              <w:adjustRightInd w:val="0"/>
              <w:rPr>
                <w:rFonts w:ascii="Arial" w:hAnsi="Arial" w:cs="Arial"/>
                <w:sz w:val="18"/>
                <w:szCs w:val="16"/>
              </w:rPr>
            </w:pPr>
          </w:p>
        </w:tc>
        <w:tc>
          <w:tcPr>
            <w:tcW w:w="1133" w:type="dxa"/>
            <w:shd w:val="clear" w:color="auto" w:fill="auto"/>
          </w:tcPr>
          <w:p w14:paraId="064EF91A" w14:textId="77777777" w:rsidR="00356B88" w:rsidRPr="00083E82" w:rsidRDefault="00356B88" w:rsidP="000A3AB2">
            <w:pPr>
              <w:autoSpaceDE w:val="0"/>
              <w:autoSpaceDN w:val="0"/>
              <w:adjustRightInd w:val="0"/>
              <w:rPr>
                <w:rFonts w:ascii="Arial" w:hAnsi="Arial" w:cs="Arial"/>
                <w:sz w:val="18"/>
                <w:szCs w:val="16"/>
              </w:rPr>
            </w:pPr>
          </w:p>
        </w:tc>
        <w:tc>
          <w:tcPr>
            <w:tcW w:w="1986" w:type="dxa"/>
            <w:shd w:val="clear" w:color="auto" w:fill="auto"/>
          </w:tcPr>
          <w:p w14:paraId="1EB7211B" w14:textId="77777777" w:rsidR="00356B88" w:rsidRPr="00083E82" w:rsidRDefault="00356B88" w:rsidP="000A3AB2">
            <w:pPr>
              <w:autoSpaceDE w:val="0"/>
              <w:autoSpaceDN w:val="0"/>
              <w:adjustRightInd w:val="0"/>
              <w:rPr>
                <w:rFonts w:ascii="Arial" w:hAnsi="Arial" w:cs="Arial"/>
                <w:sz w:val="18"/>
                <w:szCs w:val="16"/>
              </w:rPr>
            </w:pPr>
          </w:p>
        </w:tc>
        <w:tc>
          <w:tcPr>
            <w:tcW w:w="1275" w:type="dxa"/>
          </w:tcPr>
          <w:p w14:paraId="727DC74C" w14:textId="77777777" w:rsidR="00356B88" w:rsidRPr="00083E82" w:rsidRDefault="00356B88" w:rsidP="000A3AB2">
            <w:pPr>
              <w:autoSpaceDE w:val="0"/>
              <w:autoSpaceDN w:val="0"/>
              <w:adjustRightInd w:val="0"/>
              <w:rPr>
                <w:rFonts w:ascii="Arial" w:hAnsi="Arial" w:cs="Arial"/>
                <w:sz w:val="18"/>
                <w:szCs w:val="16"/>
                <w:lang w:val="nl-NL"/>
              </w:rPr>
            </w:pPr>
          </w:p>
        </w:tc>
        <w:tc>
          <w:tcPr>
            <w:tcW w:w="2268" w:type="dxa"/>
          </w:tcPr>
          <w:p w14:paraId="5E539B2E" w14:textId="77777777" w:rsidR="00356B88" w:rsidRPr="00083E82" w:rsidRDefault="00356B88" w:rsidP="000A3AB2">
            <w:pPr>
              <w:autoSpaceDE w:val="0"/>
              <w:autoSpaceDN w:val="0"/>
              <w:adjustRightInd w:val="0"/>
              <w:rPr>
                <w:rFonts w:ascii="Arial" w:hAnsi="Arial" w:cs="Arial"/>
                <w:sz w:val="18"/>
                <w:szCs w:val="16"/>
              </w:rPr>
            </w:pPr>
          </w:p>
        </w:tc>
        <w:tc>
          <w:tcPr>
            <w:tcW w:w="1134" w:type="dxa"/>
            <w:shd w:val="clear" w:color="auto" w:fill="auto"/>
          </w:tcPr>
          <w:p w14:paraId="48751531" w14:textId="77777777" w:rsidR="00356B88" w:rsidRPr="00083E82" w:rsidRDefault="00356B88" w:rsidP="000A3AB2">
            <w:pPr>
              <w:autoSpaceDE w:val="0"/>
              <w:autoSpaceDN w:val="0"/>
              <w:adjustRightInd w:val="0"/>
              <w:rPr>
                <w:rFonts w:ascii="Arial" w:hAnsi="Arial" w:cs="Arial"/>
                <w:sz w:val="18"/>
                <w:szCs w:val="16"/>
                <w:lang w:val="nl-NL"/>
              </w:rPr>
            </w:pPr>
          </w:p>
        </w:tc>
        <w:tc>
          <w:tcPr>
            <w:tcW w:w="993" w:type="dxa"/>
          </w:tcPr>
          <w:p w14:paraId="4EBADEB4" w14:textId="77777777" w:rsidR="00356B88" w:rsidRDefault="00356B88" w:rsidP="000A3AB2">
            <w:pPr>
              <w:autoSpaceDE w:val="0"/>
              <w:autoSpaceDN w:val="0"/>
              <w:adjustRightInd w:val="0"/>
              <w:rPr>
                <w:rFonts w:ascii="Arial" w:hAnsi="Arial" w:cs="Arial"/>
                <w:sz w:val="18"/>
                <w:szCs w:val="16"/>
                <w:lang w:val="en-GB"/>
              </w:rPr>
            </w:pPr>
            <w:r>
              <w:rPr>
                <w:rFonts w:ascii="Arial" w:hAnsi="Arial" w:cs="Arial"/>
                <w:sz w:val="18"/>
                <w:szCs w:val="16"/>
              </w:rPr>
              <w:t>2</w:t>
            </w:r>
          </w:p>
        </w:tc>
        <w:tc>
          <w:tcPr>
            <w:tcW w:w="1134" w:type="dxa"/>
            <w:shd w:val="clear" w:color="auto" w:fill="auto"/>
          </w:tcPr>
          <w:p w14:paraId="71FE7A6D" w14:textId="77777777" w:rsidR="00356B88" w:rsidRPr="00083E82" w:rsidRDefault="00356B88" w:rsidP="000A3AB2">
            <w:pPr>
              <w:autoSpaceDE w:val="0"/>
              <w:autoSpaceDN w:val="0"/>
              <w:adjustRightInd w:val="0"/>
              <w:rPr>
                <w:rFonts w:ascii="Arial" w:hAnsi="Arial" w:cs="Arial"/>
                <w:sz w:val="18"/>
                <w:szCs w:val="16"/>
              </w:rPr>
            </w:pPr>
            <w:r>
              <w:rPr>
                <w:rFonts w:ascii="Arial" w:hAnsi="Arial" w:cs="Arial"/>
                <w:sz w:val="18"/>
                <w:szCs w:val="16"/>
                <w:lang w:val="en-GB"/>
              </w:rPr>
              <w:t>Possibly damaging</w:t>
            </w:r>
          </w:p>
        </w:tc>
        <w:tc>
          <w:tcPr>
            <w:tcW w:w="1134" w:type="dxa"/>
          </w:tcPr>
          <w:p w14:paraId="4AAB9C09" w14:textId="77777777" w:rsidR="00356B88" w:rsidRDefault="00356B88" w:rsidP="000A3AB2">
            <w:pPr>
              <w:rPr>
                <w:rFonts w:ascii="Arial" w:hAnsi="Arial" w:cs="Arial"/>
                <w:sz w:val="18"/>
                <w:szCs w:val="16"/>
              </w:rPr>
            </w:pPr>
            <w:r>
              <w:rPr>
                <w:rFonts w:ascii="Arial" w:hAnsi="Arial" w:cs="Arial"/>
                <w:sz w:val="18"/>
                <w:szCs w:val="16"/>
              </w:rPr>
              <w:t>Not Pathogenic</w:t>
            </w:r>
          </w:p>
        </w:tc>
      </w:tr>
    </w:tbl>
    <w:p w14:paraId="19A20FD5" w14:textId="77777777" w:rsidR="006C3A9B" w:rsidRDefault="006C3A9B" w:rsidP="00D71A04">
      <w:pPr>
        <w:spacing w:line="360" w:lineRule="auto"/>
        <w:jc w:val="both"/>
      </w:pPr>
    </w:p>
    <w:p w14:paraId="11487078" w14:textId="53EBD6F3" w:rsidR="00D71A04" w:rsidRDefault="00D71A04" w:rsidP="00D71A04">
      <w:pPr>
        <w:spacing w:line="360" w:lineRule="auto"/>
        <w:jc w:val="both"/>
        <w:rPr>
          <w:rFonts w:ascii="Arial" w:hAnsi="Arial" w:cs="Arial"/>
          <w:color w:val="000000" w:themeColor="text1"/>
          <w:sz w:val="22"/>
          <w:szCs w:val="22"/>
        </w:rPr>
      </w:pPr>
      <w:r w:rsidRPr="004972BB">
        <w:rPr>
          <w:rFonts w:ascii="Arial" w:hAnsi="Arial" w:cs="Arial"/>
          <w:color w:val="000000" w:themeColor="text1"/>
          <w:sz w:val="22"/>
          <w:szCs w:val="22"/>
        </w:rPr>
        <w:t xml:space="preserve">For each of the 18 VUS we aimed to collect clinical data describing the type of tumors found in patients encoding these mutations. Where no data is presented, we did not find this information about the specific </w:t>
      </w:r>
      <w:r w:rsidRPr="004972BB">
        <w:rPr>
          <w:rFonts w:ascii="Arial" w:hAnsi="Arial" w:cs="Arial"/>
          <w:i/>
          <w:color w:val="000000" w:themeColor="text1"/>
          <w:sz w:val="22"/>
          <w:szCs w:val="22"/>
        </w:rPr>
        <w:t>MSH6</w:t>
      </w:r>
      <w:r w:rsidRPr="004972BB">
        <w:rPr>
          <w:rFonts w:ascii="Arial" w:hAnsi="Arial" w:cs="Arial"/>
          <w:color w:val="000000" w:themeColor="text1"/>
          <w:sz w:val="22"/>
          <w:szCs w:val="22"/>
        </w:rPr>
        <w:t xml:space="preserve"> variant in the consulted literature. Cancer type and age of onset are noted: CRC, colorectal cancer; EC, endometrium cancer; LS related, Lynch syndrome related tumor. We annotated the MSI status of each tumor: MSS, microsatellite stable; MSI-L, microsatellite instable low; MSI-H, microsatellite instable high. Tumor IHC is also presented: +, protein is present; -, protein is absent in tumor. Also indicated is whether the index patients met the Bethesda, Amsterdam I, Amsterdam II guidelines or not any of the guidelines, as well as the patients’ family cancer history. The reference column presents the literature from which the clinical data was retrieved. The InSiGHT classification is shown for each tumor: 1, not pathogenic; 2, likely not pathogenic; 3, uncertain; 4, likely pathogenic; 5, pathogenic; NA, not available. PolyPhen scores were calculated on </w:t>
      </w:r>
      <w:hyperlink r:id="rId8" w:history="1">
        <w:r w:rsidRPr="004972BB">
          <w:rPr>
            <w:rStyle w:val="Hyperlink"/>
            <w:rFonts w:ascii="Arial" w:hAnsi="Arial" w:cs="Arial"/>
            <w:color w:val="000000" w:themeColor="text1"/>
            <w:sz w:val="22"/>
            <w:szCs w:val="22"/>
          </w:rPr>
          <w:t>http://genetics.bwh.harvard.edu/pph2/</w:t>
        </w:r>
      </w:hyperlink>
      <w:r w:rsidRPr="004972BB">
        <w:rPr>
          <w:rFonts w:ascii="Arial" w:hAnsi="Arial" w:cs="Arial"/>
          <w:color w:val="000000" w:themeColor="text1"/>
          <w:sz w:val="22"/>
          <w:szCs w:val="22"/>
        </w:rPr>
        <w:t>. In the final column the results from our screen are presented.</w:t>
      </w:r>
    </w:p>
    <w:p w14:paraId="4C6672A1" w14:textId="77777777" w:rsidR="00D71A04" w:rsidRDefault="00D71A04" w:rsidP="00266C19">
      <w:pPr>
        <w:widowControl w:val="0"/>
        <w:autoSpaceDE w:val="0"/>
        <w:autoSpaceDN w:val="0"/>
        <w:adjustRightInd w:val="0"/>
        <w:spacing w:line="480" w:lineRule="auto"/>
      </w:pPr>
    </w:p>
    <w:sectPr w:rsidR="00D71A04" w:rsidSect="00C50CF6">
      <w:footerReference w:type="even" r:id="rId9"/>
      <w:footerReference w:type="default" r:id="rId10"/>
      <w:pgSz w:w="16840" w:h="11901" w:orient="landscape"/>
      <w:pgMar w:top="1797" w:right="1440" w:bottom="1797" w:left="1440" w:header="709" w:footer="709" w:gutter="0"/>
      <w:pgNumType w:start="10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63BB" w14:textId="77777777" w:rsidR="000A3AB2" w:rsidRDefault="000A3AB2" w:rsidP="00C50CF6">
      <w:r>
        <w:separator/>
      </w:r>
    </w:p>
  </w:endnote>
  <w:endnote w:type="continuationSeparator" w:id="0">
    <w:p w14:paraId="59911229" w14:textId="77777777" w:rsidR="000A3AB2" w:rsidRDefault="000A3AB2" w:rsidP="00C5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0666" w14:textId="77777777" w:rsidR="000A3AB2" w:rsidRDefault="000A3AB2" w:rsidP="000A3A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F0B00" w14:textId="77777777" w:rsidR="000A3AB2" w:rsidRDefault="000A3A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54F9" w14:textId="77777777" w:rsidR="000A3AB2" w:rsidRDefault="000A3AB2" w:rsidP="000A3A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700">
      <w:rPr>
        <w:rStyle w:val="PageNumber"/>
        <w:noProof/>
      </w:rPr>
      <w:t>108</w:t>
    </w:r>
    <w:r>
      <w:rPr>
        <w:rStyle w:val="PageNumber"/>
      </w:rPr>
      <w:fldChar w:fldCharType="end"/>
    </w:r>
  </w:p>
  <w:p w14:paraId="40B9E614" w14:textId="77777777" w:rsidR="000A3AB2" w:rsidRDefault="000A3A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C11D3" w14:textId="77777777" w:rsidR="000A3AB2" w:rsidRDefault="000A3AB2" w:rsidP="00C50CF6">
      <w:r>
        <w:separator/>
      </w:r>
    </w:p>
  </w:footnote>
  <w:footnote w:type="continuationSeparator" w:id="0">
    <w:p w14:paraId="6CA0856A" w14:textId="77777777" w:rsidR="000A3AB2" w:rsidRDefault="000A3AB2" w:rsidP="00C50C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E0"/>
    <w:multiLevelType w:val="hybridMultilevel"/>
    <w:tmpl w:val="A7F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3F75"/>
    <w:multiLevelType w:val="hybridMultilevel"/>
    <w:tmpl w:val="D0D63336"/>
    <w:lvl w:ilvl="0" w:tplc="5E1610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57B0E"/>
    <w:multiLevelType w:val="hybridMultilevel"/>
    <w:tmpl w:val="87A8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4A"/>
    <w:rsid w:val="00025C5C"/>
    <w:rsid w:val="00042AE7"/>
    <w:rsid w:val="000651CA"/>
    <w:rsid w:val="00084F6B"/>
    <w:rsid w:val="000A3AB2"/>
    <w:rsid w:val="000A7B78"/>
    <w:rsid w:val="000C1731"/>
    <w:rsid w:val="000E5F36"/>
    <w:rsid w:val="001060EB"/>
    <w:rsid w:val="001332CA"/>
    <w:rsid w:val="0013422E"/>
    <w:rsid w:val="00160D6C"/>
    <w:rsid w:val="00163B7F"/>
    <w:rsid w:val="001B2508"/>
    <w:rsid w:val="001E2E1F"/>
    <w:rsid w:val="00206AEA"/>
    <w:rsid w:val="00212DBA"/>
    <w:rsid w:val="002507D0"/>
    <w:rsid w:val="002514D9"/>
    <w:rsid w:val="0025302A"/>
    <w:rsid w:val="00266C19"/>
    <w:rsid w:val="00271717"/>
    <w:rsid w:val="0027268D"/>
    <w:rsid w:val="00282BC5"/>
    <w:rsid w:val="002842B3"/>
    <w:rsid w:val="002B7EFD"/>
    <w:rsid w:val="002E2DBD"/>
    <w:rsid w:val="002F30CB"/>
    <w:rsid w:val="003130DC"/>
    <w:rsid w:val="00356B88"/>
    <w:rsid w:val="00362AC7"/>
    <w:rsid w:val="003831B8"/>
    <w:rsid w:val="00393B03"/>
    <w:rsid w:val="003A254A"/>
    <w:rsid w:val="003D1A33"/>
    <w:rsid w:val="00426C48"/>
    <w:rsid w:val="0046709D"/>
    <w:rsid w:val="00481F78"/>
    <w:rsid w:val="004E2A0D"/>
    <w:rsid w:val="004E66E7"/>
    <w:rsid w:val="005020D0"/>
    <w:rsid w:val="00525BE4"/>
    <w:rsid w:val="00532E41"/>
    <w:rsid w:val="00546DB9"/>
    <w:rsid w:val="00586B9F"/>
    <w:rsid w:val="0059195A"/>
    <w:rsid w:val="005B2E57"/>
    <w:rsid w:val="005D3F55"/>
    <w:rsid w:val="005E3123"/>
    <w:rsid w:val="005E43E5"/>
    <w:rsid w:val="00634CF9"/>
    <w:rsid w:val="00676745"/>
    <w:rsid w:val="0068264D"/>
    <w:rsid w:val="006B6B4F"/>
    <w:rsid w:val="006C2CE5"/>
    <w:rsid w:val="006C3A9B"/>
    <w:rsid w:val="006E4C01"/>
    <w:rsid w:val="006F3097"/>
    <w:rsid w:val="00700C7A"/>
    <w:rsid w:val="0070430D"/>
    <w:rsid w:val="007167D2"/>
    <w:rsid w:val="00747ECE"/>
    <w:rsid w:val="00773B30"/>
    <w:rsid w:val="007D0C03"/>
    <w:rsid w:val="007D2EF5"/>
    <w:rsid w:val="00842F7E"/>
    <w:rsid w:val="008439EF"/>
    <w:rsid w:val="00864E3E"/>
    <w:rsid w:val="0086507A"/>
    <w:rsid w:val="008817AD"/>
    <w:rsid w:val="008B74DE"/>
    <w:rsid w:val="008C0D43"/>
    <w:rsid w:val="008D2E59"/>
    <w:rsid w:val="008E2AB9"/>
    <w:rsid w:val="008F776B"/>
    <w:rsid w:val="009223D7"/>
    <w:rsid w:val="0094019A"/>
    <w:rsid w:val="00941E59"/>
    <w:rsid w:val="0097211E"/>
    <w:rsid w:val="00986DDC"/>
    <w:rsid w:val="009B65C5"/>
    <w:rsid w:val="009B7F4D"/>
    <w:rsid w:val="009C1785"/>
    <w:rsid w:val="00A0196B"/>
    <w:rsid w:val="00A063C6"/>
    <w:rsid w:val="00A16724"/>
    <w:rsid w:val="00A40346"/>
    <w:rsid w:val="00AA27E1"/>
    <w:rsid w:val="00AA4BD6"/>
    <w:rsid w:val="00B01648"/>
    <w:rsid w:val="00B50720"/>
    <w:rsid w:val="00BD3515"/>
    <w:rsid w:val="00C106BD"/>
    <w:rsid w:val="00C1315A"/>
    <w:rsid w:val="00C33012"/>
    <w:rsid w:val="00C41081"/>
    <w:rsid w:val="00C50CF6"/>
    <w:rsid w:val="00C56927"/>
    <w:rsid w:val="00C80E86"/>
    <w:rsid w:val="00C91DF8"/>
    <w:rsid w:val="00CA3EAA"/>
    <w:rsid w:val="00D222AD"/>
    <w:rsid w:val="00D23A00"/>
    <w:rsid w:val="00D2449F"/>
    <w:rsid w:val="00D4346A"/>
    <w:rsid w:val="00D54A26"/>
    <w:rsid w:val="00D65C34"/>
    <w:rsid w:val="00D71A04"/>
    <w:rsid w:val="00DB1075"/>
    <w:rsid w:val="00DB4700"/>
    <w:rsid w:val="00E057BD"/>
    <w:rsid w:val="00E0729D"/>
    <w:rsid w:val="00E4084E"/>
    <w:rsid w:val="00E4353D"/>
    <w:rsid w:val="00E71498"/>
    <w:rsid w:val="00EB00BF"/>
    <w:rsid w:val="00F2110E"/>
    <w:rsid w:val="00F527BD"/>
    <w:rsid w:val="00F9191B"/>
    <w:rsid w:val="00FC0C5D"/>
    <w:rsid w:val="00FC5E54"/>
    <w:rsid w:val="00FE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06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4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A254A"/>
    <w:rPr>
      <w:sz w:val="16"/>
      <w:szCs w:val="16"/>
    </w:rPr>
  </w:style>
  <w:style w:type="paragraph" w:styleId="CommentText">
    <w:name w:val="annotation text"/>
    <w:basedOn w:val="Normal"/>
    <w:link w:val="CommentTextChar"/>
    <w:unhideWhenUsed/>
    <w:rsid w:val="003A254A"/>
    <w:rPr>
      <w:sz w:val="20"/>
      <w:szCs w:val="20"/>
    </w:rPr>
  </w:style>
  <w:style w:type="character" w:customStyle="1" w:styleId="CommentTextChar">
    <w:name w:val="Comment Text Char"/>
    <w:basedOn w:val="DefaultParagraphFont"/>
    <w:link w:val="CommentText"/>
    <w:rsid w:val="003A254A"/>
    <w:rPr>
      <w:sz w:val="20"/>
      <w:szCs w:val="20"/>
      <w:lang w:eastAsia="ja-JP"/>
    </w:rPr>
  </w:style>
  <w:style w:type="paragraph" w:styleId="BalloonText">
    <w:name w:val="Balloon Text"/>
    <w:basedOn w:val="Normal"/>
    <w:link w:val="BalloonTextChar"/>
    <w:uiPriority w:val="99"/>
    <w:semiHidden/>
    <w:unhideWhenUsed/>
    <w:rsid w:val="003A2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4A"/>
    <w:rPr>
      <w:rFonts w:ascii="Lucida Grande" w:hAnsi="Lucida Grande" w:cs="Lucida Grande"/>
      <w:sz w:val="18"/>
      <w:szCs w:val="18"/>
      <w:lang w:eastAsia="ja-JP"/>
    </w:rPr>
  </w:style>
  <w:style w:type="paragraph" w:styleId="ListParagraph">
    <w:name w:val="List Paragraph"/>
    <w:basedOn w:val="Normal"/>
    <w:uiPriority w:val="34"/>
    <w:qFormat/>
    <w:rsid w:val="00481F78"/>
    <w:pPr>
      <w:ind w:left="720"/>
      <w:contextualSpacing/>
    </w:pPr>
  </w:style>
  <w:style w:type="paragraph" w:styleId="CommentSubject">
    <w:name w:val="annotation subject"/>
    <w:basedOn w:val="CommentText"/>
    <w:next w:val="CommentText"/>
    <w:link w:val="CommentSubjectChar"/>
    <w:uiPriority w:val="99"/>
    <w:semiHidden/>
    <w:unhideWhenUsed/>
    <w:rsid w:val="00EB00BF"/>
    <w:rPr>
      <w:b/>
      <w:bCs/>
    </w:rPr>
  </w:style>
  <w:style w:type="character" w:customStyle="1" w:styleId="CommentSubjectChar">
    <w:name w:val="Comment Subject Char"/>
    <w:basedOn w:val="CommentTextChar"/>
    <w:link w:val="CommentSubject"/>
    <w:uiPriority w:val="99"/>
    <w:semiHidden/>
    <w:rsid w:val="00EB00BF"/>
    <w:rPr>
      <w:b/>
      <w:bCs/>
      <w:sz w:val="20"/>
      <w:szCs w:val="20"/>
      <w:lang w:eastAsia="ja-JP"/>
    </w:rPr>
  </w:style>
  <w:style w:type="character" w:styleId="Hyperlink">
    <w:name w:val="Hyperlink"/>
    <w:basedOn w:val="DefaultParagraphFont"/>
    <w:uiPriority w:val="99"/>
    <w:unhideWhenUsed/>
    <w:rsid w:val="00D71A04"/>
    <w:rPr>
      <w:color w:val="0000FF" w:themeColor="hyperlink"/>
      <w:u w:val="single"/>
    </w:rPr>
  </w:style>
  <w:style w:type="paragraph" w:styleId="Footer">
    <w:name w:val="footer"/>
    <w:basedOn w:val="Normal"/>
    <w:link w:val="FooterChar"/>
    <w:uiPriority w:val="99"/>
    <w:unhideWhenUsed/>
    <w:rsid w:val="00C50CF6"/>
    <w:pPr>
      <w:tabs>
        <w:tab w:val="center" w:pos="4680"/>
        <w:tab w:val="right" w:pos="9360"/>
      </w:tabs>
    </w:pPr>
  </w:style>
  <w:style w:type="character" w:customStyle="1" w:styleId="FooterChar">
    <w:name w:val="Footer Char"/>
    <w:basedOn w:val="DefaultParagraphFont"/>
    <w:link w:val="Footer"/>
    <w:uiPriority w:val="99"/>
    <w:rsid w:val="00C50CF6"/>
    <w:rPr>
      <w:lang w:eastAsia="ja-JP"/>
    </w:rPr>
  </w:style>
  <w:style w:type="character" w:styleId="PageNumber">
    <w:name w:val="page number"/>
    <w:basedOn w:val="DefaultParagraphFont"/>
    <w:uiPriority w:val="99"/>
    <w:semiHidden/>
    <w:unhideWhenUsed/>
    <w:rsid w:val="00C50C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4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3A254A"/>
    <w:rPr>
      <w:sz w:val="16"/>
      <w:szCs w:val="16"/>
    </w:rPr>
  </w:style>
  <w:style w:type="paragraph" w:styleId="CommentText">
    <w:name w:val="annotation text"/>
    <w:basedOn w:val="Normal"/>
    <w:link w:val="CommentTextChar"/>
    <w:unhideWhenUsed/>
    <w:rsid w:val="003A254A"/>
    <w:rPr>
      <w:sz w:val="20"/>
      <w:szCs w:val="20"/>
    </w:rPr>
  </w:style>
  <w:style w:type="character" w:customStyle="1" w:styleId="CommentTextChar">
    <w:name w:val="Comment Text Char"/>
    <w:basedOn w:val="DefaultParagraphFont"/>
    <w:link w:val="CommentText"/>
    <w:rsid w:val="003A254A"/>
    <w:rPr>
      <w:sz w:val="20"/>
      <w:szCs w:val="20"/>
      <w:lang w:eastAsia="ja-JP"/>
    </w:rPr>
  </w:style>
  <w:style w:type="paragraph" w:styleId="BalloonText">
    <w:name w:val="Balloon Text"/>
    <w:basedOn w:val="Normal"/>
    <w:link w:val="BalloonTextChar"/>
    <w:uiPriority w:val="99"/>
    <w:semiHidden/>
    <w:unhideWhenUsed/>
    <w:rsid w:val="003A2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54A"/>
    <w:rPr>
      <w:rFonts w:ascii="Lucida Grande" w:hAnsi="Lucida Grande" w:cs="Lucida Grande"/>
      <w:sz w:val="18"/>
      <w:szCs w:val="18"/>
      <w:lang w:eastAsia="ja-JP"/>
    </w:rPr>
  </w:style>
  <w:style w:type="paragraph" w:styleId="ListParagraph">
    <w:name w:val="List Paragraph"/>
    <w:basedOn w:val="Normal"/>
    <w:uiPriority w:val="34"/>
    <w:qFormat/>
    <w:rsid w:val="00481F78"/>
    <w:pPr>
      <w:ind w:left="720"/>
      <w:contextualSpacing/>
    </w:pPr>
  </w:style>
  <w:style w:type="paragraph" w:styleId="CommentSubject">
    <w:name w:val="annotation subject"/>
    <w:basedOn w:val="CommentText"/>
    <w:next w:val="CommentText"/>
    <w:link w:val="CommentSubjectChar"/>
    <w:uiPriority w:val="99"/>
    <w:semiHidden/>
    <w:unhideWhenUsed/>
    <w:rsid w:val="00EB00BF"/>
    <w:rPr>
      <w:b/>
      <w:bCs/>
    </w:rPr>
  </w:style>
  <w:style w:type="character" w:customStyle="1" w:styleId="CommentSubjectChar">
    <w:name w:val="Comment Subject Char"/>
    <w:basedOn w:val="CommentTextChar"/>
    <w:link w:val="CommentSubject"/>
    <w:uiPriority w:val="99"/>
    <w:semiHidden/>
    <w:rsid w:val="00EB00BF"/>
    <w:rPr>
      <w:b/>
      <w:bCs/>
      <w:sz w:val="20"/>
      <w:szCs w:val="20"/>
      <w:lang w:eastAsia="ja-JP"/>
    </w:rPr>
  </w:style>
  <w:style w:type="character" w:styleId="Hyperlink">
    <w:name w:val="Hyperlink"/>
    <w:basedOn w:val="DefaultParagraphFont"/>
    <w:uiPriority w:val="99"/>
    <w:unhideWhenUsed/>
    <w:rsid w:val="00D71A04"/>
    <w:rPr>
      <w:color w:val="0000FF" w:themeColor="hyperlink"/>
      <w:u w:val="single"/>
    </w:rPr>
  </w:style>
  <w:style w:type="paragraph" w:styleId="Footer">
    <w:name w:val="footer"/>
    <w:basedOn w:val="Normal"/>
    <w:link w:val="FooterChar"/>
    <w:uiPriority w:val="99"/>
    <w:unhideWhenUsed/>
    <w:rsid w:val="00C50CF6"/>
    <w:pPr>
      <w:tabs>
        <w:tab w:val="center" w:pos="4680"/>
        <w:tab w:val="right" w:pos="9360"/>
      </w:tabs>
    </w:pPr>
  </w:style>
  <w:style w:type="character" w:customStyle="1" w:styleId="FooterChar">
    <w:name w:val="Footer Char"/>
    <w:basedOn w:val="DefaultParagraphFont"/>
    <w:link w:val="Footer"/>
    <w:uiPriority w:val="99"/>
    <w:rsid w:val="00C50CF6"/>
    <w:rPr>
      <w:lang w:eastAsia="ja-JP"/>
    </w:rPr>
  </w:style>
  <w:style w:type="character" w:styleId="PageNumber">
    <w:name w:val="page number"/>
    <w:basedOn w:val="DefaultParagraphFont"/>
    <w:uiPriority w:val="99"/>
    <w:semiHidden/>
    <w:unhideWhenUsed/>
    <w:rsid w:val="00C5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enetics.bwh.harvard.edu/pph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12420</Words>
  <Characters>70800</Characters>
  <Application>Microsoft Macintosh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NKI</Company>
  <LinksUpToDate>false</LinksUpToDate>
  <CharactersWithSpaces>83054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Houlleberghs</dc:creator>
  <cp:keywords/>
  <dc:description/>
  <cp:lastModifiedBy>Hein te Riele</cp:lastModifiedBy>
  <cp:revision>3</cp:revision>
  <cp:lastPrinted>2016-02-19T13:15:00Z</cp:lastPrinted>
  <dcterms:created xsi:type="dcterms:W3CDTF">2017-05-12T09:58:00Z</dcterms:created>
  <dcterms:modified xsi:type="dcterms:W3CDTF">2017-05-12T10:02:00Z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h.houlleberghs@nki.nl@www.mendeley.com</vt:lpwstr>
  </property>
  <property fmtid="{D5CDD505-2E9C-101B-9397-08002B2CF9AE}" pid="4" name="Mendeley Citation Style_1">
    <vt:lpwstr>http://www.zotero.org/styles/pnas</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http://www.zotero.org/styles/cancer-research</vt:lpwstr>
  </property>
  <property fmtid="{D5CDD505-2E9C-101B-9397-08002B2CF9AE}" pid="8" name="Mendeley Recent Style Name 1_1">
    <vt:lpwstr>Cancer Research</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http://www.zotero.org/styles/gastroenterology</vt:lpwstr>
  </property>
  <property fmtid="{D5CDD505-2E9C-101B-9397-08002B2CF9AE}" pid="12" name="Mendeley Recent Style Name 3_1">
    <vt:lpwstr>Gastroenterology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http://www.zotero.org/styles/human-mutation</vt:lpwstr>
  </property>
  <property fmtid="{D5CDD505-2E9C-101B-9397-08002B2CF9AE}" pid="16" name="Mendeley Recent Style Name 5_1">
    <vt:lpwstr>Human Mutation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http://www.zotero.org/styles/the-american-journal-of-gastroenterology</vt:lpwstr>
  </property>
  <property fmtid="{D5CDD505-2E9C-101B-9397-08002B2CF9AE}" pid="24" name="Mendeley Recent Style Name 9_1">
    <vt:lpwstr>The American Journal of Gastroenterology</vt:lpwstr>
  </property>
</Properties>
</file>