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05164" w14:textId="621FB374" w:rsidR="00086120" w:rsidRPr="004C14AD" w:rsidRDefault="00E0539A" w:rsidP="00086120">
      <w:pPr>
        <w:spacing w:after="240" w:line="360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Supplementary Information for </w:t>
      </w:r>
      <w:r w:rsidR="000369C0">
        <w:rPr>
          <w:rFonts w:asciiTheme="majorHAnsi" w:hAnsiTheme="majorHAnsi" w:cs="Arial"/>
          <w:b/>
          <w:sz w:val="32"/>
          <w:szCs w:val="32"/>
        </w:rPr>
        <w:t>“</w:t>
      </w:r>
      <w:r w:rsidR="00086120" w:rsidRPr="004C14AD">
        <w:rPr>
          <w:rFonts w:asciiTheme="majorHAnsi" w:hAnsiTheme="majorHAnsi" w:cs="Arial"/>
          <w:b/>
          <w:sz w:val="32"/>
          <w:szCs w:val="32"/>
        </w:rPr>
        <w:t>Phenome-wide Heritability Analysis of the UK Biobank</w:t>
      </w:r>
      <w:r w:rsidR="000369C0">
        <w:rPr>
          <w:rFonts w:asciiTheme="majorHAnsi" w:hAnsiTheme="majorHAnsi" w:cs="Arial"/>
          <w:b/>
          <w:sz w:val="32"/>
          <w:szCs w:val="32"/>
        </w:rPr>
        <w:t>”</w:t>
      </w:r>
    </w:p>
    <w:p w14:paraId="68E2B6A2" w14:textId="77777777" w:rsidR="00D92D7A" w:rsidRPr="003D1F57" w:rsidRDefault="00D92D7A" w:rsidP="00D92D7A">
      <w:pPr>
        <w:spacing w:after="240" w:line="360" w:lineRule="auto"/>
        <w:rPr>
          <w:rFonts w:asciiTheme="majorHAnsi" w:hAnsiTheme="majorHAnsi" w:cs="Calibri"/>
          <w:sz w:val="28"/>
          <w:szCs w:val="28"/>
          <w:vertAlign w:val="superscript"/>
        </w:rPr>
      </w:pPr>
      <w:r w:rsidRPr="003D1F57">
        <w:rPr>
          <w:rFonts w:asciiTheme="majorHAnsi" w:hAnsiTheme="majorHAnsi" w:cs="Calibri"/>
          <w:sz w:val="28"/>
          <w:szCs w:val="28"/>
        </w:rPr>
        <w:t>Tian Ge</w:t>
      </w:r>
      <w:r w:rsidRPr="003D1F57">
        <w:rPr>
          <w:rFonts w:asciiTheme="majorHAnsi" w:hAnsiTheme="majorHAnsi" w:cs="Calibri"/>
          <w:sz w:val="28"/>
          <w:szCs w:val="28"/>
          <w:vertAlign w:val="superscript"/>
        </w:rPr>
        <w:t>1,2,3</w:t>
      </w:r>
      <w:r w:rsidRPr="003D1F57">
        <w:rPr>
          <w:rFonts w:asciiTheme="majorHAnsi" w:hAnsiTheme="majorHAnsi" w:cs="Calibri"/>
          <w:sz w:val="28"/>
          <w:szCs w:val="28"/>
        </w:rPr>
        <w:t>, Chia-Yen Chen</w:t>
      </w:r>
      <w:r w:rsidRPr="003D1F57">
        <w:rPr>
          <w:rFonts w:asciiTheme="majorHAnsi" w:hAnsiTheme="majorHAnsi" w:cs="Calibri"/>
          <w:sz w:val="28"/>
          <w:szCs w:val="28"/>
          <w:vertAlign w:val="superscript"/>
        </w:rPr>
        <w:t>2,3,4</w:t>
      </w:r>
      <w:r w:rsidRPr="003D1F57">
        <w:rPr>
          <w:rFonts w:asciiTheme="majorHAnsi" w:hAnsiTheme="majorHAnsi" w:cs="Calibri"/>
          <w:sz w:val="28"/>
          <w:szCs w:val="28"/>
        </w:rPr>
        <w:t>, Benjamin M. Neale</w:t>
      </w:r>
      <w:r w:rsidRPr="003D1F57">
        <w:rPr>
          <w:rFonts w:asciiTheme="majorHAnsi" w:hAnsiTheme="majorHAnsi" w:cs="Calibri"/>
          <w:sz w:val="28"/>
          <w:szCs w:val="28"/>
          <w:vertAlign w:val="superscript"/>
        </w:rPr>
        <w:t>2,3,4</w:t>
      </w:r>
      <w:r w:rsidRPr="003D1F57">
        <w:rPr>
          <w:rFonts w:asciiTheme="majorHAnsi" w:hAnsiTheme="majorHAnsi" w:cs="Calibri"/>
          <w:sz w:val="28"/>
          <w:szCs w:val="28"/>
        </w:rPr>
        <w:t>, Mert R. Sabuncu</w:t>
      </w:r>
      <w:r w:rsidRPr="003D1F57">
        <w:rPr>
          <w:rFonts w:asciiTheme="majorHAnsi" w:hAnsiTheme="majorHAnsi" w:cs="Calibri"/>
          <w:sz w:val="28"/>
          <w:szCs w:val="28"/>
          <w:vertAlign w:val="superscript"/>
        </w:rPr>
        <w:t>1,5,*</w:t>
      </w:r>
      <w:r w:rsidRPr="003D1F57">
        <w:rPr>
          <w:rFonts w:asciiTheme="majorHAnsi" w:hAnsiTheme="majorHAnsi" w:cs="Calibri"/>
          <w:sz w:val="28"/>
          <w:szCs w:val="28"/>
        </w:rPr>
        <w:t>, and Jordan W. Smoller</w:t>
      </w:r>
      <w:r w:rsidRPr="003D1F57">
        <w:rPr>
          <w:rFonts w:asciiTheme="majorHAnsi" w:hAnsiTheme="majorHAnsi" w:cs="Calibri"/>
          <w:sz w:val="28"/>
          <w:szCs w:val="28"/>
          <w:vertAlign w:val="superscript"/>
        </w:rPr>
        <w:t>2,3,*</w:t>
      </w:r>
    </w:p>
    <w:p w14:paraId="5C8561FB" w14:textId="77777777" w:rsidR="00D92D7A" w:rsidRPr="003D1F57" w:rsidRDefault="00D92D7A" w:rsidP="00D92D7A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  <w:r w:rsidRPr="003D1F57">
        <w:rPr>
          <w:rFonts w:asciiTheme="majorHAnsi" w:hAnsiTheme="majorHAnsi" w:cs="Calibri"/>
          <w:vertAlign w:val="superscript"/>
        </w:rPr>
        <w:t>1</w:t>
      </w:r>
      <w:r w:rsidRPr="003D1F57">
        <w:rPr>
          <w:rFonts w:asciiTheme="majorHAnsi" w:hAnsiTheme="majorHAnsi" w:cs="Calibri"/>
        </w:rPr>
        <w:t>Athinoula A. Martinos Center for Biomedical Imaging, Massachusetts General Hospital / Harvard Medical School, Charlestown, MA 02129, USA;</w:t>
      </w:r>
    </w:p>
    <w:p w14:paraId="040CC110" w14:textId="77777777" w:rsidR="00D92D7A" w:rsidRPr="003D1F57" w:rsidRDefault="00D92D7A" w:rsidP="00D92D7A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  <w:r w:rsidRPr="003D1F57">
        <w:rPr>
          <w:rFonts w:asciiTheme="majorHAnsi" w:hAnsiTheme="majorHAnsi" w:cs="Calibri"/>
          <w:vertAlign w:val="superscript"/>
        </w:rPr>
        <w:t>2</w:t>
      </w:r>
      <w:r w:rsidRPr="003D1F57">
        <w:rPr>
          <w:rFonts w:asciiTheme="majorHAnsi" w:hAnsiTheme="majorHAnsi" w:cs="Calibri"/>
        </w:rPr>
        <w:t>Psychiatric and Neurodevelopmental Genetics Unit, Center for Genomic Medicine, Massachusetts General Hospital, Boston, MA 02114, USA;</w:t>
      </w:r>
    </w:p>
    <w:p w14:paraId="78574559" w14:textId="77777777" w:rsidR="00D92D7A" w:rsidRPr="003D1F57" w:rsidRDefault="00D92D7A" w:rsidP="00D92D7A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  <w:r w:rsidRPr="003D1F57">
        <w:rPr>
          <w:rFonts w:asciiTheme="majorHAnsi" w:hAnsiTheme="majorHAnsi" w:cs="Calibri"/>
          <w:vertAlign w:val="superscript"/>
        </w:rPr>
        <w:t>3</w:t>
      </w:r>
      <w:r w:rsidRPr="003D1F57">
        <w:rPr>
          <w:rFonts w:asciiTheme="majorHAnsi" w:hAnsiTheme="majorHAnsi" w:cs="Calibri"/>
        </w:rPr>
        <w:t>Stanley Center for Psychiatric Research, Broad Institute of MIT and Harvard, Cambridge, MA 02138, USA;</w:t>
      </w:r>
    </w:p>
    <w:p w14:paraId="470C4C8F" w14:textId="77777777" w:rsidR="00D92D7A" w:rsidRPr="003D1F57" w:rsidRDefault="00D92D7A" w:rsidP="00D92D7A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</w:rPr>
      </w:pPr>
      <w:r w:rsidRPr="003D1F57">
        <w:rPr>
          <w:rFonts w:asciiTheme="majorHAnsi" w:hAnsiTheme="majorHAnsi" w:cs="Calibri"/>
          <w:vertAlign w:val="superscript"/>
        </w:rPr>
        <w:t>4</w:t>
      </w:r>
      <w:r w:rsidRPr="003D1F57">
        <w:rPr>
          <w:rFonts w:asciiTheme="majorHAnsi" w:hAnsiTheme="majorHAnsi" w:cs="Times"/>
        </w:rPr>
        <w:t xml:space="preserve">Analytic </w:t>
      </w:r>
      <w:r w:rsidRPr="003D1F57">
        <w:rPr>
          <w:rFonts w:asciiTheme="majorHAnsi" w:hAnsiTheme="majorHAnsi" w:cs="Times"/>
          <w:iCs/>
        </w:rPr>
        <w:t xml:space="preserve">and Translational Genetics Unit, </w:t>
      </w:r>
      <w:r w:rsidRPr="003D1F57">
        <w:rPr>
          <w:rFonts w:asciiTheme="majorHAnsi" w:hAnsiTheme="majorHAnsi" w:cs="Calibri"/>
        </w:rPr>
        <w:t xml:space="preserve">Center for Genomic Medicine, </w:t>
      </w:r>
      <w:r w:rsidRPr="003D1F57">
        <w:rPr>
          <w:rFonts w:asciiTheme="majorHAnsi" w:hAnsiTheme="majorHAnsi" w:cs="Times"/>
          <w:iCs/>
        </w:rPr>
        <w:t>Massachusetts General Hospital, Boston, M</w:t>
      </w:r>
      <w:r>
        <w:rPr>
          <w:rFonts w:asciiTheme="majorHAnsi" w:hAnsiTheme="majorHAnsi" w:cs="Times"/>
          <w:iCs/>
        </w:rPr>
        <w:t>A</w:t>
      </w:r>
      <w:r w:rsidRPr="003D1F57">
        <w:rPr>
          <w:rFonts w:asciiTheme="majorHAnsi" w:hAnsiTheme="majorHAnsi" w:cs="Times"/>
          <w:iCs/>
        </w:rPr>
        <w:t xml:space="preserve"> 02114, USA;</w:t>
      </w:r>
    </w:p>
    <w:p w14:paraId="3DE1F313" w14:textId="77777777" w:rsidR="00D92D7A" w:rsidRPr="003D1F57" w:rsidRDefault="00D92D7A" w:rsidP="00D92D7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3D1F57">
        <w:rPr>
          <w:rFonts w:asciiTheme="majorHAnsi" w:hAnsiTheme="majorHAnsi" w:cs="Calibri"/>
          <w:vertAlign w:val="superscript"/>
        </w:rPr>
        <w:t>5</w:t>
      </w:r>
      <w:r w:rsidRPr="003D1F57">
        <w:rPr>
          <w:rFonts w:asciiTheme="majorHAnsi" w:hAnsiTheme="majorHAnsi" w:cs="Times"/>
        </w:rPr>
        <w:t>School of Electrical and Computer Engineering and School of Biomedical Engineering, Cornell University, Ithaca, NY 14853, USA.</w:t>
      </w:r>
    </w:p>
    <w:p w14:paraId="2036F3AD" w14:textId="77777777" w:rsidR="00D92D7A" w:rsidRPr="003D1F57" w:rsidRDefault="00D92D7A" w:rsidP="00D92D7A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iCs/>
        </w:rPr>
      </w:pPr>
    </w:p>
    <w:p w14:paraId="772EEA2B" w14:textId="77777777" w:rsidR="00D92D7A" w:rsidRPr="003D1F57" w:rsidRDefault="00D92D7A" w:rsidP="00D92D7A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iCs/>
        </w:rPr>
      </w:pPr>
      <w:r w:rsidRPr="003D1F57">
        <w:rPr>
          <w:rFonts w:asciiTheme="majorHAnsi" w:hAnsiTheme="majorHAnsi" w:cs="Times"/>
          <w:iCs/>
        </w:rPr>
        <w:t>*MRS and JWS contributed equally to this work.</w:t>
      </w:r>
    </w:p>
    <w:p w14:paraId="5DDA67E9" w14:textId="77777777" w:rsidR="00D92D7A" w:rsidRPr="003D1F57" w:rsidRDefault="00D92D7A" w:rsidP="00D92D7A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</w:rPr>
      </w:pPr>
      <w:r w:rsidRPr="003D1F57">
        <w:rPr>
          <w:rFonts w:asciiTheme="majorHAnsi" w:hAnsiTheme="majorHAnsi" w:cs="Times"/>
          <w:iCs/>
        </w:rPr>
        <w:t xml:space="preserve">Correspondence to: </w:t>
      </w:r>
      <w:hyperlink r:id="rId5" w:history="1">
        <w:r w:rsidRPr="003D1F57">
          <w:rPr>
            <w:rStyle w:val="Hyperlink"/>
            <w:rFonts w:asciiTheme="majorHAnsi" w:hAnsiTheme="majorHAnsi" w:cs="Times"/>
          </w:rPr>
          <w:t>tge1@mgh.harvard.edu</w:t>
        </w:r>
      </w:hyperlink>
      <w:r w:rsidRPr="003D1F57">
        <w:rPr>
          <w:rFonts w:asciiTheme="majorHAnsi" w:hAnsiTheme="majorHAnsi" w:cs="Times"/>
        </w:rPr>
        <w:t xml:space="preserve"> (TG) or </w:t>
      </w:r>
      <w:hyperlink r:id="rId6" w:history="1">
        <w:r w:rsidRPr="003D1F57">
          <w:rPr>
            <w:rStyle w:val="Hyperlink"/>
            <w:rFonts w:asciiTheme="majorHAnsi" w:hAnsiTheme="majorHAnsi" w:cs="Times"/>
          </w:rPr>
          <w:t>jsmoller@hms.harvard.edu</w:t>
        </w:r>
      </w:hyperlink>
      <w:r w:rsidRPr="003D1F57">
        <w:rPr>
          <w:rFonts w:asciiTheme="majorHAnsi" w:hAnsiTheme="majorHAnsi" w:cs="Times"/>
        </w:rPr>
        <w:t xml:space="preserve"> (JWS) </w:t>
      </w:r>
    </w:p>
    <w:p w14:paraId="5F751647" w14:textId="6B3540E1" w:rsidR="00764BA3" w:rsidRDefault="00764BA3">
      <w:r>
        <w:br w:type="page"/>
      </w:r>
    </w:p>
    <w:p w14:paraId="5809AD0F" w14:textId="028E9539" w:rsidR="007B2F6D" w:rsidRPr="007F0459" w:rsidRDefault="00A65E1D" w:rsidP="00CB0026">
      <w:pPr>
        <w:spacing w:after="240" w:line="360" w:lineRule="auto"/>
        <w:rPr>
          <w:rFonts w:asciiTheme="majorHAnsi" w:hAnsiTheme="majorHAnsi" w:cs="Arial"/>
          <w:b/>
        </w:rPr>
      </w:pPr>
      <w:r w:rsidRPr="007F0459">
        <w:rPr>
          <w:rFonts w:asciiTheme="majorHAnsi" w:hAnsiTheme="majorHAnsi" w:cs="Arial"/>
          <w:b/>
        </w:rPr>
        <w:lastRenderedPageBreak/>
        <w:t xml:space="preserve">The Moment-matching Method for </w:t>
      </w:r>
      <w:r w:rsidR="00713240">
        <w:rPr>
          <w:rFonts w:asciiTheme="majorHAnsi" w:hAnsiTheme="majorHAnsi" w:cs="Arial"/>
          <w:b/>
        </w:rPr>
        <w:t xml:space="preserve">SNP </w:t>
      </w:r>
      <w:r w:rsidRPr="007F0459">
        <w:rPr>
          <w:rFonts w:asciiTheme="majorHAnsi" w:hAnsiTheme="majorHAnsi" w:cs="Arial"/>
          <w:b/>
        </w:rPr>
        <w:t>Heritability Estimation</w:t>
      </w:r>
    </w:p>
    <w:p w14:paraId="2AFE2744" w14:textId="7B018756" w:rsidR="007B2F6D" w:rsidRDefault="007B2F6D" w:rsidP="00CB0026">
      <w:pPr>
        <w:spacing w:after="240" w:line="360" w:lineRule="auto"/>
        <w:rPr>
          <w:rFonts w:asciiTheme="majorHAnsi" w:hAnsiTheme="majorHAnsi" w:cs="Arial"/>
        </w:rPr>
      </w:pPr>
      <w:r w:rsidRPr="007F0459">
        <w:rPr>
          <w:rFonts w:asciiTheme="majorHAnsi" w:hAnsiTheme="majorHAnsi" w:cs="Arial"/>
        </w:rPr>
        <w:t xml:space="preserve">We consider the linear random effect model </w:t>
      </w:r>
      <m:oMath>
        <m:r>
          <m:rPr>
            <m:sty m:val="bi"/>
          </m:rP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</w:rPr>
          <m:t>=</m:t>
        </m:r>
        <m:r>
          <m:rPr>
            <m:sty m:val="bi"/>
          </m:rPr>
          <w:rPr>
            <w:rFonts w:ascii="Cambria Math" w:hAnsi="Cambria Math" w:cs="Arial"/>
          </w:rPr>
          <m:t>g</m:t>
        </m:r>
        <m: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</w:rPr>
          <m:t>e</m:t>
        </m:r>
      </m:oMath>
      <w:r w:rsidRPr="007F0459">
        <w:rPr>
          <w:rFonts w:asciiTheme="majorHAnsi" w:hAnsiTheme="majorHAnsi" w:cs="Arial"/>
        </w:rPr>
        <w:t xml:space="preserve">, where an </w:t>
      </w:r>
      <m:oMath>
        <m:r>
          <w:rPr>
            <w:rFonts w:ascii="Cambria Math" w:hAnsi="Cambria Math" w:cs="Arial"/>
          </w:rPr>
          <m:t>N</m:t>
        </m:r>
      </m:oMath>
      <w:r w:rsidRPr="007F0459">
        <w:rPr>
          <w:rFonts w:asciiTheme="majorHAnsi" w:hAnsiTheme="majorHAnsi" w:cs="Arial"/>
        </w:rPr>
        <w:t xml:space="preserve">-dimensional trait </w:t>
      </w:r>
      <m:oMath>
        <m:r>
          <m:rPr>
            <m:sty m:val="bi"/>
          </m:rPr>
          <w:rPr>
            <w:rFonts w:ascii="Cambria Math" w:hAnsi="Cambria Math" w:cs="Arial"/>
          </w:rPr>
          <m:t>y</m:t>
        </m:r>
      </m:oMath>
      <w:r w:rsidRPr="007F0459">
        <w:rPr>
          <w:rFonts w:asciiTheme="majorHAnsi" w:hAnsiTheme="majorHAnsi" w:cs="Arial"/>
          <w:b/>
        </w:rPr>
        <w:t xml:space="preserve"> </w:t>
      </w:r>
      <w:r w:rsidRPr="007F0459">
        <w:rPr>
          <w:rFonts w:asciiTheme="majorHAnsi" w:hAnsiTheme="majorHAnsi" w:cs="Arial"/>
        </w:rPr>
        <w:t xml:space="preserve">is partitioned into the sum of additive genetic effects </w:t>
      </w:r>
      <m:oMath>
        <m:r>
          <m:rPr>
            <m:sty m:val="bi"/>
          </m:rPr>
          <w:rPr>
            <w:rFonts w:ascii="Cambria Math" w:hAnsi="Cambria Math" w:cs="Arial"/>
          </w:rPr>
          <m:t>g</m:t>
        </m:r>
      </m:oMath>
      <w:r w:rsidRPr="007F0459">
        <w:rPr>
          <w:rFonts w:asciiTheme="majorHAnsi" w:hAnsiTheme="majorHAnsi" w:cs="Arial"/>
        </w:rPr>
        <w:t xml:space="preserve"> and unique (subject-specific) environmental effects </w:t>
      </w:r>
      <m:oMath>
        <m:r>
          <m:rPr>
            <m:sty m:val="bi"/>
          </m:rPr>
          <w:rPr>
            <w:rFonts w:ascii="Cambria Math" w:hAnsi="Cambria Math" w:cs="Arial"/>
          </w:rPr>
          <m:t>e</m:t>
        </m:r>
      </m:oMath>
      <w:r w:rsidRPr="007F0459">
        <w:rPr>
          <w:rFonts w:asciiTheme="majorHAnsi" w:hAnsiTheme="majorHAnsi" w:cs="Arial"/>
        </w:rPr>
        <w:t xml:space="preserve">. The covariance structure of </w:t>
      </w:r>
      <m:oMath>
        <m:r>
          <m:rPr>
            <m:sty m:val="bi"/>
          </m:rPr>
          <w:rPr>
            <w:rFonts w:ascii="Cambria Math" w:hAnsi="Cambria Math" w:cs="Arial"/>
          </w:rPr>
          <m:t>y</m:t>
        </m:r>
      </m:oMath>
      <w:r w:rsidRPr="007F0459">
        <w:rPr>
          <w:rFonts w:asciiTheme="majorHAnsi" w:hAnsiTheme="majorHAnsi" w:cs="Arial"/>
        </w:rPr>
        <w:t xml:space="preserve"> is </w:t>
      </w:r>
      <m:oMath>
        <m:r>
          <m:rPr>
            <m:sty m:val="p"/>
          </m:rPr>
          <w:rPr>
            <w:rFonts w:ascii="Cambria Math" w:hAnsi="Cambria Math" w:cs="Arial"/>
          </w:rPr>
          <m:t>cov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e>
        </m:d>
        <m:r>
          <w:rPr>
            <w:rFonts w:ascii="Cambria Math" w:hAnsi="Cambria Math" w:cs="Arial"/>
          </w:rPr>
          <m:t>=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 w:cs="Arial"/>
          </w:rPr>
          <m:t>K</m:t>
        </m:r>
        <m:r>
          <w:rPr>
            <w:rFonts w:ascii="Cambria Math" w:hAnsi="Cambria Math" w:cs="Arial"/>
          </w:rPr>
          <m:t>+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e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</m:oMath>
      <w:r w:rsidRPr="007F0459">
        <w:rPr>
          <w:rFonts w:asciiTheme="majorHAnsi" w:hAnsiTheme="majorHAnsi" w:cs="Arial"/>
        </w:rPr>
        <w:t xml:space="preserve">, where </w:t>
      </w:r>
      <m:oMath>
        <m:r>
          <m:rPr>
            <m:sty m:val="bi"/>
          </m:rPr>
          <w:rPr>
            <w:rFonts w:ascii="Cambria Math" w:hAnsi="Cambria Math" w:cs="Arial"/>
          </w:rPr>
          <m:t>K</m:t>
        </m:r>
      </m:oMath>
      <w:r w:rsidRPr="007F0459">
        <w:rPr>
          <w:rFonts w:asciiTheme="majorHAnsi" w:hAnsiTheme="majorHAnsi" w:cs="Arial"/>
        </w:rPr>
        <w:t xml:space="preserve"> is the empirical genetic similarity matrix for each pair of individuals estimated from genome-wide SNP data,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</m:oMath>
      <w:r w:rsidRPr="007F0459">
        <w:rPr>
          <w:rFonts w:asciiTheme="majorHAnsi" w:hAnsiTheme="majorHAnsi" w:cs="Arial"/>
          <w:b/>
        </w:rPr>
        <w:t xml:space="preserve"> </w:t>
      </w:r>
      <w:r w:rsidRPr="007F0459">
        <w:rPr>
          <w:rFonts w:asciiTheme="majorHAnsi" w:hAnsiTheme="majorHAnsi" w:cs="Arial"/>
        </w:rPr>
        <w:t xml:space="preserve">is an </w:t>
      </w:r>
      <m:oMath>
        <m:r>
          <w:rPr>
            <w:rFonts w:ascii="Cambria Math" w:hAnsi="Cambria Math" w:cs="Arial"/>
          </w:rPr>
          <m:t>N×N</m:t>
        </m:r>
      </m:oMath>
      <w:r w:rsidR="00EF4F07">
        <w:rPr>
          <w:rFonts w:asciiTheme="majorHAnsi" w:hAnsiTheme="majorHAnsi" w:cs="Arial"/>
        </w:rPr>
        <w:t xml:space="preserve"> </w:t>
      </w:r>
      <w:r w:rsidRPr="007F0459">
        <w:rPr>
          <w:rFonts w:asciiTheme="majorHAnsi" w:hAnsiTheme="majorHAnsi" w:cs="Arial"/>
        </w:rPr>
        <w:t xml:space="preserve">identity matrix,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 w:rsidRPr="007F0459">
        <w:rPr>
          <w:rFonts w:asciiTheme="majorHAnsi" w:hAnsiTheme="majorHAnsi" w:cs="Arial"/>
        </w:rPr>
        <w:t xml:space="preserve"> and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e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 w:rsidRPr="007F0459">
        <w:rPr>
          <w:rFonts w:asciiTheme="majorHAnsi" w:hAnsiTheme="majorHAnsi" w:cs="Arial"/>
        </w:rPr>
        <w:t xml:space="preserve"> are the total additive genetic variance captured by genotyped common SNPs and the variance of unique environmental factors across individuals, respectively.</w:t>
      </w:r>
    </w:p>
    <w:p w14:paraId="0271FE07" w14:textId="355CC233" w:rsidR="00F97666" w:rsidRDefault="00F97666" w:rsidP="00CB0026">
      <w:pPr>
        <w:spacing w:after="240" w:line="360" w:lineRule="auto"/>
        <w:rPr>
          <w:rFonts w:asciiTheme="majorHAnsi" w:hAnsiTheme="majorHAnsi" w:cs="Arial"/>
        </w:rPr>
      </w:pPr>
      <w:r w:rsidRPr="004C14AD">
        <w:rPr>
          <w:rFonts w:asciiTheme="majorHAnsi" w:hAnsiTheme="majorHAnsi" w:cs="Arial"/>
        </w:rPr>
        <w:t xml:space="preserve">To obtain unbiased estimates of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 w:rsidRPr="004C14AD">
        <w:rPr>
          <w:rFonts w:asciiTheme="majorHAnsi" w:hAnsiTheme="majorHAnsi" w:cs="Arial"/>
        </w:rPr>
        <w:t xml:space="preserve"> and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e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>
        <w:rPr>
          <w:rFonts w:asciiTheme="majorHAnsi" w:hAnsiTheme="majorHAnsi" w:cs="Arial"/>
        </w:rPr>
        <w:t xml:space="preserve">, </w:t>
      </w:r>
      <w:r w:rsidR="00C90FCD" w:rsidRPr="004C14AD">
        <w:rPr>
          <w:rFonts w:asciiTheme="majorHAnsi" w:hAnsiTheme="majorHAnsi" w:cs="Arial"/>
        </w:rPr>
        <w:t xml:space="preserve">we regress the empirical estimate of the phenotypic covariance onto the matrices </w:t>
      </w:r>
      <m:oMath>
        <m:r>
          <m:rPr>
            <m:sty m:val="bi"/>
          </m:rPr>
          <w:rPr>
            <w:rFonts w:ascii="Cambria Math" w:hAnsi="Cambria Math" w:cs="Arial"/>
          </w:rPr>
          <m:t>K</m:t>
        </m:r>
      </m:oMath>
      <w:r w:rsidR="00C90FCD" w:rsidRPr="004C14AD">
        <w:rPr>
          <w:rFonts w:asciiTheme="majorHAnsi" w:hAnsiTheme="majorHAnsi" w:cs="Arial"/>
          <w:b/>
        </w:rPr>
        <w:t xml:space="preserve"> </w:t>
      </w:r>
      <w:r w:rsidR="00C90FCD" w:rsidRPr="004C14AD">
        <w:rPr>
          <w:rFonts w:asciiTheme="majorHAnsi" w:hAnsiTheme="majorHAnsi" w:cs="Arial"/>
        </w:rPr>
        <w:t xml:space="preserve">and </w:t>
      </w:r>
      <m:oMath>
        <m:r>
          <m:rPr>
            <m:sty m:val="bi"/>
          </m:rPr>
          <w:rPr>
            <w:rFonts w:ascii="Cambria Math" w:hAnsi="Cambria Math" w:cs="Arial"/>
          </w:rPr>
          <m:t>I</m:t>
        </m:r>
      </m:oMath>
      <w:r w:rsidR="00C90FCD" w:rsidRPr="004C14AD">
        <w:rPr>
          <w:rFonts w:asciiTheme="majorHAnsi" w:hAnsiTheme="majorHAnsi" w:cs="Arial"/>
        </w:rPr>
        <w:t xml:space="preserve">: </w:t>
      </w:r>
      <m:oMath>
        <m:r>
          <m:rPr>
            <m:sty m:val="p"/>
          </m:rPr>
          <w:rPr>
            <w:rFonts w:ascii="Cambria Math" w:hAnsi="Cambria Math" w:cs="Arial"/>
          </w:rPr>
          <m:t>vec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T</m:t>
                </m:r>
              </m:sup>
            </m:sSup>
          </m:e>
        </m:d>
        <m:r>
          <w:rPr>
            <w:rFonts w:ascii="Cambria Math" w:hAnsi="Cambria Math" w:cs="Arial"/>
          </w:rPr>
          <m:t>=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vec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K</m:t>
            </m:r>
          </m:e>
        </m:d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+σ</m:t>
            </m:r>
          </m:e>
          <m:sub>
            <m:r>
              <w:rPr>
                <w:rFonts w:ascii="Cambria Math" w:hAnsi="Cambria Math" w:cs="Arial"/>
              </w:rPr>
              <m:t>e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vec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I</m:t>
            </m:r>
          </m:e>
        </m:d>
        <m: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</w:rPr>
          <m:t>ϵ</m:t>
        </m:r>
      </m:oMath>
      <w:r w:rsidR="00C90FCD" w:rsidRPr="004C14AD">
        <w:rPr>
          <w:rFonts w:asciiTheme="majorHAnsi" w:hAnsiTheme="majorHAnsi" w:cs="Arial"/>
        </w:rPr>
        <w:t xml:space="preserve">, where </w:t>
      </w:r>
      <m:oMath>
        <m:r>
          <m:rPr>
            <m:sty m:val="p"/>
          </m:rPr>
          <w:rPr>
            <w:rFonts w:ascii="Cambria Math" w:hAnsi="Cambria Math" w:cs="Arial"/>
          </w:rPr>
          <m:t>vec</m:t>
        </m:r>
        <m:r>
          <w:rPr>
            <w:rFonts w:ascii="Cambria Math" w:hAnsi="Cambria Math" w:cs="Arial"/>
          </w:rPr>
          <m:t>[∙]</m:t>
        </m:r>
      </m:oMath>
      <w:r w:rsidR="00C90FCD" w:rsidRPr="004C14AD">
        <w:rPr>
          <w:rFonts w:asciiTheme="majorHAnsi" w:hAnsiTheme="majorHAnsi" w:cs="Arial"/>
        </w:rPr>
        <w:t xml:space="preserve"> is the matrix vectorization operator that converts a matrix into a vector by stacking its columns, and </w:t>
      </w:r>
      <m:oMath>
        <m:r>
          <m:rPr>
            <m:sty m:val="bi"/>
          </m:rPr>
          <w:rPr>
            <w:rFonts w:ascii="Cambria Math" w:hAnsi="Cambria Math" w:cs="Arial"/>
          </w:rPr>
          <m:t>ϵ</m:t>
        </m:r>
      </m:oMath>
      <w:r w:rsidR="00C90FCD" w:rsidRPr="004C14AD">
        <w:rPr>
          <w:rFonts w:asciiTheme="majorHAnsi" w:hAnsiTheme="majorHAnsi" w:cs="Arial"/>
          <w:b/>
        </w:rPr>
        <w:t xml:space="preserve"> </w:t>
      </w:r>
      <w:r w:rsidR="00C90FCD" w:rsidRPr="004C14AD">
        <w:rPr>
          <w:rFonts w:asciiTheme="majorHAnsi" w:hAnsiTheme="majorHAnsi" w:cs="Arial"/>
        </w:rPr>
        <w:t>is the residual of the regression.</w:t>
      </w:r>
      <w:r w:rsidR="004D03E5">
        <w:rPr>
          <w:rFonts w:asciiTheme="majorHAnsi" w:hAnsiTheme="majorHAnsi" w:cs="Arial"/>
        </w:rPr>
        <w:t xml:space="preserve"> </w:t>
      </w:r>
      <w:r w:rsidR="004D03E5" w:rsidRPr="004C14AD">
        <w:rPr>
          <w:rFonts w:asciiTheme="majorHAnsi" w:hAnsiTheme="majorHAnsi" w:cs="Arial"/>
        </w:rPr>
        <w:t>The ordinary least squares (OLS) estimator of this multiple regression problem</w:t>
      </w:r>
      <w:r w:rsidR="00AD6BDA">
        <w:rPr>
          <w:rFonts w:asciiTheme="majorHAnsi" w:hAnsiTheme="majorHAnsi" w:cs="Arial"/>
        </w:rPr>
        <w:t xml:space="preserve"> </w:t>
      </w:r>
      <w:r w:rsidR="002F72A3">
        <w:rPr>
          <w:rFonts w:asciiTheme="majorHAnsi" w:hAnsiTheme="majorHAnsi" w:cs="Arial"/>
        </w:rPr>
        <w:t>can be obtained by solving</w:t>
      </w:r>
      <w:r w:rsidR="00AD6BDA">
        <w:rPr>
          <w:rFonts w:asciiTheme="majorHAnsi" w:hAnsiTheme="majorHAnsi" w:cs="Arial"/>
        </w:rPr>
        <w:t xml:space="preserve"> the </w:t>
      </w:r>
      <w:r w:rsidR="002C2D02">
        <w:rPr>
          <w:rFonts w:asciiTheme="majorHAnsi" w:hAnsiTheme="majorHAnsi" w:cs="Arial"/>
        </w:rPr>
        <w:t>linear system:</w:t>
      </w:r>
    </w:p>
    <w:p w14:paraId="7C5D4162" w14:textId="6A8BECE4" w:rsidR="009A0672" w:rsidRPr="00A95F60" w:rsidRDefault="00FA06CC" w:rsidP="00CB0026">
      <w:pPr>
        <w:spacing w:after="240" w:line="360" w:lineRule="auto"/>
        <w:rPr>
          <w:rFonts w:asciiTheme="majorHAnsi" w:hAnsiTheme="majorHAnsi"/>
          <w:b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tr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tr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</m:d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tr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</m:d>
                  </m:e>
                  <m:e>
                    <m:r>
                      <w:rPr>
                        <w:rFonts w:ascii="Cambria Math" w:hAnsi="Cambria Math" w:cs="Arial"/>
                      </w:rPr>
                      <m:t>N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e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 w:cs="Aria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Ky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y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.</m:t>
          </m:r>
        </m:oMath>
      </m:oMathPara>
    </w:p>
    <w:p w14:paraId="3BDFC03A" w14:textId="1C985712" w:rsidR="00A95F60" w:rsidRDefault="00A95F60" w:rsidP="00CB0026">
      <w:pPr>
        <w:spacing w:after="240"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In the presence of </w:t>
      </w:r>
      <w:r w:rsidRPr="004C14AD">
        <w:rPr>
          <w:rFonts w:asciiTheme="majorHAnsi" w:hAnsiTheme="majorHAnsi" w:cs="Arial"/>
        </w:rPr>
        <w:t xml:space="preserve">covariates, i.e., </w:t>
      </w:r>
      <m:oMath>
        <m:r>
          <m:rPr>
            <m:sty m:val="bi"/>
          </m:rP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</w:rPr>
          <m:t>=</m:t>
        </m:r>
        <m:r>
          <m:rPr>
            <m:sty m:val="bi"/>
          </m:rPr>
          <w:rPr>
            <w:rFonts w:ascii="Cambria Math" w:hAnsi="Cambria Math" w:cs="Arial"/>
          </w:rPr>
          <m:t>Xβ</m:t>
        </m:r>
        <m: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</w:rPr>
          <m:t>g</m:t>
        </m:r>
        <m: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</w:rPr>
          <m:t>e</m:t>
        </m:r>
      </m:oMath>
      <w:r w:rsidRPr="004C14AD">
        <w:rPr>
          <w:rFonts w:asciiTheme="majorHAnsi" w:hAnsiTheme="majorHAnsi" w:cs="Arial"/>
        </w:rPr>
        <w:t xml:space="preserve">, where </w:t>
      </w:r>
      <m:oMath>
        <m:r>
          <m:rPr>
            <m:sty m:val="bi"/>
          </m:rPr>
          <w:rPr>
            <w:rFonts w:ascii="Cambria Math" w:hAnsi="Cambria Math" w:cs="Arial"/>
          </w:rPr>
          <m:t>X</m:t>
        </m:r>
      </m:oMath>
      <w:r w:rsidRPr="004C14AD">
        <w:rPr>
          <w:rFonts w:asciiTheme="majorHAnsi" w:hAnsiTheme="majorHAnsi" w:cs="Arial"/>
        </w:rPr>
        <w:t xml:space="preserve"> is an </w:t>
      </w:r>
      <m:oMath>
        <m:r>
          <w:rPr>
            <w:rFonts w:ascii="Cambria Math" w:hAnsi="Cambria Math" w:cs="Arial"/>
          </w:rPr>
          <m:t>N×q</m:t>
        </m:r>
      </m:oMath>
      <w:r w:rsidRPr="004C14AD">
        <w:rPr>
          <w:rFonts w:asciiTheme="majorHAnsi" w:hAnsiTheme="majorHAnsi" w:cs="Arial"/>
        </w:rPr>
        <w:t xml:space="preserve"> covariate matrix and </w:t>
      </w:r>
      <m:oMath>
        <m:r>
          <m:rPr>
            <m:sty m:val="bi"/>
          </m:rPr>
          <w:rPr>
            <w:rFonts w:ascii="Cambria Math" w:hAnsi="Cambria Math" w:cs="Arial"/>
          </w:rPr>
          <m:t>β</m:t>
        </m:r>
      </m:oMath>
      <w:r w:rsidRPr="004C14AD">
        <w:rPr>
          <w:rFonts w:asciiTheme="majorHAnsi" w:hAnsiTheme="majorHAnsi" w:cs="Arial"/>
        </w:rPr>
        <w:t xml:space="preserve"> is a vector of fixed effects, an </w:t>
      </w:r>
      <m:oMath>
        <m:r>
          <w:rPr>
            <w:rFonts w:ascii="Cambria Math" w:hAnsi="Cambria Math" w:cs="Arial"/>
          </w:rPr>
          <m:t>N×(N-q)</m:t>
        </m:r>
      </m:oMath>
      <w:r w:rsidRPr="004C14AD">
        <w:rPr>
          <w:rFonts w:asciiTheme="majorHAnsi" w:hAnsiTheme="majorHAnsi" w:cs="Arial"/>
        </w:rPr>
        <w:t xml:space="preserve"> matrix </w:t>
      </w:r>
      <m:oMath>
        <m:r>
          <m:rPr>
            <m:sty m:val="bi"/>
          </m:rPr>
          <w:rPr>
            <w:rFonts w:ascii="Cambria Math" w:hAnsi="Cambria Math" w:cs="Arial"/>
          </w:rPr>
          <m:t>U</m:t>
        </m:r>
      </m:oMath>
      <w:r w:rsidRPr="004C14AD">
        <w:rPr>
          <w:rFonts w:asciiTheme="majorHAnsi" w:hAnsiTheme="majorHAnsi" w:cs="Arial"/>
        </w:rPr>
        <w:t xml:space="preserve"> always exists, which satisfies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U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U=I</m:t>
        </m:r>
      </m:oMath>
      <w:r w:rsidRPr="004C14AD">
        <w:rPr>
          <w:rFonts w:asciiTheme="majorHAnsi" w:hAnsiTheme="majorHAnsi" w:cs="Arial"/>
        </w:rPr>
        <w:t xml:space="preserve">, </w:t>
      </w:r>
      <m:oMath>
        <m:r>
          <m:rPr>
            <m:sty m:val="bi"/>
          </m:rPr>
          <w:rPr>
            <w:rFonts w:ascii="Cambria Math" w:hAnsi="Cambria Math" w:cs="Arial"/>
          </w:rPr>
          <m:t>U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U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0</m:t>
            </m:r>
          </m:sub>
        </m:sSub>
      </m:oMath>
      <w:r w:rsidRPr="004C14AD">
        <w:rPr>
          <w:rFonts w:asciiTheme="majorHAnsi" w:hAnsiTheme="majorHAnsi" w:cs="Arial"/>
        </w:rPr>
        <w:t xml:space="preserve">,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U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X=0</m:t>
        </m:r>
      </m:oMath>
      <w:r w:rsidRPr="004C14AD">
        <w:rPr>
          <w:rFonts w:asciiTheme="majorHAnsi" w:hAnsiTheme="majorHAnsi" w:cs="Arial"/>
        </w:rPr>
        <w:t xml:space="preserve">, and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=I-X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T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</w:rPr>
              <m:t>X)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</m:oMath>
      <w:r w:rsidRPr="004C14AD">
        <w:rPr>
          <w:rFonts w:asciiTheme="majorHAnsi" w:hAnsiTheme="majorHAnsi" w:cs="Arial"/>
        </w:rPr>
        <w:t xml:space="preserve">. Applying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U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</m:oMath>
      <w:r w:rsidRPr="004C14AD">
        <w:rPr>
          <w:rFonts w:asciiTheme="majorHAnsi" w:hAnsiTheme="majorHAnsi" w:cs="Arial"/>
          <w:b/>
        </w:rPr>
        <w:t xml:space="preserve"> </w:t>
      </w:r>
      <w:r w:rsidRPr="004C14AD">
        <w:rPr>
          <w:rFonts w:asciiTheme="majorHAnsi" w:hAnsiTheme="majorHAnsi" w:cs="Arial"/>
        </w:rPr>
        <w:t>to both sides of the model</w:t>
      </w:r>
      <w:r w:rsidR="00D41A38">
        <w:rPr>
          <w:rFonts w:asciiTheme="majorHAnsi" w:hAnsiTheme="majorHAnsi" w:cs="Arial"/>
        </w:rPr>
        <w:t xml:space="preserve"> </w:t>
      </w:r>
      <w:r w:rsidR="00BB7D58">
        <w:rPr>
          <w:rFonts w:asciiTheme="majorHAnsi" w:hAnsiTheme="majorHAnsi" w:cs="Arial"/>
        </w:rPr>
        <w:t xml:space="preserve">removes the covariate matrix and </w:t>
      </w:r>
      <w:r w:rsidR="00D41A38">
        <w:rPr>
          <w:rFonts w:asciiTheme="majorHAnsi" w:hAnsiTheme="majorHAnsi" w:cs="Arial"/>
        </w:rPr>
        <w:t xml:space="preserve">gives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U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U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g</m:t>
        </m:r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U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e</m:t>
        </m:r>
      </m:oMath>
      <w:r w:rsidR="004D7718">
        <w:rPr>
          <w:rFonts w:asciiTheme="majorHAnsi" w:hAnsiTheme="majorHAnsi" w:cs="Arial"/>
        </w:rPr>
        <w:t>. T</w:t>
      </w:r>
      <w:r w:rsidR="00116986">
        <w:rPr>
          <w:rFonts w:asciiTheme="majorHAnsi" w:hAnsiTheme="majorHAnsi" w:cs="Arial"/>
        </w:rPr>
        <w:t xml:space="preserve">he covariance structure of the transformed trait is </w:t>
      </w:r>
      <m:oMath>
        <m:r>
          <m:rPr>
            <m:sty m:val="p"/>
          </m:rPr>
          <w:rPr>
            <w:rFonts w:ascii="Cambria Math" w:hAnsi="Cambria Math" w:cs="Arial"/>
          </w:rPr>
          <m:t>cov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U</m:t>
                </m:r>
              </m:e>
              <m:sup>
                <m:r>
                  <w:rPr>
                    <w:rFonts w:ascii="Cambria Math" w:hAnsi="Cambria Math" w:cs="Arial"/>
                  </w:rPr>
                  <m:t>T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e>
        </m:d>
        <m:r>
          <w:rPr>
            <w:rFonts w:ascii="Cambria Math" w:hAnsi="Cambria Math" w:cs="Arial"/>
          </w:rPr>
          <m:t>=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U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KU</m:t>
        </m:r>
        <m:r>
          <w:rPr>
            <w:rFonts w:ascii="Cambria Math" w:hAnsi="Cambria Math" w:cs="Arial"/>
          </w:rPr>
          <m:t>+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e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N-q</m:t>
            </m:r>
          </m:sub>
        </m:sSub>
      </m:oMath>
      <w:r w:rsidR="00455639" w:rsidRPr="00455639">
        <w:rPr>
          <w:rFonts w:asciiTheme="majorHAnsi" w:hAnsiTheme="majorHAnsi" w:cs="Arial"/>
        </w:rPr>
        <w:t xml:space="preserve">, </w:t>
      </w:r>
      <w:r w:rsidR="00455639">
        <w:rPr>
          <w:rFonts w:asciiTheme="majorHAnsi" w:hAnsiTheme="majorHAnsi" w:cs="Arial"/>
        </w:rPr>
        <w:t>and the linear system becomes</w:t>
      </w:r>
    </w:p>
    <w:p w14:paraId="1FB8D834" w14:textId="1CB872D9" w:rsidR="007D56D6" w:rsidRPr="00A95F60" w:rsidRDefault="00FA06CC" w:rsidP="007D56D6">
      <w:pPr>
        <w:spacing w:after="240" w:line="360" w:lineRule="auto"/>
        <w:rPr>
          <w:rFonts w:asciiTheme="majorHAnsi" w:hAnsiTheme="majorHAnsi"/>
          <w:b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tr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K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</m:d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tr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</m:d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tr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</m:d>
                  </m:e>
                  <m:e>
                    <m:r>
                      <w:rPr>
                        <w:rFonts w:ascii="Cambria Math" w:hAnsi="Cambria Math" w:cs="Arial"/>
                      </w:rPr>
                      <m:t>N-q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e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 w:cs="Aria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K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y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y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.</m:t>
          </m:r>
        </m:oMath>
      </m:oMathPara>
    </w:p>
    <w:p w14:paraId="14DDE578" w14:textId="5D47F76B" w:rsidR="007D56D6" w:rsidRDefault="00877D0F" w:rsidP="00CB0026">
      <w:p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note that </w:t>
      </w:r>
      <w:r w:rsidR="00C9528E">
        <w:rPr>
          <w:rFonts w:asciiTheme="majorHAnsi" w:hAnsiTheme="majorHAnsi"/>
        </w:rPr>
        <w:t>for large sample size</w:t>
      </w:r>
      <w:r w:rsidR="00883FF9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 w:cs="Arial"/>
          </w:rPr>
          <m:t>N</m:t>
        </m:r>
      </m:oMath>
      <w:r w:rsidR="00C9528E">
        <w:rPr>
          <w:rFonts w:asciiTheme="majorHAnsi" w:hAnsiTheme="majorHAnsi"/>
        </w:rPr>
        <w:t xml:space="preserve">, the </w:t>
      </w:r>
      <m:oMath>
        <m:r>
          <w:rPr>
            <w:rFonts w:ascii="Cambria Math" w:hAnsi="Cambria Math" w:cs="Arial"/>
          </w:rPr>
          <m:t>N×N</m:t>
        </m:r>
      </m:oMath>
      <w:r w:rsidR="00883FF9">
        <w:rPr>
          <w:rFonts w:asciiTheme="majorHAnsi" w:hAnsiTheme="majorHAnsi"/>
        </w:rPr>
        <w:t xml:space="preserve"> </w:t>
      </w:r>
      <w:r w:rsidR="008C74E9">
        <w:rPr>
          <w:rFonts w:asciiTheme="majorHAnsi" w:hAnsiTheme="majorHAnsi"/>
        </w:rPr>
        <w:t xml:space="preserve">genetic similarity matrix </w:t>
      </w:r>
      <m:oMath>
        <m:r>
          <m:rPr>
            <m:sty m:val="bi"/>
          </m:rPr>
          <w:rPr>
            <w:rFonts w:ascii="Cambria Math" w:hAnsi="Cambria Math" w:cs="Arial"/>
          </w:rPr>
          <m:t>K</m:t>
        </m:r>
      </m:oMath>
      <w:r w:rsidR="008C74E9">
        <w:rPr>
          <w:rFonts w:asciiTheme="majorHAnsi" w:hAnsiTheme="majorHAnsi"/>
          <w:b/>
        </w:rPr>
        <w:t xml:space="preserve"> </w:t>
      </w:r>
      <w:r w:rsidR="008C74E9">
        <w:rPr>
          <w:rFonts w:asciiTheme="majorHAnsi" w:hAnsiTheme="majorHAnsi"/>
        </w:rPr>
        <w:t xml:space="preserve">and the </w:t>
      </w:r>
      <m:oMath>
        <m:r>
          <w:rPr>
            <w:rFonts w:ascii="Cambria Math" w:hAnsi="Cambria Math" w:cs="Arial"/>
          </w:rPr>
          <m:t>N×N</m:t>
        </m:r>
      </m:oMath>
      <w:r w:rsidR="00883FF9">
        <w:rPr>
          <w:rFonts w:asciiTheme="majorHAnsi" w:hAnsiTheme="majorHAnsi"/>
        </w:rPr>
        <w:t xml:space="preserve"> </w:t>
      </w:r>
      <w:r w:rsidR="001013C2">
        <w:rPr>
          <w:rFonts w:asciiTheme="majorHAnsi" w:hAnsiTheme="majorHAnsi"/>
        </w:rPr>
        <w:t xml:space="preserve">residual forming matrix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0</m:t>
            </m:r>
          </m:sub>
        </m:sSub>
      </m:oMath>
      <w:r w:rsidR="00A64187">
        <w:rPr>
          <w:rFonts w:asciiTheme="majorHAnsi" w:hAnsiTheme="majorHAnsi"/>
          <w:b/>
        </w:rPr>
        <w:t xml:space="preserve"> </w:t>
      </w:r>
      <w:r w:rsidR="00A64187" w:rsidRPr="00A64187">
        <w:rPr>
          <w:rFonts w:asciiTheme="majorHAnsi" w:hAnsiTheme="majorHAnsi"/>
        </w:rPr>
        <w:t xml:space="preserve">can </w:t>
      </w:r>
      <w:r w:rsidR="00A64187">
        <w:rPr>
          <w:rFonts w:asciiTheme="majorHAnsi" w:hAnsiTheme="majorHAnsi"/>
        </w:rPr>
        <w:t>be very large</w:t>
      </w:r>
      <w:r w:rsidR="0086649E">
        <w:rPr>
          <w:rFonts w:asciiTheme="majorHAnsi" w:hAnsiTheme="majorHAnsi"/>
        </w:rPr>
        <w:t xml:space="preserve">, making the </w:t>
      </w:r>
      <w:r w:rsidR="00CC2D0D">
        <w:rPr>
          <w:rFonts w:asciiTheme="majorHAnsi" w:hAnsiTheme="majorHAnsi"/>
        </w:rPr>
        <w:t xml:space="preserve">computation of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y</m:t>
        </m:r>
      </m:oMath>
      <w:r w:rsidR="007A0586" w:rsidRPr="007A0586">
        <w:rPr>
          <w:rFonts w:asciiTheme="majorHAnsi" w:hAnsiTheme="majorHAnsi"/>
        </w:rPr>
        <w:t>,</w:t>
      </w:r>
      <w:r w:rsidR="007A0586">
        <w:rPr>
          <w:rFonts w:asciiTheme="majorHAnsi" w:hAnsiTheme="majorHAnsi"/>
          <w:b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K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y</m:t>
        </m:r>
      </m:oMath>
      <w:r w:rsidR="007A0586" w:rsidRPr="007A0586">
        <w:rPr>
          <w:rFonts w:asciiTheme="majorHAnsi" w:hAnsiTheme="majorHAnsi"/>
        </w:rPr>
        <w:t>,</w:t>
      </w:r>
      <w:r w:rsidR="007A0586">
        <w:rPr>
          <w:rFonts w:asciiTheme="majorHAnsi" w:hAnsiTheme="majorHAnsi"/>
          <w:b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tr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</w:rPr>
              <m:t>K</m:t>
            </m:r>
          </m:e>
        </m:d>
      </m:oMath>
      <w:r w:rsidR="007A0586">
        <w:rPr>
          <w:rFonts w:asciiTheme="majorHAnsi" w:hAnsiTheme="majorHAnsi"/>
        </w:rPr>
        <w:t xml:space="preserve">, </w:t>
      </w:r>
      <w:r w:rsidR="00A27776">
        <w:rPr>
          <w:rFonts w:asciiTheme="majorHAnsi" w:hAnsiTheme="majorHAnsi"/>
        </w:rPr>
        <w:t xml:space="preserve">and </w:t>
      </w:r>
      <m:oMath>
        <m:r>
          <m:rPr>
            <m:sty m:val="p"/>
          </m:rPr>
          <w:rPr>
            <w:rFonts w:ascii="Cambria Math" w:hAnsi="Cambria Math" w:cs="Arial"/>
          </w:rPr>
          <m:t>tr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</w:rPr>
              <m:t>K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</w:rPr>
              <m:t>K</m:t>
            </m:r>
          </m:e>
        </m:d>
      </m:oMath>
      <w:r w:rsidR="00A27776">
        <w:rPr>
          <w:rFonts w:asciiTheme="majorHAnsi" w:hAnsiTheme="majorHAnsi"/>
        </w:rPr>
        <w:t xml:space="preserve"> </w:t>
      </w:r>
      <w:r w:rsidR="00BC7B33">
        <w:rPr>
          <w:rFonts w:asciiTheme="majorHAnsi" w:hAnsiTheme="majorHAnsi"/>
        </w:rPr>
        <w:t>memory</w:t>
      </w:r>
      <w:r w:rsidR="00A83C4B">
        <w:rPr>
          <w:rFonts w:asciiTheme="majorHAnsi" w:hAnsiTheme="majorHAnsi"/>
        </w:rPr>
        <w:t xml:space="preserve"> intensive</w:t>
      </w:r>
      <w:r w:rsidR="00BC7B33">
        <w:rPr>
          <w:rFonts w:asciiTheme="majorHAnsi" w:hAnsiTheme="majorHAnsi"/>
        </w:rPr>
        <w:t>.</w:t>
      </w:r>
      <w:r w:rsidR="001404C6">
        <w:rPr>
          <w:rFonts w:asciiTheme="majorHAnsi" w:hAnsiTheme="majorHAnsi"/>
        </w:rPr>
        <w:t xml:space="preserve"> To reduce the </w:t>
      </w:r>
      <w:r w:rsidR="009220E7">
        <w:rPr>
          <w:rFonts w:asciiTheme="majorHAnsi" w:hAnsiTheme="majorHAnsi"/>
        </w:rPr>
        <w:t>memory de</w:t>
      </w:r>
      <w:r w:rsidR="007C31D9">
        <w:rPr>
          <w:rFonts w:asciiTheme="majorHAnsi" w:hAnsiTheme="majorHAnsi"/>
        </w:rPr>
        <w:t xml:space="preserve">mand, we note that (1) </w:t>
      </w:r>
      <w:r w:rsidR="001B283D">
        <w:rPr>
          <w:rFonts w:asciiTheme="majorHAnsi" w:hAnsiTheme="majorHAnsi"/>
        </w:rPr>
        <w:t xml:space="preserve">the number of </w:t>
      </w:r>
      <w:r w:rsidR="00C474BC">
        <w:rPr>
          <w:rFonts w:asciiTheme="majorHAnsi" w:hAnsiTheme="majorHAnsi"/>
        </w:rPr>
        <w:t xml:space="preserve">covariates </w:t>
      </w:r>
      <m:oMath>
        <m:r>
          <w:rPr>
            <w:rFonts w:ascii="Cambria Math" w:hAnsi="Cambria Math" w:cs="Arial"/>
          </w:rPr>
          <m:t>q</m:t>
        </m:r>
      </m:oMath>
      <w:r w:rsidR="00372767">
        <w:rPr>
          <w:rFonts w:asciiTheme="majorHAnsi" w:hAnsiTheme="majorHAnsi"/>
        </w:rPr>
        <w:t xml:space="preserve"> is typically orders of magnitude smaller than </w:t>
      </w:r>
      <m:oMath>
        <m:r>
          <w:rPr>
            <w:rFonts w:ascii="Cambria Math" w:hAnsi="Cambria Math"/>
          </w:rPr>
          <m:t>N</m:t>
        </m:r>
      </m:oMath>
      <w:r w:rsidR="006D23CC">
        <w:rPr>
          <w:rFonts w:asciiTheme="majorHAnsi" w:hAnsiTheme="majorHAnsi"/>
        </w:rPr>
        <w:t xml:space="preserve">; </w:t>
      </w:r>
      <w:r w:rsidR="00BC37FA">
        <w:rPr>
          <w:rFonts w:asciiTheme="majorHAnsi" w:hAnsiTheme="majorHAnsi"/>
        </w:rPr>
        <w:t xml:space="preserve">(2) </w:t>
      </w:r>
      <w:r w:rsidR="00F46490">
        <w:rPr>
          <w:rFonts w:asciiTheme="majorHAnsi" w:hAnsiTheme="majorHAnsi"/>
        </w:rPr>
        <w:t xml:space="preserve">the quantities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K</m:t>
        </m:r>
      </m:oMath>
      <w:r w:rsidR="0020728A" w:rsidRPr="0020728A">
        <w:rPr>
          <w:rFonts w:asciiTheme="majorHAnsi" w:hAnsiTheme="majorHAnsi"/>
        </w:rPr>
        <w:t>,</w:t>
      </w:r>
      <w:r w:rsidR="0020728A">
        <w:rPr>
          <w:rFonts w:asciiTheme="majorHAnsi" w:hAnsiTheme="majorHAnsi"/>
          <w:b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K</m:t>
        </m:r>
      </m:oMath>
      <w:r w:rsidR="0020728A">
        <w:rPr>
          <w:rFonts w:asciiTheme="majorHAnsi" w:hAnsiTheme="majorHAnsi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</w:rPr>
          <m:t>tr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K</m:t>
            </m:r>
          </m:e>
        </m:d>
        <m:r>
          <w:rPr>
            <w:rFonts w:ascii="Cambria Math" w:hAnsi="Cambria Math" w:cs="Arial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</w:rPr>
                  <m:t>ii</m:t>
                </m:r>
              </m:sub>
            </m:sSub>
          </m:e>
        </m:nary>
      </m:oMath>
      <w:r w:rsidR="00C35EBC">
        <w:rPr>
          <w:rFonts w:asciiTheme="majorHAnsi" w:hAnsiTheme="majorHAnsi"/>
        </w:rPr>
        <w:t xml:space="preserve">, and </w:t>
      </w:r>
      <m:oMath>
        <m:r>
          <m:rPr>
            <m:sty m:val="p"/>
          </m:rPr>
          <w:rPr>
            <w:rFonts w:ascii="Cambria Math" w:hAnsi="Cambria Math" w:cs="Arial"/>
          </w:rPr>
          <m:t>tr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nary>
      </m:oMath>
      <w:r w:rsidR="00C35EBC">
        <w:rPr>
          <w:rFonts w:asciiTheme="majorHAnsi" w:hAnsiTheme="majorHAnsi"/>
        </w:rPr>
        <w:t xml:space="preserve"> can be </w:t>
      </w:r>
      <w:r w:rsidR="00197922">
        <w:rPr>
          <w:rFonts w:asciiTheme="majorHAnsi" w:hAnsiTheme="majorHAnsi"/>
        </w:rPr>
        <w:t xml:space="preserve">computed by iteratively reading columns (or block columns) of </w:t>
      </w:r>
      <m:oMath>
        <m:r>
          <m:rPr>
            <m:sty m:val="bi"/>
          </m:rPr>
          <w:rPr>
            <w:rFonts w:ascii="Cambria Math" w:hAnsi="Cambria Math" w:cs="Arial"/>
          </w:rPr>
          <m:t>K</m:t>
        </m:r>
      </m:oMath>
      <w:r w:rsidR="00BD7902">
        <w:rPr>
          <w:rFonts w:asciiTheme="majorHAnsi" w:hAnsiTheme="majorHAnsi"/>
          <w:b/>
        </w:rPr>
        <w:t xml:space="preserve"> </w:t>
      </w:r>
      <w:r w:rsidR="00BD7902" w:rsidRPr="00BD7902">
        <w:rPr>
          <w:rFonts w:asciiTheme="majorHAnsi" w:hAnsiTheme="majorHAnsi"/>
        </w:rPr>
        <w:t>into the memory</w:t>
      </w:r>
      <w:r w:rsidR="006D23CC">
        <w:rPr>
          <w:rFonts w:asciiTheme="majorHAnsi" w:hAnsiTheme="majorHAnsi"/>
        </w:rPr>
        <w:t xml:space="preserve">; and (3) we have the following </w:t>
      </w:r>
      <w:r w:rsidR="008026AE">
        <w:rPr>
          <w:rFonts w:asciiTheme="majorHAnsi" w:hAnsiTheme="majorHAnsi"/>
        </w:rPr>
        <w:t>derivations:</w:t>
      </w:r>
    </w:p>
    <w:p w14:paraId="3CA777E4" w14:textId="77777777" w:rsidR="00DC4C27" w:rsidRDefault="00DC4C27" w:rsidP="00CB0026">
      <w:pPr>
        <w:spacing w:after="240" w:line="360" w:lineRule="auto"/>
        <w:rPr>
          <w:rFonts w:asciiTheme="majorHAnsi" w:hAnsiTheme="majorHAnsi"/>
        </w:rPr>
      </w:pPr>
    </w:p>
    <w:p w14:paraId="52E6669E" w14:textId="2EDEC81F" w:rsidR="00ED011D" w:rsidRPr="00D86748" w:rsidRDefault="00FA06CC" w:rsidP="00CB0026">
      <w:pPr>
        <w:spacing w:after="240" w:line="360" w:lineRule="auto"/>
        <w:rPr>
          <w:rFonts w:asciiTheme="majorHAnsi" w:hAnsiTheme="majorHAnsi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y=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>y-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>X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>y</m:t>
          </m:r>
          <m:r>
            <w:rPr>
              <w:rFonts w:ascii="Cambria Math" w:hAnsi="Cambria Math" w:cs="Arial"/>
            </w:rPr>
            <m:t>,</m:t>
          </m:r>
        </m:oMath>
      </m:oMathPara>
    </w:p>
    <w:p w14:paraId="620F0237" w14:textId="34012E5F" w:rsidR="00D86748" w:rsidRDefault="00D86748" w:rsidP="00CB0026">
      <w:pPr>
        <w:spacing w:after="240" w:line="360" w:lineRule="auto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tr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</m:e>
          </m:d>
          <m: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tr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</m:e>
          </m:d>
          <m:r>
            <w:rPr>
              <w:rFonts w:ascii="Cambria Math" w:hAnsi="Cambria Math" w:cs="Arial"/>
            </w:rPr>
            <m:t>-</m:t>
          </m:r>
          <m:r>
            <m:rPr>
              <m:sty m:val="p"/>
            </m:rPr>
            <w:rPr>
              <w:rFonts w:ascii="Cambria Math" w:hAnsi="Cambria Math" w:cs="Arial"/>
            </w:rPr>
            <m:t>tr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T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</w:rPr>
                <m:t>KX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Arial"/>
            </w:rPr>
            <m:t>,</m:t>
          </m:r>
        </m:oMath>
      </m:oMathPara>
    </w:p>
    <w:p w14:paraId="28178C53" w14:textId="410F453F" w:rsidR="00C92781" w:rsidRPr="00E37040" w:rsidRDefault="00FA06CC" w:rsidP="00CB0026">
      <w:pPr>
        <w:spacing w:after="240" w:line="360" w:lineRule="auto"/>
        <w:rPr>
          <w:rFonts w:asciiTheme="majorHAnsi" w:hAnsiTheme="majorHAnsi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K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y=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>Ky-</m:t>
          </m:r>
          <m:r>
            <w:rPr>
              <w:rFonts w:ascii="Cambria Math" w:hAnsi="Cambria Math" w:cs="Arial"/>
            </w:rPr>
            <m:t>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>X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>Ky+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>X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>KX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>y</m:t>
          </m:r>
          <m:r>
            <w:rPr>
              <w:rFonts w:ascii="Cambria Math" w:hAnsi="Cambria Math"/>
            </w:rPr>
            <m:t>,</m:t>
          </m:r>
        </m:oMath>
      </m:oMathPara>
    </w:p>
    <w:p w14:paraId="053EE211" w14:textId="5341D365" w:rsidR="00E37040" w:rsidRPr="00E37040" w:rsidRDefault="00E37040" w:rsidP="00CB0026">
      <w:pPr>
        <w:spacing w:after="240" w:line="360" w:lineRule="auto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tr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</m:e>
          </m:d>
          <m: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tr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</w:rPr>
            <m:t>-2</m:t>
          </m:r>
          <m:r>
            <m:rPr>
              <m:sty m:val="p"/>
            </m:rPr>
            <w:rPr>
              <w:rFonts w:ascii="Cambria Math" w:hAnsi="Cambria Math" w:cs="Arial"/>
            </w:rPr>
            <m:t>tr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T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</w:rPr>
                <m:t>KKX</m:t>
              </m:r>
            </m:e>
          </m:d>
          <m:r>
            <w:rPr>
              <w:rFonts w:ascii="Cambria Math" w:hAnsi="Cambria Math" w:cs="Arial"/>
            </w:rPr>
            <m:t>+</m:t>
          </m:r>
          <m:r>
            <m:rPr>
              <m:sty m:val="p"/>
            </m:rPr>
            <w:rPr>
              <w:rFonts w:ascii="Cambria Math" w:hAnsi="Cambria Math" w:cs="Arial"/>
            </w:rPr>
            <m:t>tr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T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</w:rPr>
                <m:t>KX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T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.</m:t>
          </m:r>
        </m:oMath>
      </m:oMathPara>
    </w:p>
    <w:p w14:paraId="6D26E60A" w14:textId="5E5D8195" w:rsidR="00E37040" w:rsidRPr="0020728A" w:rsidRDefault="00B34F4D" w:rsidP="00CB0026">
      <w:p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Therefore, it can be seen that </w:t>
      </w:r>
      <w:r w:rsidR="00AF3F41">
        <w:rPr>
          <w:rFonts w:asciiTheme="majorHAnsi" w:hAnsiTheme="majorHAnsi"/>
        </w:rPr>
        <w:t xml:space="preserve">once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K</m:t>
        </m:r>
      </m:oMath>
      <w:r w:rsidR="00C51518" w:rsidRPr="0020728A">
        <w:rPr>
          <w:rFonts w:asciiTheme="majorHAnsi" w:hAnsiTheme="majorHAnsi"/>
        </w:rPr>
        <w:t>,</w:t>
      </w:r>
      <w:r w:rsidR="00C51518">
        <w:rPr>
          <w:rFonts w:asciiTheme="majorHAnsi" w:hAnsiTheme="majorHAnsi"/>
          <w:b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T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K</m:t>
        </m:r>
      </m:oMath>
      <w:r w:rsidR="00C51518">
        <w:rPr>
          <w:rFonts w:asciiTheme="majorHAnsi" w:hAnsiTheme="majorHAnsi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</w:rPr>
          <m:t>tr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K</m:t>
            </m:r>
          </m:e>
        </m:d>
        <m:r>
          <w:rPr>
            <w:rFonts w:ascii="Cambria Math" w:hAnsi="Cambria Math" w:cs="Arial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</w:rPr>
                  <m:t>ii</m:t>
                </m:r>
              </m:sub>
            </m:sSub>
          </m:e>
        </m:nary>
      </m:oMath>
      <w:r w:rsidR="00C51518">
        <w:rPr>
          <w:rFonts w:asciiTheme="majorHAnsi" w:hAnsiTheme="majorHAnsi"/>
        </w:rPr>
        <w:t xml:space="preserve">, and </w:t>
      </w:r>
      <m:oMath>
        <m:r>
          <m:rPr>
            <m:sty m:val="p"/>
          </m:rPr>
          <w:rPr>
            <w:rFonts w:ascii="Cambria Math" w:hAnsi="Cambria Math" w:cs="Arial"/>
          </w:rPr>
          <m:t>tr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nary>
      </m:oMath>
      <w:r w:rsidR="00C51518">
        <w:rPr>
          <w:rFonts w:asciiTheme="majorHAnsi" w:hAnsiTheme="majorHAnsi"/>
        </w:rPr>
        <w:t xml:space="preserve"> have been computed </w:t>
      </w:r>
      <w:r w:rsidR="00983997">
        <w:rPr>
          <w:rFonts w:asciiTheme="majorHAnsi" w:hAnsiTheme="majorHAnsi"/>
        </w:rPr>
        <w:t>by iteratively loading</w:t>
      </w:r>
      <w:r w:rsidR="00B20D29">
        <w:rPr>
          <w:rFonts w:asciiTheme="majorHAnsi" w:hAnsiTheme="majorHAnsi"/>
        </w:rPr>
        <w:t xml:space="preserve"> columns (or block columns) of </w:t>
      </w:r>
      <m:oMath>
        <m:r>
          <m:rPr>
            <m:sty m:val="bi"/>
          </m:rPr>
          <w:rPr>
            <w:rFonts w:ascii="Cambria Math" w:hAnsi="Cambria Math" w:cs="Arial"/>
          </w:rPr>
          <m:t>K</m:t>
        </m:r>
      </m:oMath>
      <w:r w:rsidR="00605926">
        <w:rPr>
          <w:rFonts w:asciiTheme="majorHAnsi" w:hAnsiTheme="majorHAnsi"/>
          <w:b/>
        </w:rPr>
        <w:t xml:space="preserve"> </w:t>
      </w:r>
      <w:r w:rsidR="00605926">
        <w:rPr>
          <w:rFonts w:asciiTheme="majorHAnsi" w:hAnsiTheme="majorHAnsi"/>
        </w:rPr>
        <w:t>into the memory</w:t>
      </w:r>
      <w:r w:rsidR="00B20D29" w:rsidRPr="00B20D29">
        <w:rPr>
          <w:rFonts w:asciiTheme="majorHAnsi" w:hAnsiTheme="majorHAnsi"/>
        </w:rPr>
        <w:t>,</w:t>
      </w:r>
      <w:r w:rsidR="00B20D29">
        <w:rPr>
          <w:rFonts w:asciiTheme="majorHAnsi" w:hAnsiTheme="majorHAnsi"/>
        </w:rPr>
        <w:t xml:space="preserve"> </w:t>
      </w:r>
      <w:r w:rsidR="00EF07E3">
        <w:rPr>
          <w:rFonts w:asciiTheme="majorHAnsi" w:hAnsiTheme="majorHAnsi"/>
        </w:rPr>
        <w:t xml:space="preserve">all quantities in the linear system can be computed </w:t>
      </w:r>
      <w:r w:rsidR="00AD3375">
        <w:rPr>
          <w:rFonts w:asciiTheme="majorHAnsi" w:hAnsiTheme="majorHAnsi"/>
        </w:rPr>
        <w:t xml:space="preserve">without </w:t>
      </w:r>
      <w:r w:rsidR="00247439">
        <w:rPr>
          <w:rFonts w:asciiTheme="majorHAnsi" w:hAnsiTheme="majorHAnsi"/>
        </w:rPr>
        <w:t xml:space="preserve">manipulating any </w:t>
      </w:r>
      <m:oMath>
        <m:r>
          <w:rPr>
            <w:rFonts w:ascii="Cambria Math" w:hAnsi="Cambria Math" w:cs="Arial"/>
          </w:rPr>
          <m:t>N×N</m:t>
        </m:r>
      </m:oMath>
      <w:r w:rsidR="00127F9E">
        <w:rPr>
          <w:rFonts w:asciiTheme="majorHAnsi" w:hAnsiTheme="majorHAnsi"/>
        </w:rPr>
        <w:t xml:space="preserve"> matrix. In particular, </w:t>
      </w:r>
      <w:r w:rsidR="00262948">
        <w:rPr>
          <w:rFonts w:asciiTheme="majorHAnsi" w:hAnsiTheme="majorHAnsi"/>
        </w:rPr>
        <w:t xml:space="preserve">the residual forming matrix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0</m:t>
            </m:r>
          </m:sub>
        </m:sSub>
      </m:oMath>
      <w:r w:rsidR="00262948">
        <w:rPr>
          <w:rFonts w:asciiTheme="majorHAnsi" w:hAnsiTheme="majorHAnsi"/>
          <w:b/>
        </w:rPr>
        <w:t xml:space="preserve"> </w:t>
      </w:r>
      <w:r w:rsidR="00262948">
        <w:rPr>
          <w:rFonts w:asciiTheme="majorHAnsi" w:hAnsiTheme="majorHAnsi"/>
        </w:rPr>
        <w:t xml:space="preserve">does not need to be explicitly computed. This makes </w:t>
      </w:r>
      <w:r w:rsidR="00FE7565">
        <w:rPr>
          <w:rFonts w:asciiTheme="majorHAnsi" w:hAnsiTheme="majorHAnsi"/>
        </w:rPr>
        <w:t xml:space="preserve">the </w:t>
      </w:r>
      <w:r w:rsidR="0000650E">
        <w:rPr>
          <w:rFonts w:asciiTheme="majorHAnsi" w:hAnsiTheme="majorHAnsi"/>
        </w:rPr>
        <w:t xml:space="preserve">moment-matching </w:t>
      </w:r>
      <w:r w:rsidR="00FE7565">
        <w:rPr>
          <w:rFonts w:asciiTheme="majorHAnsi" w:hAnsiTheme="majorHAnsi"/>
        </w:rPr>
        <w:t xml:space="preserve">algorithm computationally and memory efficient even if </w:t>
      </w:r>
      <w:r w:rsidR="008167C6">
        <w:rPr>
          <w:rFonts w:asciiTheme="majorHAnsi" w:hAnsiTheme="majorHAnsi"/>
        </w:rPr>
        <w:t>the sample size is very large.</w:t>
      </w:r>
      <w:bookmarkStart w:id="0" w:name="_GoBack"/>
      <w:bookmarkEnd w:id="0"/>
    </w:p>
    <w:sectPr w:rsidR="00E37040" w:rsidRPr="0020728A" w:rsidSect="000861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20"/>
    <w:rsid w:val="00003644"/>
    <w:rsid w:val="0000650E"/>
    <w:rsid w:val="0002010B"/>
    <w:rsid w:val="00027031"/>
    <w:rsid w:val="000369C0"/>
    <w:rsid w:val="00081D78"/>
    <w:rsid w:val="00086120"/>
    <w:rsid w:val="001013C2"/>
    <w:rsid w:val="00116986"/>
    <w:rsid w:val="00127F9E"/>
    <w:rsid w:val="00135A27"/>
    <w:rsid w:val="001404C6"/>
    <w:rsid w:val="00197922"/>
    <w:rsid w:val="001B0144"/>
    <w:rsid w:val="001B1DD8"/>
    <w:rsid w:val="001B283D"/>
    <w:rsid w:val="001F7396"/>
    <w:rsid w:val="00200B90"/>
    <w:rsid w:val="0020728A"/>
    <w:rsid w:val="00236DC2"/>
    <w:rsid w:val="00247439"/>
    <w:rsid w:val="00262948"/>
    <w:rsid w:val="00264347"/>
    <w:rsid w:val="00273FE7"/>
    <w:rsid w:val="002C2D02"/>
    <w:rsid w:val="002F72A3"/>
    <w:rsid w:val="003149E7"/>
    <w:rsid w:val="00372767"/>
    <w:rsid w:val="003B6785"/>
    <w:rsid w:val="00455639"/>
    <w:rsid w:val="00471D14"/>
    <w:rsid w:val="00473D07"/>
    <w:rsid w:val="004D03E5"/>
    <w:rsid w:val="004D5D6C"/>
    <w:rsid w:val="004D7718"/>
    <w:rsid w:val="004F6128"/>
    <w:rsid w:val="00503809"/>
    <w:rsid w:val="0052247A"/>
    <w:rsid w:val="00605926"/>
    <w:rsid w:val="00606BB1"/>
    <w:rsid w:val="00615ABF"/>
    <w:rsid w:val="006A2DD8"/>
    <w:rsid w:val="006D23CC"/>
    <w:rsid w:val="00713240"/>
    <w:rsid w:val="00764BA3"/>
    <w:rsid w:val="007A0586"/>
    <w:rsid w:val="007B2F6D"/>
    <w:rsid w:val="007C31D9"/>
    <w:rsid w:val="007D56D6"/>
    <w:rsid w:val="007F0459"/>
    <w:rsid w:val="007F73A1"/>
    <w:rsid w:val="008026AE"/>
    <w:rsid w:val="008167C6"/>
    <w:rsid w:val="008468DA"/>
    <w:rsid w:val="0086649E"/>
    <w:rsid w:val="00877D0F"/>
    <w:rsid w:val="00883FF9"/>
    <w:rsid w:val="008C74E9"/>
    <w:rsid w:val="008D03B5"/>
    <w:rsid w:val="009220E7"/>
    <w:rsid w:val="00983997"/>
    <w:rsid w:val="009A0672"/>
    <w:rsid w:val="00A27776"/>
    <w:rsid w:val="00A64187"/>
    <w:rsid w:val="00A65E1D"/>
    <w:rsid w:val="00A83C4B"/>
    <w:rsid w:val="00A95F60"/>
    <w:rsid w:val="00AC261F"/>
    <w:rsid w:val="00AD3375"/>
    <w:rsid w:val="00AD6BDA"/>
    <w:rsid w:val="00AF3F41"/>
    <w:rsid w:val="00B20D29"/>
    <w:rsid w:val="00B22978"/>
    <w:rsid w:val="00B34F4D"/>
    <w:rsid w:val="00B425C9"/>
    <w:rsid w:val="00BB7D58"/>
    <w:rsid w:val="00BC37FA"/>
    <w:rsid w:val="00BC7B33"/>
    <w:rsid w:val="00BD6546"/>
    <w:rsid w:val="00BD7902"/>
    <w:rsid w:val="00C1380A"/>
    <w:rsid w:val="00C16BF2"/>
    <w:rsid w:val="00C35EBC"/>
    <w:rsid w:val="00C474BC"/>
    <w:rsid w:val="00C51518"/>
    <w:rsid w:val="00C77612"/>
    <w:rsid w:val="00C90FCD"/>
    <w:rsid w:val="00C92781"/>
    <w:rsid w:val="00C9528E"/>
    <w:rsid w:val="00CB0026"/>
    <w:rsid w:val="00CC2D0D"/>
    <w:rsid w:val="00CC50E2"/>
    <w:rsid w:val="00CF0B07"/>
    <w:rsid w:val="00CF47CD"/>
    <w:rsid w:val="00D41A38"/>
    <w:rsid w:val="00D61B3A"/>
    <w:rsid w:val="00D804D8"/>
    <w:rsid w:val="00D86748"/>
    <w:rsid w:val="00D92D7A"/>
    <w:rsid w:val="00DC4C27"/>
    <w:rsid w:val="00DD3BF3"/>
    <w:rsid w:val="00DE1D31"/>
    <w:rsid w:val="00E0539A"/>
    <w:rsid w:val="00E11A51"/>
    <w:rsid w:val="00E15DFA"/>
    <w:rsid w:val="00E2446B"/>
    <w:rsid w:val="00E37040"/>
    <w:rsid w:val="00ED011D"/>
    <w:rsid w:val="00EF07E3"/>
    <w:rsid w:val="00EF4F07"/>
    <w:rsid w:val="00F328F4"/>
    <w:rsid w:val="00F46490"/>
    <w:rsid w:val="00F97666"/>
    <w:rsid w:val="00FA06CC"/>
    <w:rsid w:val="00FE639A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EC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1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1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6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434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1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1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6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4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ge1@mgh.harvard.edu" TargetMode="External"/><Relationship Id="rId6" Type="http://schemas.openxmlformats.org/officeDocument/2006/relationships/hyperlink" Target="mailto:jsmoller@hms.harvar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666</Words>
  <Characters>3797</Characters>
  <Application>Microsoft Macintosh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Ge</dc:creator>
  <cp:keywords/>
  <dc:description/>
  <cp:lastModifiedBy>Tian Ge</cp:lastModifiedBy>
  <cp:revision>113</cp:revision>
  <dcterms:created xsi:type="dcterms:W3CDTF">2017-01-21T22:51:00Z</dcterms:created>
  <dcterms:modified xsi:type="dcterms:W3CDTF">2017-02-01T22:03:00Z</dcterms:modified>
</cp:coreProperties>
</file>