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B2" w:rsidRDefault="008E01B2" w:rsidP="008E01B2">
      <w:r w:rsidRPr="005B2CB6">
        <w:rPr>
          <w:b/>
        </w:rPr>
        <w:t xml:space="preserve">Table </w:t>
      </w:r>
      <w:r w:rsidR="001067E4">
        <w:rPr>
          <w:b/>
        </w:rPr>
        <w:t>S</w:t>
      </w:r>
      <w:bookmarkStart w:id="0" w:name="_GoBack"/>
      <w:bookmarkEnd w:id="0"/>
      <w:r w:rsidR="00584B50">
        <w:rPr>
          <w:b/>
        </w:rPr>
        <w:t>5</w:t>
      </w:r>
      <w:r w:rsidRPr="005B2CB6">
        <w:rPr>
          <w:b/>
        </w:rPr>
        <w:t>.</w:t>
      </w:r>
      <w:r>
        <w:t xml:space="preserve"> Embryonic survival of </w:t>
      </w:r>
      <w:r w:rsidRPr="00EC6890">
        <w:rPr>
          <w:i/>
        </w:rPr>
        <w:t>F2rl1</w:t>
      </w:r>
      <w:r w:rsidRPr="00EC6890">
        <w:rPr>
          <w:i/>
          <w:vertAlign w:val="superscript"/>
        </w:rPr>
        <w:t>-/-</w:t>
      </w:r>
      <w:r w:rsidRPr="00EC6890">
        <w:rPr>
          <w:i/>
        </w:rPr>
        <w:t>;</w:t>
      </w:r>
      <w:r w:rsidR="00381DB5" w:rsidRPr="00EC6890">
        <w:rPr>
          <w:i/>
        </w:rPr>
        <w:t xml:space="preserve"> </w:t>
      </w:r>
      <w:r w:rsidRPr="00EC6890">
        <w:rPr>
          <w:i/>
        </w:rPr>
        <w:t>St14</w:t>
      </w:r>
      <w:r w:rsidRPr="00EC6890">
        <w:rPr>
          <w:i/>
          <w:vertAlign w:val="superscript"/>
        </w:rPr>
        <w:t>-/-</w:t>
      </w:r>
      <w:r>
        <w:t xml:space="preserve"> mice</w:t>
      </w:r>
      <w:r w:rsidR="00584B50">
        <w:t>.</w:t>
      </w:r>
    </w:p>
    <w:p w:rsidR="008E01B2" w:rsidRDefault="008E01B2" w:rsidP="008E01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350"/>
        <w:gridCol w:w="1260"/>
        <w:gridCol w:w="3240"/>
        <w:gridCol w:w="1710"/>
      </w:tblGrid>
      <w:tr w:rsidR="003620C8" w:rsidRPr="00F65D18" w:rsidTr="003620C8">
        <w:tc>
          <w:tcPr>
            <w:tcW w:w="918" w:type="dxa"/>
            <w:vMerge w:val="restart"/>
            <w:tcBorders>
              <w:top w:val="single" w:sz="12" w:space="0" w:color="4F6228" w:themeColor="accent3" w:themeShade="80"/>
            </w:tcBorders>
          </w:tcPr>
          <w:p w:rsidR="008E01B2" w:rsidRPr="00F65D18" w:rsidRDefault="008E01B2" w:rsidP="00266426">
            <w:pPr>
              <w:jc w:val="center"/>
              <w:rPr>
                <w:b/>
              </w:rPr>
            </w:pPr>
            <w:r w:rsidRPr="00F65D18">
              <w:rPr>
                <w:b/>
              </w:rPr>
              <w:t>Age</w:t>
            </w:r>
          </w:p>
        </w:tc>
        <w:tc>
          <w:tcPr>
            <w:tcW w:w="3960" w:type="dxa"/>
            <w:gridSpan w:val="3"/>
            <w:tcBorders>
              <w:top w:val="single" w:sz="12" w:space="0" w:color="4F6228" w:themeColor="accent3" w:themeShade="80"/>
              <w:bottom w:val="single" w:sz="8" w:space="0" w:color="4F6228" w:themeColor="accent3" w:themeShade="80"/>
            </w:tcBorders>
            <w:shd w:val="clear" w:color="auto" w:fill="auto"/>
          </w:tcPr>
          <w:p w:rsidR="008E01B2" w:rsidRDefault="003620C8" w:rsidP="003620C8">
            <w:pPr>
              <w:jc w:val="center"/>
              <w:rPr>
                <w:b/>
              </w:rPr>
            </w:pPr>
            <w:r>
              <w:rPr>
                <w:b/>
              </w:rPr>
              <w:t xml:space="preserve">Survival of </w:t>
            </w:r>
            <w:r w:rsidR="008E01B2" w:rsidRPr="00EC6890">
              <w:rPr>
                <w:b/>
                <w:i/>
              </w:rPr>
              <w:t>F2rl1</w:t>
            </w:r>
            <w:r w:rsidR="008E01B2" w:rsidRPr="00EC6890">
              <w:rPr>
                <w:b/>
                <w:i/>
                <w:vertAlign w:val="superscript"/>
              </w:rPr>
              <w:t>-/-</w:t>
            </w:r>
            <w:r>
              <w:rPr>
                <w:b/>
                <w:vertAlign w:val="superscript"/>
              </w:rPr>
              <w:t xml:space="preserve"> </w:t>
            </w:r>
            <w:r w:rsidR="008E01B2">
              <w:rPr>
                <w:b/>
              </w:rPr>
              <w:t>embryos</w:t>
            </w:r>
          </w:p>
          <w:p w:rsidR="003620C8" w:rsidRPr="00F65D18" w:rsidRDefault="003620C8" w:rsidP="003620C8">
            <w:pPr>
              <w:jc w:val="center"/>
              <w:rPr>
                <w:b/>
              </w:rPr>
            </w:pPr>
            <w:r>
              <w:rPr>
                <w:b/>
              </w:rPr>
              <w:t>Observed (Expected</w:t>
            </w:r>
            <w:r w:rsidRPr="003620C8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240" w:type="dxa"/>
            <w:tcBorders>
              <w:top w:val="single" w:sz="12" w:space="0" w:color="4F6228" w:themeColor="accent3" w:themeShade="80"/>
            </w:tcBorders>
          </w:tcPr>
          <w:p w:rsidR="008E01B2" w:rsidRPr="00F65D18" w:rsidRDefault="003620C8" w:rsidP="003620C8">
            <w:pPr>
              <w:jc w:val="center"/>
              <w:rPr>
                <w:b/>
              </w:rPr>
            </w:pPr>
            <w:r>
              <w:rPr>
                <w:b/>
              </w:rPr>
              <w:t>Relative s</w:t>
            </w:r>
            <w:r w:rsidR="008E01B2">
              <w:rPr>
                <w:b/>
              </w:rPr>
              <w:t xml:space="preserve">urvival of </w:t>
            </w:r>
            <w:r w:rsidR="008E01B2" w:rsidRPr="00EC6890">
              <w:rPr>
                <w:b/>
                <w:i/>
              </w:rPr>
              <w:t>F2rl1</w:t>
            </w:r>
            <w:r w:rsidR="008E01B2" w:rsidRPr="00EC6890">
              <w:rPr>
                <w:b/>
                <w:i/>
                <w:vertAlign w:val="superscript"/>
              </w:rPr>
              <w:t>-/-</w:t>
            </w:r>
            <w:r w:rsidR="008E01B2">
              <w:rPr>
                <w:b/>
              </w:rPr>
              <w:t xml:space="preserve">; </w:t>
            </w:r>
            <w:r w:rsidR="008E01B2" w:rsidRPr="00EC6890">
              <w:rPr>
                <w:b/>
                <w:i/>
              </w:rPr>
              <w:t>St14</w:t>
            </w:r>
            <w:r w:rsidR="008E01B2" w:rsidRPr="00EC6890">
              <w:rPr>
                <w:b/>
                <w:i/>
                <w:vertAlign w:val="superscript"/>
              </w:rPr>
              <w:t>-/-</w:t>
            </w:r>
            <w:r w:rsidR="008E01B2">
              <w:rPr>
                <w:b/>
              </w:rPr>
              <w:t xml:space="preserve"> embryos</w:t>
            </w:r>
          </w:p>
        </w:tc>
        <w:tc>
          <w:tcPr>
            <w:tcW w:w="1710" w:type="dxa"/>
            <w:tcBorders>
              <w:top w:val="single" w:sz="12" w:space="0" w:color="4F6228" w:themeColor="accent3" w:themeShade="80"/>
            </w:tcBorders>
          </w:tcPr>
          <w:p w:rsidR="008E01B2" w:rsidRDefault="008E01B2" w:rsidP="00266426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  <w:p w:rsidR="008E01B2" w:rsidRPr="00F65D18" w:rsidRDefault="008E01B2" w:rsidP="00266426">
            <w:pPr>
              <w:jc w:val="center"/>
              <w:rPr>
                <w:b/>
              </w:rPr>
            </w:pPr>
            <w:r>
              <w:rPr>
                <w:b/>
              </w:rPr>
              <w:t xml:space="preserve"> (chi-square)</w:t>
            </w:r>
            <w:r w:rsidRPr="00DC1C73">
              <w:rPr>
                <w:b/>
                <w:vertAlign w:val="superscript"/>
              </w:rPr>
              <w:t>2</w:t>
            </w:r>
          </w:p>
        </w:tc>
      </w:tr>
      <w:tr w:rsidR="003620C8" w:rsidRPr="00F65D18" w:rsidTr="003620C8">
        <w:tc>
          <w:tcPr>
            <w:tcW w:w="918" w:type="dxa"/>
            <w:vMerge/>
            <w:tcBorders>
              <w:bottom w:val="single" w:sz="12" w:space="0" w:color="4F6228" w:themeColor="accent3" w:themeShade="80"/>
            </w:tcBorders>
          </w:tcPr>
          <w:p w:rsidR="008E01B2" w:rsidRPr="00F65D18" w:rsidRDefault="008E01B2" w:rsidP="00266426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8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Pr="00EC6890" w:rsidRDefault="003620C8" w:rsidP="00266426">
            <w:pPr>
              <w:jc w:val="center"/>
              <w:rPr>
                <w:b/>
                <w:i/>
              </w:rPr>
            </w:pPr>
            <w:r w:rsidRPr="00EC6890">
              <w:rPr>
                <w:b/>
                <w:i/>
              </w:rPr>
              <w:t>St14</w:t>
            </w:r>
            <w:r w:rsidRPr="00EC6890">
              <w:rPr>
                <w:b/>
                <w:i/>
                <w:vertAlign w:val="superscript"/>
              </w:rPr>
              <w:t>+/+</w:t>
            </w:r>
          </w:p>
        </w:tc>
        <w:tc>
          <w:tcPr>
            <w:tcW w:w="1350" w:type="dxa"/>
            <w:tcBorders>
              <w:top w:val="single" w:sz="8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Pr="00EC6890" w:rsidRDefault="003620C8" w:rsidP="00266426">
            <w:pPr>
              <w:jc w:val="center"/>
              <w:rPr>
                <w:b/>
                <w:i/>
              </w:rPr>
            </w:pPr>
            <w:r w:rsidRPr="00EC6890">
              <w:rPr>
                <w:b/>
                <w:i/>
              </w:rPr>
              <w:t>St14</w:t>
            </w:r>
            <w:r w:rsidRPr="00EC6890">
              <w:rPr>
                <w:b/>
                <w:i/>
                <w:vertAlign w:val="superscript"/>
              </w:rPr>
              <w:t>+/-</w:t>
            </w:r>
            <w:r w:rsidR="008E01B2" w:rsidRPr="00EC6890">
              <w:rPr>
                <w:b/>
                <w:i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Pr="00EC6890" w:rsidRDefault="003620C8" w:rsidP="00266426">
            <w:pPr>
              <w:jc w:val="center"/>
              <w:rPr>
                <w:b/>
                <w:i/>
              </w:rPr>
            </w:pPr>
            <w:r w:rsidRPr="00EC6890">
              <w:rPr>
                <w:b/>
                <w:i/>
              </w:rPr>
              <w:t>St14</w:t>
            </w:r>
            <w:r w:rsidRPr="00EC6890">
              <w:rPr>
                <w:b/>
                <w:i/>
                <w:vertAlign w:val="superscript"/>
              </w:rPr>
              <w:t>-/-</w:t>
            </w:r>
          </w:p>
        </w:tc>
        <w:tc>
          <w:tcPr>
            <w:tcW w:w="3240" w:type="dxa"/>
            <w:tcBorders>
              <w:bottom w:val="single" w:sz="12" w:space="0" w:color="4F6228" w:themeColor="accent3" w:themeShade="80"/>
            </w:tcBorders>
          </w:tcPr>
          <w:p w:rsidR="008E01B2" w:rsidRPr="00F65D18" w:rsidRDefault="00D871B6" w:rsidP="002664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E01B2">
              <w:rPr>
                <w:b/>
              </w:rPr>
              <w:t>% of expected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tcBorders>
              <w:bottom w:val="single" w:sz="12" w:space="0" w:color="4F6228" w:themeColor="accent3" w:themeShade="80"/>
            </w:tcBorders>
          </w:tcPr>
          <w:p w:rsidR="008E01B2" w:rsidRPr="00F65D18" w:rsidRDefault="008E01B2" w:rsidP="00266426">
            <w:pPr>
              <w:jc w:val="center"/>
              <w:rPr>
                <w:b/>
              </w:rPr>
            </w:pPr>
          </w:p>
        </w:tc>
      </w:tr>
      <w:tr w:rsidR="008E01B2" w:rsidTr="003620C8">
        <w:trPr>
          <w:trHeight w:val="2383"/>
        </w:trPr>
        <w:tc>
          <w:tcPr>
            <w:tcW w:w="918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E10.5</w:t>
            </w:r>
          </w:p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E11.5</w:t>
            </w:r>
          </w:p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E12.5</w:t>
            </w:r>
          </w:p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E13.5</w:t>
            </w:r>
          </w:p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E14.5</w:t>
            </w:r>
          </w:p>
          <w:p w:rsidR="008E01B2" w:rsidRPr="00845EC0" w:rsidRDefault="008E01B2" w:rsidP="00266426">
            <w:pPr>
              <w:spacing w:before="120"/>
              <w:jc w:val="center"/>
              <w:rPr>
                <w:b/>
              </w:rPr>
            </w:pPr>
            <w:r w:rsidRPr="00845EC0">
              <w:rPr>
                <w:b/>
              </w:rPr>
              <w:t>E15.5</w:t>
            </w:r>
          </w:p>
        </w:tc>
        <w:tc>
          <w:tcPr>
            <w:tcW w:w="1350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Default="007650F7" w:rsidP="00266426">
            <w:pPr>
              <w:spacing w:before="120"/>
              <w:jc w:val="center"/>
            </w:pPr>
            <w:r>
              <w:t>4</w:t>
            </w:r>
            <w:r w:rsidR="00D871B6">
              <w:t xml:space="preserve"> (</w:t>
            </w:r>
            <w:r>
              <w:t>5.25</w:t>
            </w:r>
            <w:r w:rsidR="00D871B6">
              <w:t>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5 (5.25)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10 (11.25)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23 (18.5)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7</w:t>
            </w:r>
            <w:r w:rsidR="001A34F1">
              <w:t xml:space="preserve"> (7.25)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9</w:t>
            </w:r>
            <w:r w:rsidR="001A34F1">
              <w:t xml:space="preserve"> (5.5)</w:t>
            </w:r>
          </w:p>
        </w:tc>
        <w:tc>
          <w:tcPr>
            <w:tcW w:w="1350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Default="007650F7" w:rsidP="00266426">
            <w:pPr>
              <w:spacing w:before="120"/>
              <w:jc w:val="center"/>
            </w:pPr>
            <w:r>
              <w:t>12</w:t>
            </w:r>
            <w:r w:rsidR="00D871B6">
              <w:t xml:space="preserve"> (</w:t>
            </w:r>
            <w:r>
              <w:t>10.5</w:t>
            </w:r>
            <w:r w:rsidR="00D871B6">
              <w:t>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10 (10.5)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24 (22.5)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40 (37)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21</w:t>
            </w:r>
            <w:r w:rsidR="001A34F1">
              <w:t xml:space="preserve"> (14.5)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13</w:t>
            </w:r>
            <w:r w:rsidR="001A34F1">
              <w:t xml:space="preserve"> (11)</w:t>
            </w:r>
          </w:p>
        </w:tc>
        <w:tc>
          <w:tcPr>
            <w:tcW w:w="1260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Default="007650F7" w:rsidP="00266426">
            <w:pPr>
              <w:spacing w:before="120"/>
              <w:jc w:val="center"/>
            </w:pPr>
            <w:r>
              <w:t>5 (5.25</w:t>
            </w:r>
            <w:r w:rsidR="00D871B6">
              <w:t>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6 (5.25)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11 (11.25)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11 (18.5)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1</w:t>
            </w:r>
            <w:r w:rsidR="001A34F1">
              <w:t xml:space="preserve"> (7.25)</w:t>
            </w:r>
          </w:p>
          <w:p w:rsidR="00D871B6" w:rsidRDefault="00D871B6" w:rsidP="00266426">
            <w:pPr>
              <w:spacing w:before="120"/>
              <w:jc w:val="center"/>
            </w:pPr>
            <w:r>
              <w:t>0</w:t>
            </w:r>
            <w:r w:rsidR="001A34F1">
              <w:t xml:space="preserve"> (5.5)</w:t>
            </w:r>
          </w:p>
        </w:tc>
        <w:tc>
          <w:tcPr>
            <w:tcW w:w="3240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Default="007650F7" w:rsidP="00266426">
            <w:pPr>
              <w:spacing w:before="120"/>
              <w:jc w:val="center"/>
            </w:pPr>
            <w:r>
              <w:t>95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114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98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59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14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01B2" w:rsidRDefault="008E01B2" w:rsidP="00266426">
            <w:pPr>
              <w:spacing w:before="120"/>
              <w:jc w:val="center"/>
            </w:pPr>
            <w:r>
              <w:t>0.</w:t>
            </w:r>
            <w:r w:rsidR="007650F7">
              <w:t>90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0.</w:t>
            </w:r>
            <w:r w:rsidR="00016F12">
              <w:t>71</w:t>
            </w:r>
          </w:p>
          <w:p w:rsidR="008E01B2" w:rsidRDefault="00016F12" w:rsidP="00266426">
            <w:pPr>
              <w:spacing w:before="120"/>
              <w:jc w:val="center"/>
            </w:pPr>
            <w:r>
              <w:t>0.93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0.</w:t>
            </w:r>
            <w:r w:rsidR="00016F12">
              <w:t>04</w:t>
            </w:r>
          </w:p>
          <w:p w:rsidR="008E01B2" w:rsidRDefault="008E01B2" w:rsidP="00266426">
            <w:pPr>
              <w:spacing w:before="120"/>
              <w:jc w:val="center"/>
            </w:pPr>
            <w:r>
              <w:t>0.0</w:t>
            </w:r>
            <w:r w:rsidR="00016F12">
              <w:t>07</w:t>
            </w:r>
          </w:p>
          <w:p w:rsidR="008E01B2" w:rsidRDefault="008E01B2" w:rsidP="00016F12">
            <w:pPr>
              <w:spacing w:before="120"/>
              <w:jc w:val="center"/>
            </w:pPr>
            <w:r>
              <w:t>0.0</w:t>
            </w:r>
            <w:r w:rsidR="00016F12">
              <w:t>07</w:t>
            </w:r>
          </w:p>
        </w:tc>
      </w:tr>
    </w:tbl>
    <w:p w:rsidR="008E01B2" w:rsidRPr="00381DB5" w:rsidRDefault="008E01B2" w:rsidP="008E01B2">
      <w:pPr>
        <w:spacing w:before="240"/>
      </w:pPr>
      <w:r w:rsidRPr="00845EC0">
        <w:rPr>
          <w:vertAlign w:val="superscript"/>
        </w:rPr>
        <w:t xml:space="preserve">1 </w:t>
      </w:r>
      <w:r>
        <w:t>Mendelian distribution based on parental genotypes</w:t>
      </w:r>
      <w:r w:rsidR="00381DB5">
        <w:t xml:space="preserve"> (</w:t>
      </w:r>
      <w:r w:rsidR="00381DB5" w:rsidRPr="00EC6890">
        <w:rPr>
          <w:i/>
        </w:rPr>
        <w:t>F2rl1</w:t>
      </w:r>
      <w:r w:rsidR="00381DB5" w:rsidRPr="00EC6890">
        <w:rPr>
          <w:i/>
          <w:vertAlign w:val="superscript"/>
        </w:rPr>
        <w:t>+/-</w:t>
      </w:r>
      <w:proofErr w:type="gramStart"/>
      <w:r w:rsidR="00381DB5" w:rsidRPr="00EC6890">
        <w:rPr>
          <w:i/>
        </w:rPr>
        <w:t>;St14</w:t>
      </w:r>
      <w:proofErr w:type="gramEnd"/>
      <w:r w:rsidR="00381DB5" w:rsidRPr="00EC6890">
        <w:rPr>
          <w:i/>
          <w:vertAlign w:val="superscript"/>
        </w:rPr>
        <w:t>+/-</w:t>
      </w:r>
      <w:r w:rsidR="00381DB5">
        <w:rPr>
          <w:vertAlign w:val="superscript"/>
        </w:rPr>
        <w:t xml:space="preserve"> </w:t>
      </w:r>
      <w:r w:rsidR="00381DB5">
        <w:t xml:space="preserve">x </w:t>
      </w:r>
      <w:r w:rsidR="00381DB5" w:rsidRPr="00EC6890">
        <w:rPr>
          <w:i/>
        </w:rPr>
        <w:t>F2rl1</w:t>
      </w:r>
      <w:r w:rsidR="00381DB5" w:rsidRPr="00EC6890">
        <w:rPr>
          <w:i/>
          <w:vertAlign w:val="superscript"/>
        </w:rPr>
        <w:t>+/-</w:t>
      </w:r>
      <w:r w:rsidR="00381DB5" w:rsidRPr="00EC6890">
        <w:rPr>
          <w:i/>
        </w:rPr>
        <w:t>;St14</w:t>
      </w:r>
      <w:r w:rsidR="00381DB5" w:rsidRPr="00EC6890">
        <w:rPr>
          <w:i/>
          <w:vertAlign w:val="superscript"/>
        </w:rPr>
        <w:t>+/-</w:t>
      </w:r>
      <w:r w:rsidR="00381DB5">
        <w:t xml:space="preserve"> and </w:t>
      </w:r>
      <w:r w:rsidR="00381DB5" w:rsidRPr="00EC6890">
        <w:rPr>
          <w:i/>
        </w:rPr>
        <w:t>F2rl1</w:t>
      </w:r>
      <w:r w:rsidR="00381DB5" w:rsidRPr="00EC6890">
        <w:rPr>
          <w:i/>
          <w:vertAlign w:val="superscript"/>
        </w:rPr>
        <w:t>-/-</w:t>
      </w:r>
      <w:r w:rsidR="00381DB5" w:rsidRPr="00EC6890">
        <w:rPr>
          <w:i/>
        </w:rPr>
        <w:t>;St14</w:t>
      </w:r>
      <w:r w:rsidR="00381DB5" w:rsidRPr="00EC6890">
        <w:rPr>
          <w:i/>
          <w:vertAlign w:val="superscript"/>
        </w:rPr>
        <w:t>+/-</w:t>
      </w:r>
      <w:r w:rsidR="00381DB5">
        <w:rPr>
          <w:vertAlign w:val="superscript"/>
        </w:rPr>
        <w:t xml:space="preserve"> </w:t>
      </w:r>
      <w:r w:rsidR="00381DB5">
        <w:t xml:space="preserve">x </w:t>
      </w:r>
      <w:r w:rsidR="00381DB5" w:rsidRPr="00EC6890">
        <w:rPr>
          <w:i/>
        </w:rPr>
        <w:t>F2rl1</w:t>
      </w:r>
      <w:r w:rsidR="00381DB5" w:rsidRPr="00EC6890">
        <w:rPr>
          <w:i/>
          <w:vertAlign w:val="superscript"/>
        </w:rPr>
        <w:t>+/-</w:t>
      </w:r>
      <w:r w:rsidR="00381DB5" w:rsidRPr="00EC6890">
        <w:rPr>
          <w:i/>
        </w:rPr>
        <w:t>;St14</w:t>
      </w:r>
      <w:r w:rsidR="00381DB5" w:rsidRPr="00EC6890">
        <w:rPr>
          <w:i/>
          <w:vertAlign w:val="superscript"/>
        </w:rPr>
        <w:t>+/-</w:t>
      </w:r>
      <w:r w:rsidR="00381DB5">
        <w:t xml:space="preserve"> breeding pairs)</w:t>
      </w:r>
    </w:p>
    <w:p w:rsidR="008E01B2" w:rsidRDefault="008E01B2" w:rsidP="008E01B2">
      <w:pPr>
        <w:spacing w:before="240"/>
      </w:pPr>
      <w:r w:rsidRPr="00DC1C73">
        <w:rPr>
          <w:vertAlign w:val="superscript"/>
        </w:rPr>
        <w:t xml:space="preserve">2 </w:t>
      </w:r>
      <w:r>
        <w:t xml:space="preserve">Observed vs. expected </w:t>
      </w:r>
      <w:r w:rsidR="00D871B6">
        <w:t>distribution</w:t>
      </w:r>
      <w:r>
        <w:t xml:space="preserve"> of </w:t>
      </w:r>
      <w:r w:rsidR="00D871B6">
        <w:t>matriptase-deficient (</w:t>
      </w:r>
      <w:r w:rsidRPr="00EC6890">
        <w:rPr>
          <w:i/>
        </w:rPr>
        <w:t>St14</w:t>
      </w:r>
      <w:r w:rsidRPr="00EC6890">
        <w:rPr>
          <w:i/>
          <w:vertAlign w:val="superscript"/>
        </w:rPr>
        <w:t>-/-</w:t>
      </w:r>
      <w:r w:rsidR="00D871B6">
        <w:t>) and matriptase-expressing (</w:t>
      </w:r>
      <w:r w:rsidR="00D871B6" w:rsidRPr="00EC6890">
        <w:rPr>
          <w:i/>
        </w:rPr>
        <w:t>St14</w:t>
      </w:r>
      <w:r w:rsidR="00D871B6" w:rsidRPr="00EC6890">
        <w:rPr>
          <w:i/>
          <w:vertAlign w:val="superscript"/>
        </w:rPr>
        <w:t>+/+</w:t>
      </w:r>
      <w:r w:rsidR="00D871B6">
        <w:t xml:space="preserve"> and </w:t>
      </w:r>
      <w:r w:rsidR="00D871B6" w:rsidRPr="00EC6890">
        <w:rPr>
          <w:i/>
        </w:rPr>
        <w:t>St14</w:t>
      </w:r>
      <w:r w:rsidR="00D871B6" w:rsidRPr="00EC6890">
        <w:rPr>
          <w:i/>
          <w:vertAlign w:val="superscript"/>
        </w:rPr>
        <w:t>+/-</w:t>
      </w:r>
      <w:r w:rsidR="00D871B6">
        <w:t xml:space="preserve">) </w:t>
      </w:r>
      <w:r>
        <w:t xml:space="preserve">mice among </w:t>
      </w:r>
      <w:r w:rsidRPr="00EC6890">
        <w:rPr>
          <w:i/>
        </w:rPr>
        <w:t>F2rl1</w:t>
      </w:r>
      <w:r>
        <w:t>-deficient embryos</w:t>
      </w:r>
    </w:p>
    <w:p w:rsidR="00007054" w:rsidRDefault="00007054"/>
    <w:sectPr w:rsidR="00007054" w:rsidSect="001A34F1">
      <w:pgSz w:w="15840" w:h="12240" w:orient="landscape"/>
      <w:pgMar w:top="1440" w:right="45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B2"/>
    <w:rsid w:val="00007054"/>
    <w:rsid w:val="00016F12"/>
    <w:rsid w:val="001067E4"/>
    <w:rsid w:val="001A34F1"/>
    <w:rsid w:val="003620C8"/>
    <w:rsid w:val="00381DB5"/>
    <w:rsid w:val="00584B50"/>
    <w:rsid w:val="007650F7"/>
    <w:rsid w:val="00854F9B"/>
    <w:rsid w:val="008E01B2"/>
    <w:rsid w:val="00D871B6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Roman (NIH/NIDCR) [E]</dc:creator>
  <cp:lastModifiedBy>Szabo, Roman (NIH/NIDCR) [E]</cp:lastModifiedBy>
  <cp:revision>4</cp:revision>
  <dcterms:created xsi:type="dcterms:W3CDTF">2014-04-29T14:28:00Z</dcterms:created>
  <dcterms:modified xsi:type="dcterms:W3CDTF">2014-06-16T12:43:00Z</dcterms:modified>
</cp:coreProperties>
</file>