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77" w:rsidRPr="007D76BB" w:rsidRDefault="005E1E77" w:rsidP="005E1E77">
      <w:pPr>
        <w:spacing w:line="480" w:lineRule="auto"/>
        <w:rPr>
          <w:b/>
        </w:rPr>
      </w:pPr>
      <w:r>
        <w:rPr>
          <w:b/>
        </w:rPr>
        <w:t>Text S5:</w:t>
      </w:r>
      <w:r w:rsidRPr="007D76BB">
        <w:rPr>
          <w:b/>
        </w:rPr>
        <w:t xml:space="preserve"> Asymmetry produced by an imprinted genetic variant.</w:t>
      </w:r>
    </w:p>
    <w:p w:rsidR="005E1E77" w:rsidRDefault="005E1E77" w:rsidP="005E1E77">
      <w:pPr>
        <w:spacing w:line="480" w:lineRule="auto"/>
      </w:pPr>
    </w:p>
    <w:p w:rsidR="005E1E77" w:rsidRPr="00020937" w:rsidRDefault="005E1E77" w:rsidP="005E1E77">
      <w:pPr>
        <w:spacing w:line="480" w:lineRule="auto"/>
      </w:pPr>
      <w:r>
        <w:t xml:space="preserve">We make the simplifying assumption that only the maternally-inherited copy is expressed, and denote the relative risk for a maternally inherited copy as </w:t>
      </w:r>
      <w:r w:rsidRPr="00CC67E1">
        <w:rPr>
          <w:i/>
        </w:rPr>
        <w:t>I</w:t>
      </w:r>
      <w:r>
        <w:t xml:space="preserve">. Again we consider the grandmother’s relative risk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MM|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FM|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sub>
            </m:sSub>
          </m:den>
        </m:f>
      </m:oMath>
      <w:r>
        <w:t xml:space="preserve"> e</w:t>
      </w:r>
      <w:proofErr w:type="spellStart"/>
      <w:r>
        <w:t>xcept</w:t>
      </w:r>
      <w:proofErr w:type="spellEnd"/>
      <w:r>
        <w:t xml:space="preserve"> that now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G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0G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+1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0G</m:t>
                    </m:r>
                  </m:sub>
                </m:sSub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p>
        </m:sSup>
      </m:oMath>
      <w:r>
        <w:t xml:space="preserve"> for the parent-of-origin model.  As with maternal effects, one calculates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MM|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</m:oMath>
      <w:r>
        <w:t xml:space="preserve">, the genotype distribution among maternal grandmothers of an affected child, by post-multiplying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</m:oMath>
      <w:r>
        <w:t xml:space="preserve">, the genotype distribution among mothers of an affected child, by the matrix 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, thus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MM|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.  For </w:t>
      </w:r>
      <m:oMath>
        <m:r>
          <w:rPr>
            <w:rFonts w:ascii="Cambria Math" w:hAnsi="Cambria Math"/>
          </w:rPr>
          <m:t>Q=1-p+Ip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</m:oMath>
    </w:p>
    <w:p w:rsidR="005E1E77" w:rsidRDefault="005E1E77" w:rsidP="005E1E77">
      <w:pPr>
        <w:spacing w:line="480" w:lineRule="auto"/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(1-</m:t>
                </m:r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  <m:r>
                  <w:rPr>
                    <w:rFonts w:ascii="Cambria Math" w:hAnsi="Cambria Math"/>
                  </w:rPr>
                  <m:t>p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+1)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,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I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sup>
            </m:sSup>
          </m:e>
        </m:d>
      </m:oMath>
      <w:r>
        <w:t xml:space="preserve"> (Table S3).  A similar calculation,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FM|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V</m:t>
        </m:r>
      </m:oMath>
      <w:r>
        <w:t xml:space="preserve">, applies to paternal grandmothers; however,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F|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sub>
        </m:sSub>
      </m:oMath>
      <w:r>
        <w:t xml:space="preserve">is the HWE distribution,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HWE</m:t>
            </m:r>
          </m:sub>
        </m:sSub>
      </m:oMath>
      <w:r>
        <w:t xml:space="preserve"> (Table S3).  Under the assumption that </w:t>
      </w:r>
      <w:r w:rsidRPr="007745A9">
        <w:rPr>
          <w:i/>
        </w:rPr>
        <w:t>I</w:t>
      </w:r>
      <w:r>
        <w:t xml:space="preserve"> is the same in both sexes, the grandfather’s relative risk,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MF|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FF|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den>
        </m:f>
      </m:oMath>
      <w:r>
        <w:t xml:space="preserve"> will be the same as the grandmother’s relative risk.</w:t>
      </w:r>
    </w:p>
    <w:p w:rsidR="00C91F51" w:rsidRDefault="00C91F51">
      <w:bookmarkStart w:id="0" w:name="_GoBack"/>
      <w:bookmarkEnd w:id="0"/>
    </w:p>
    <w:sectPr w:rsidR="00C91F51" w:rsidSect="00C91F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77"/>
    <w:rsid w:val="005E1E77"/>
    <w:rsid w:val="00C91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2DFB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7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7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77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77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Macintosh Word</Application>
  <DocSecurity>0</DocSecurity>
  <Lines>7</Lines>
  <Paragraphs>2</Paragraphs>
  <ScaleCrop>false</ScaleCrop>
  <Company>NIEHS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 Weinberg</dc:creator>
  <cp:keywords/>
  <dc:description/>
  <cp:lastModifiedBy>Clarice Weinberg</cp:lastModifiedBy>
  <cp:revision>1</cp:revision>
  <dcterms:created xsi:type="dcterms:W3CDTF">2014-01-20T20:50:00Z</dcterms:created>
  <dcterms:modified xsi:type="dcterms:W3CDTF">2014-01-20T20:51:00Z</dcterms:modified>
</cp:coreProperties>
</file>