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563" w:rsidRPr="00F17563" w:rsidRDefault="00F17563" w:rsidP="00F17563">
      <w:pPr>
        <w:spacing w:line="240" w:lineRule="auto"/>
        <w:jc w:val="center"/>
        <w:rPr>
          <w:rFonts w:ascii="Times New Roman" w:hAnsi="Times New Roman" w:cs="Times New Roman"/>
          <w:b/>
          <w:sz w:val="28"/>
          <w:szCs w:val="24"/>
        </w:rPr>
      </w:pPr>
      <w:r w:rsidRPr="00F17563">
        <w:rPr>
          <w:rFonts w:ascii="Times New Roman" w:hAnsi="Times New Roman" w:cs="Times New Roman"/>
          <w:b/>
          <w:sz w:val="28"/>
          <w:szCs w:val="24"/>
        </w:rPr>
        <w:t>Supplementary information for</w:t>
      </w:r>
    </w:p>
    <w:p w:rsidR="00F17563" w:rsidRDefault="00F17563" w:rsidP="00F17563">
      <w:pPr>
        <w:spacing w:line="240" w:lineRule="auto"/>
        <w:jc w:val="center"/>
        <w:rPr>
          <w:rFonts w:ascii="Times New Roman" w:hAnsi="Times New Roman" w:cs="Times New Roman"/>
          <w:b/>
          <w:sz w:val="28"/>
          <w:szCs w:val="24"/>
        </w:rPr>
      </w:pPr>
    </w:p>
    <w:p w:rsidR="00F17563" w:rsidRPr="007903BC" w:rsidRDefault="00F17563" w:rsidP="00F17563">
      <w:pPr>
        <w:spacing w:line="240" w:lineRule="auto"/>
        <w:jc w:val="center"/>
        <w:rPr>
          <w:rFonts w:ascii="Times New Roman" w:hAnsi="Times New Roman" w:cs="Times New Roman"/>
          <w:b/>
          <w:sz w:val="28"/>
          <w:szCs w:val="24"/>
        </w:rPr>
      </w:pPr>
    </w:p>
    <w:p w:rsidR="00F17563" w:rsidRPr="00F323FD" w:rsidRDefault="00F17563" w:rsidP="00F17563">
      <w:pPr>
        <w:spacing w:line="240" w:lineRule="auto"/>
        <w:jc w:val="center"/>
        <w:rPr>
          <w:rFonts w:ascii="Times New Roman" w:hAnsi="Times New Roman" w:cs="Times New Roman"/>
          <w:b/>
          <w:sz w:val="28"/>
          <w:szCs w:val="28"/>
        </w:rPr>
      </w:pPr>
      <w:r w:rsidRPr="00F323FD">
        <w:rPr>
          <w:rFonts w:ascii="Times New Roman" w:hAnsi="Times New Roman" w:cs="Times New Roman"/>
          <w:b/>
          <w:sz w:val="28"/>
          <w:szCs w:val="28"/>
        </w:rPr>
        <w:t xml:space="preserve">Cell adhesion and fluid flow jointly initiate biofilm </w:t>
      </w:r>
      <w:r>
        <w:rPr>
          <w:rFonts w:ascii="Times New Roman" w:hAnsi="Times New Roman" w:cs="Times New Roman"/>
          <w:b/>
          <w:sz w:val="28"/>
          <w:szCs w:val="28"/>
        </w:rPr>
        <w:t>population</w:t>
      </w:r>
      <w:r w:rsidRPr="00F323FD">
        <w:rPr>
          <w:rFonts w:ascii="Times New Roman" w:hAnsi="Times New Roman" w:cs="Times New Roman"/>
          <w:b/>
          <w:sz w:val="28"/>
          <w:szCs w:val="28"/>
        </w:rPr>
        <w:t xml:space="preserve"> structure</w:t>
      </w:r>
    </w:p>
    <w:p w:rsidR="00F17563" w:rsidRDefault="00F17563" w:rsidP="00F17563">
      <w:pPr>
        <w:spacing w:line="240" w:lineRule="auto"/>
        <w:jc w:val="center"/>
        <w:rPr>
          <w:rFonts w:ascii="Times New Roman" w:hAnsi="Times New Roman" w:cs="Times New Roman"/>
          <w:b/>
          <w:sz w:val="32"/>
          <w:szCs w:val="28"/>
        </w:rPr>
      </w:pPr>
    </w:p>
    <w:p w:rsidR="00F17563" w:rsidRPr="005A2AA9" w:rsidRDefault="00F17563" w:rsidP="00F17563">
      <w:pPr>
        <w:spacing w:line="240" w:lineRule="auto"/>
        <w:jc w:val="center"/>
        <w:rPr>
          <w:rFonts w:ascii="Times New Roman" w:hAnsi="Times New Roman" w:cs="Times New Roman"/>
          <w:sz w:val="24"/>
          <w:szCs w:val="24"/>
          <w:lang w:val="de-DE"/>
        </w:rPr>
      </w:pPr>
      <w:r w:rsidRPr="005A2AA9">
        <w:rPr>
          <w:rFonts w:ascii="Times New Roman" w:hAnsi="Times New Roman" w:cs="Times New Roman"/>
          <w:sz w:val="24"/>
          <w:szCs w:val="24"/>
          <w:lang w:val="de-DE"/>
        </w:rPr>
        <w:t>R. Martínez-García, C. D. Nadell, R. Hartmann, K. Drescher, J. A. Bonachela</w:t>
      </w:r>
    </w:p>
    <w:p w:rsidR="00F17563" w:rsidRPr="005A2AA9" w:rsidRDefault="00F17563" w:rsidP="00F17563">
      <w:pPr>
        <w:spacing w:line="240" w:lineRule="auto"/>
        <w:jc w:val="center"/>
        <w:rPr>
          <w:rFonts w:ascii="Times New Roman" w:hAnsi="Times New Roman" w:cs="Times New Roman"/>
          <w:b/>
          <w:sz w:val="32"/>
          <w:szCs w:val="28"/>
          <w:lang w:val="de-DE"/>
        </w:rPr>
      </w:pPr>
    </w:p>
    <w:p w:rsidR="00F17563" w:rsidRDefault="00F17563" w:rsidP="00F17563">
      <w:pPr>
        <w:spacing w:line="240" w:lineRule="auto"/>
        <w:jc w:val="both"/>
        <w:rPr>
          <w:rFonts w:ascii="Times New Roman" w:hAnsi="Times New Roman" w:cs="Times New Roman"/>
          <w:sz w:val="24"/>
          <w:szCs w:val="24"/>
        </w:rPr>
      </w:pPr>
    </w:p>
    <w:p w:rsidR="00F17563" w:rsidRDefault="00F17563" w:rsidP="00F17563">
      <w:pPr>
        <w:spacing w:line="300" w:lineRule="exact"/>
        <w:rPr>
          <w:rFonts w:ascii="Times New Roman" w:hAnsi="Times New Roman" w:cs="Times New Roman"/>
          <w:b/>
          <w:sz w:val="28"/>
          <w:szCs w:val="24"/>
        </w:rPr>
      </w:pPr>
      <w:r w:rsidRPr="00D079CC">
        <w:rPr>
          <w:rFonts w:ascii="Times New Roman" w:hAnsi="Times New Roman" w:cs="Times New Roman"/>
          <w:b/>
          <w:sz w:val="28"/>
          <w:szCs w:val="24"/>
        </w:rPr>
        <w:t xml:space="preserve">S1 Text. </w:t>
      </w:r>
      <w:r w:rsidRPr="004113AC">
        <w:rPr>
          <w:rFonts w:ascii="Times New Roman" w:hAnsi="Times New Roman" w:cs="Times New Roman"/>
          <w:b/>
          <w:sz w:val="28"/>
          <w:szCs w:val="24"/>
        </w:rPr>
        <w:t xml:space="preserve">Size </w:t>
      </w:r>
      <w:bookmarkStart w:id="0" w:name="_GoBack"/>
      <w:bookmarkEnd w:id="0"/>
      <w:r w:rsidRPr="004113AC">
        <w:rPr>
          <w:rFonts w:ascii="Times New Roman" w:hAnsi="Times New Roman" w:cs="Times New Roman"/>
          <w:b/>
          <w:sz w:val="28"/>
          <w:szCs w:val="24"/>
        </w:rPr>
        <w:t>effect analysis.</w:t>
      </w:r>
    </w:p>
    <w:p w:rsidR="00F17563" w:rsidRDefault="00F17563" w:rsidP="00F17563">
      <w:pPr>
        <w:spacing w:line="300" w:lineRule="exact"/>
        <w:jc w:val="both"/>
        <w:rPr>
          <w:rFonts w:ascii="Times New Roman" w:hAnsi="Times New Roman" w:cs="Times New Roman"/>
          <w:b/>
          <w:sz w:val="28"/>
          <w:szCs w:val="24"/>
        </w:rPr>
      </w:pPr>
    </w:p>
    <w:p w:rsidR="00F17563" w:rsidRPr="007050C0" w:rsidRDefault="00F17563" w:rsidP="00F17563">
      <w:pPr>
        <w:spacing w:after="240" w:line="300" w:lineRule="exact"/>
        <w:ind w:firstLine="720"/>
        <w:jc w:val="both"/>
        <w:rPr>
          <w:rFonts w:ascii="Times New Roman" w:hAnsi="Times New Roman" w:cs="Times New Roman"/>
          <w:sz w:val="24"/>
          <w:szCs w:val="24"/>
        </w:rPr>
      </w:pPr>
      <w:r w:rsidRPr="007050C0">
        <w:rPr>
          <w:rFonts w:ascii="Times New Roman" w:hAnsi="Times New Roman" w:cs="Times New Roman"/>
          <w:sz w:val="24"/>
          <w:szCs w:val="24"/>
        </w:rPr>
        <w:t xml:space="preserve">Our experimental results have been obtained using a square observation window of lateral length </w:t>
      </w:r>
      <w:r w:rsidRPr="007050C0">
        <w:rPr>
          <w:rFonts w:ascii="Times New Roman" w:hAnsi="Times New Roman" w:cs="Times New Roman"/>
          <w:i/>
          <w:sz w:val="24"/>
          <w:szCs w:val="24"/>
        </w:rPr>
        <w:t xml:space="preserve">L </w:t>
      </w:r>
      <w:r w:rsidRPr="007050C0">
        <w:rPr>
          <w:rFonts w:ascii="Times New Roman" w:hAnsi="Times New Roman" w:cs="Times New Roman"/>
          <w:sz w:val="24"/>
          <w:szCs w:val="24"/>
        </w:rPr>
        <w:t>= 60</w:t>
      </w:r>
      <w:r w:rsidRPr="007050C0">
        <w:rPr>
          <w:rFonts w:ascii="Times New Roman" w:hAnsi="Times New Roman" w:cs="Times New Roman"/>
          <w:i/>
          <w:sz w:val="24"/>
          <w:szCs w:val="24"/>
        </w:rPr>
        <w:t xml:space="preserve">μm </w:t>
      </w:r>
      <w:r w:rsidRPr="007050C0">
        <w:rPr>
          <w:rFonts w:ascii="Times New Roman" w:hAnsi="Times New Roman" w:cs="Times New Roman"/>
          <w:sz w:val="24"/>
          <w:szCs w:val="24"/>
        </w:rPr>
        <w:t>embedded within a much larger microfluidic device. Using the simulation framework, we investigated whether the spatial measures in the occupation patterns are influenced by the size of the focal system.</w:t>
      </w:r>
    </w:p>
    <w:p w:rsidR="00F17563" w:rsidRPr="007050C0" w:rsidRDefault="00F17563" w:rsidP="00F17563">
      <w:pPr>
        <w:spacing w:after="240" w:line="300" w:lineRule="exact"/>
        <w:jc w:val="both"/>
        <w:rPr>
          <w:rFonts w:ascii="Times New Roman" w:hAnsi="Times New Roman" w:cs="Times New Roman"/>
          <w:sz w:val="24"/>
          <w:szCs w:val="24"/>
        </w:rPr>
      </w:pPr>
      <w:r w:rsidRPr="007050C0">
        <w:rPr>
          <w:rFonts w:ascii="Times New Roman" w:hAnsi="Times New Roman" w:cs="Times New Roman"/>
          <w:sz w:val="24"/>
          <w:szCs w:val="24"/>
        </w:rPr>
        <w:tab/>
        <w:t>First, we focused on the correlation length, for both highly</w:t>
      </w:r>
      <w:r>
        <w:rPr>
          <w:rFonts w:ascii="Times New Roman" w:hAnsi="Times New Roman" w:cs="Times New Roman"/>
          <w:sz w:val="24"/>
          <w:szCs w:val="24"/>
        </w:rPr>
        <w:t>-</w:t>
      </w:r>
      <w:r w:rsidRPr="007050C0">
        <w:rPr>
          <w:rFonts w:ascii="Times New Roman" w:hAnsi="Times New Roman" w:cs="Times New Roman"/>
          <w:sz w:val="24"/>
          <w:szCs w:val="24"/>
        </w:rPr>
        <w:t xml:space="preserve">adhesive and </w:t>
      </w:r>
      <w:r>
        <w:rPr>
          <w:rFonts w:ascii="Times New Roman" w:hAnsi="Times New Roman" w:cs="Times New Roman"/>
          <w:sz w:val="24"/>
          <w:szCs w:val="24"/>
        </w:rPr>
        <w:t>weakly</w:t>
      </w:r>
      <w:r w:rsidRPr="007050C0">
        <w:rPr>
          <w:rFonts w:ascii="Times New Roman" w:hAnsi="Times New Roman" w:cs="Times New Roman"/>
          <w:sz w:val="24"/>
          <w:szCs w:val="24"/>
        </w:rPr>
        <w:t>-adhesive strains, in the intense flow limit (</w:t>
      </w:r>
      <w:r w:rsidRPr="007050C0">
        <w:rPr>
          <w:rFonts w:ascii="Times New Roman" w:hAnsi="Times New Roman" w:cs="Times New Roman"/>
          <w:i/>
          <w:sz w:val="24"/>
          <w:szCs w:val="24"/>
        </w:rPr>
        <w:t>f</w:t>
      </w:r>
      <w:r w:rsidRPr="007050C0">
        <w:rPr>
          <w:rFonts w:ascii="Times New Roman" w:hAnsi="Times New Roman" w:cs="Times New Roman"/>
          <w:sz w:val="24"/>
          <w:szCs w:val="24"/>
        </w:rPr>
        <w:t xml:space="preserve"> = 1). As shown in the main text, in this regime the model accurately reproduces experimental results if the same focal area is used in both approaches. Numerical simulations on larger systems confirm that both strains maintain the same qualitative trends across simulated areas, and although the curves are quantitatively affected by the simulated area, they intersect at the same value of the initial population density (</w:t>
      </w:r>
      <w:r>
        <w:rPr>
          <w:rFonts w:ascii="Times New Roman" w:hAnsi="Times New Roman" w:cs="Times New Roman"/>
          <w:sz w:val="24"/>
          <w:szCs w:val="24"/>
        </w:rPr>
        <w:t>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 xml:space="preserve">1). The sublinear scaling of the correlation length with system size, suggests a saturation of the correlation length in the limit in which </w:t>
      </w:r>
      <w:r w:rsidRPr="007050C0">
        <w:rPr>
          <w:rFonts w:ascii="Times New Roman" w:hAnsi="Times New Roman" w:cs="Times New Roman"/>
          <w:i/>
          <w:sz w:val="24"/>
          <w:szCs w:val="24"/>
        </w:rPr>
        <w:t xml:space="preserve">ξ </w:t>
      </w:r>
      <w:r w:rsidRPr="007050C0">
        <w:rPr>
          <w:rFonts w:ascii="Times New Roman" w:hAnsi="Times New Roman" w:cs="Times New Roman"/>
          <w:sz w:val="24"/>
          <w:szCs w:val="24"/>
        </w:rPr>
        <w:t>&lt;&lt;</w:t>
      </w:r>
      <w:r w:rsidRPr="007050C0">
        <w:rPr>
          <w:rFonts w:ascii="Times New Roman" w:hAnsi="Times New Roman" w:cs="Times New Roman"/>
          <w:i/>
          <w:sz w:val="24"/>
          <w:szCs w:val="24"/>
        </w:rPr>
        <w:t xml:space="preserve"> L</w:t>
      </w:r>
      <w:r w:rsidRPr="007050C0">
        <w:rPr>
          <w:rFonts w:ascii="Times New Roman" w:hAnsi="Times New Roman" w:cs="Times New Roman"/>
          <w:sz w:val="24"/>
          <w:szCs w:val="24"/>
        </w:rPr>
        <w:t xml:space="preserve"> for any initial den</w:t>
      </w:r>
      <w:r>
        <w:rPr>
          <w:rFonts w:ascii="Times New Roman" w:hAnsi="Times New Roman" w:cs="Times New Roman"/>
          <w:sz w:val="24"/>
          <w:szCs w:val="24"/>
        </w:rPr>
        <w:t>sity and cell adhesiveness (Fig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 xml:space="preserve">2). Next, we prepared a simulation setup in which we divided a system of lateral length </w:t>
      </w:r>
      <w:r w:rsidRPr="007050C0">
        <w:rPr>
          <w:rFonts w:ascii="Times New Roman" w:hAnsi="Times New Roman" w:cs="Times New Roman"/>
          <w:i/>
          <w:sz w:val="24"/>
          <w:szCs w:val="24"/>
        </w:rPr>
        <w:t xml:space="preserve">L = </w:t>
      </w:r>
      <w:r w:rsidRPr="007050C0">
        <w:rPr>
          <w:rFonts w:ascii="Times New Roman" w:hAnsi="Times New Roman" w:cs="Times New Roman"/>
          <w:sz w:val="24"/>
          <w:szCs w:val="24"/>
        </w:rPr>
        <w:t>120</w:t>
      </w:r>
      <w:r w:rsidRPr="007050C0">
        <w:rPr>
          <w:rFonts w:ascii="Times New Roman" w:hAnsi="Times New Roman" w:cs="Times New Roman"/>
          <w:i/>
          <w:sz w:val="24"/>
          <w:szCs w:val="24"/>
        </w:rPr>
        <w:t xml:space="preserve">μm </w:t>
      </w:r>
      <w:r w:rsidRPr="007050C0">
        <w:rPr>
          <w:rFonts w:ascii="Times New Roman" w:hAnsi="Times New Roman" w:cs="Times New Roman"/>
          <w:sz w:val="24"/>
          <w:szCs w:val="24"/>
        </w:rPr>
        <w:t>in four tiles of lateral size 60</w:t>
      </w:r>
      <w:r w:rsidRPr="007050C0">
        <w:rPr>
          <w:rFonts w:ascii="Times New Roman" w:hAnsi="Times New Roman" w:cs="Times New Roman"/>
          <w:i/>
          <w:sz w:val="24"/>
          <w:szCs w:val="24"/>
        </w:rPr>
        <w:t>μm</w:t>
      </w:r>
      <w:r w:rsidRPr="007050C0">
        <w:rPr>
          <w:rFonts w:ascii="Times New Roman" w:hAnsi="Times New Roman" w:cs="Times New Roman"/>
          <w:sz w:val="24"/>
          <w:szCs w:val="24"/>
        </w:rPr>
        <w:t>,</w:t>
      </w:r>
      <w:r w:rsidRPr="007050C0">
        <w:rPr>
          <w:rFonts w:ascii="Times New Roman" w:hAnsi="Times New Roman" w:cs="Times New Roman"/>
          <w:i/>
          <w:sz w:val="24"/>
          <w:szCs w:val="24"/>
        </w:rPr>
        <w:t xml:space="preserve"> </w:t>
      </w:r>
      <w:r w:rsidRPr="007050C0">
        <w:rPr>
          <w:rFonts w:ascii="Times New Roman" w:hAnsi="Times New Roman" w:cs="Times New Roman"/>
          <w:sz w:val="24"/>
          <w:szCs w:val="24"/>
        </w:rPr>
        <w:t>and</w:t>
      </w:r>
      <w:r w:rsidRPr="007050C0">
        <w:rPr>
          <w:rFonts w:ascii="Times New Roman" w:hAnsi="Times New Roman" w:cs="Times New Roman"/>
          <w:i/>
          <w:sz w:val="24"/>
          <w:szCs w:val="24"/>
        </w:rPr>
        <w:t xml:space="preserve"> </w:t>
      </w:r>
      <w:r w:rsidRPr="007050C0">
        <w:rPr>
          <w:rFonts w:ascii="Times New Roman" w:hAnsi="Times New Roman" w:cs="Times New Roman"/>
          <w:sz w:val="24"/>
          <w:szCs w:val="24"/>
        </w:rPr>
        <w:t xml:space="preserve">simultaneously measured the correlation length in the total system and in each of the tiles. To ensure that the initial population density was constant for the whole system and each tile, we initialized every tile with a total population density </w:t>
      </w:r>
      <w:r w:rsidRPr="007050C0">
        <w:rPr>
          <w:rFonts w:ascii="Times New Roman" w:hAnsi="Times New Roman" w:cs="Times New Roman"/>
          <w:i/>
          <w:sz w:val="24"/>
          <w:szCs w:val="24"/>
        </w:rPr>
        <w:t>ρ</w:t>
      </w:r>
      <w:r w:rsidRPr="007050C0">
        <w:rPr>
          <w:rFonts w:ascii="Times New Roman" w:hAnsi="Times New Roman" w:cs="Times New Roman"/>
          <w:i/>
          <w:sz w:val="24"/>
          <w:szCs w:val="24"/>
        </w:rPr>
        <w:softHyphen/>
      </w:r>
      <w:r w:rsidRPr="007050C0">
        <w:rPr>
          <w:rFonts w:ascii="Times New Roman" w:hAnsi="Times New Roman" w:cs="Times New Roman"/>
          <w:i/>
          <w:sz w:val="24"/>
          <w:szCs w:val="24"/>
          <w:vertAlign w:val="subscript"/>
        </w:rPr>
        <w:t>0</w:t>
      </w:r>
      <w:r w:rsidRPr="007050C0">
        <w:rPr>
          <w:rFonts w:ascii="Times New Roman" w:hAnsi="Times New Roman" w:cs="Times New Roman"/>
          <w:sz w:val="24"/>
          <w:szCs w:val="24"/>
          <w:vertAlign w:val="subscript"/>
        </w:rPr>
        <w:softHyphen/>
      </w:r>
      <w:r w:rsidRPr="007050C0">
        <w:rPr>
          <w:rFonts w:ascii="Times New Roman" w:hAnsi="Times New Roman" w:cs="Times New Roman"/>
          <w:sz w:val="24"/>
          <w:szCs w:val="24"/>
        </w:rPr>
        <w:t xml:space="preserve"> (</w:t>
      </w:r>
      <w:r w:rsidRPr="007050C0">
        <w:rPr>
          <w:rFonts w:ascii="Times New Roman" w:hAnsi="Times New Roman" w:cs="Times New Roman"/>
          <w:i/>
          <w:sz w:val="24"/>
          <w:szCs w:val="24"/>
        </w:rPr>
        <w:t>ρ</w:t>
      </w:r>
      <w:r w:rsidRPr="007050C0">
        <w:rPr>
          <w:rFonts w:ascii="Times New Roman" w:hAnsi="Times New Roman" w:cs="Times New Roman"/>
          <w:i/>
          <w:sz w:val="24"/>
          <w:szCs w:val="24"/>
        </w:rPr>
        <w:softHyphen/>
      </w:r>
      <w:r w:rsidRPr="007050C0">
        <w:rPr>
          <w:rFonts w:ascii="Times New Roman" w:hAnsi="Times New Roman" w:cs="Times New Roman"/>
          <w:i/>
          <w:sz w:val="24"/>
          <w:szCs w:val="24"/>
          <w:vertAlign w:val="subscript"/>
        </w:rPr>
        <w:t>0</w:t>
      </w:r>
      <w:r w:rsidRPr="007050C0">
        <w:rPr>
          <w:rFonts w:ascii="Times New Roman" w:hAnsi="Times New Roman" w:cs="Times New Roman"/>
          <w:sz w:val="24"/>
          <w:szCs w:val="24"/>
          <w:vertAlign w:val="subscript"/>
        </w:rPr>
        <w:softHyphen/>
      </w:r>
      <w:r w:rsidRPr="007050C0">
        <w:rPr>
          <w:rFonts w:ascii="Times New Roman" w:hAnsi="Times New Roman" w:cs="Times New Roman"/>
          <w:sz w:val="24"/>
          <w:szCs w:val="24"/>
        </w:rPr>
        <w:t>/2 of each strain on average). Focusing on the intense flow limit (</w:t>
      </w:r>
      <w:r w:rsidRPr="007050C0">
        <w:rPr>
          <w:rFonts w:ascii="Times New Roman" w:hAnsi="Times New Roman" w:cs="Times New Roman"/>
          <w:i/>
          <w:sz w:val="24"/>
          <w:szCs w:val="24"/>
        </w:rPr>
        <w:t>f</w:t>
      </w:r>
      <w:r w:rsidRPr="007050C0">
        <w:rPr>
          <w:rFonts w:ascii="Times New Roman" w:hAnsi="Times New Roman" w:cs="Times New Roman"/>
          <w:sz w:val="24"/>
          <w:szCs w:val="24"/>
        </w:rPr>
        <w:t xml:space="preserve"> = 1), the distance traveled by relocated cells in the direction of the flow is a random number between 0 and </w:t>
      </w:r>
      <w:r w:rsidRPr="007050C0">
        <w:rPr>
          <w:rFonts w:ascii="Times New Roman" w:hAnsi="Times New Roman" w:cs="Times New Roman"/>
          <w:i/>
          <w:sz w:val="24"/>
          <w:szCs w:val="24"/>
        </w:rPr>
        <w:t>L</w:t>
      </w:r>
      <w:r w:rsidRPr="007050C0">
        <w:rPr>
          <w:rFonts w:ascii="Times New Roman" w:hAnsi="Times New Roman" w:cs="Times New Roman"/>
          <w:sz w:val="24"/>
          <w:szCs w:val="24"/>
        </w:rPr>
        <w:t>, so for a given focal area, the population mixing depends on whether the system is isolated or embedded in a bigger one. However, the use of periodic boundary conditions, as discussed in the main text, minimizes differences in the correlation length for strong fl</w:t>
      </w:r>
      <w:r>
        <w:rPr>
          <w:rFonts w:ascii="Times New Roman" w:hAnsi="Times New Roman" w:cs="Times New Roman"/>
          <w:sz w:val="24"/>
          <w:szCs w:val="24"/>
        </w:rPr>
        <w:t>ows (Fig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 xml:space="preserve">3). The residual difference in the correlation length is </w:t>
      </w:r>
      <w:proofErr w:type="gramStart"/>
      <w:r w:rsidRPr="007050C0">
        <w:rPr>
          <w:rFonts w:ascii="Times New Roman" w:hAnsi="Times New Roman" w:cs="Times New Roman"/>
          <w:sz w:val="24"/>
          <w:szCs w:val="24"/>
        </w:rPr>
        <w:t>due to the fact that</w:t>
      </w:r>
      <w:proofErr w:type="gramEnd"/>
      <w:r w:rsidRPr="007050C0">
        <w:rPr>
          <w:rFonts w:ascii="Times New Roman" w:hAnsi="Times New Roman" w:cs="Times New Roman"/>
          <w:sz w:val="24"/>
          <w:szCs w:val="24"/>
        </w:rPr>
        <w:t>, in small isolated systems, the periodic boundary conditions can introduce small additional correlations, since detached cells that exit the system through one of the borders and re-enter through the opposite may be relocated close to their original position. These events are equivalent to limited dispersal and hence tend to increase clonal cluster size. H</w:t>
      </w:r>
      <w:r>
        <w:rPr>
          <w:rFonts w:ascii="Times New Roman" w:hAnsi="Times New Roman" w:cs="Times New Roman"/>
          <w:sz w:val="24"/>
          <w:szCs w:val="24"/>
        </w:rPr>
        <w:t>owever, as it is shown in 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3, their effect is negligible, reinforcing the validity of our periodic boundary conditions.</w:t>
      </w:r>
    </w:p>
    <w:p w:rsidR="00F17563" w:rsidRPr="007050C0" w:rsidRDefault="00F17563" w:rsidP="00F17563">
      <w:pPr>
        <w:spacing w:after="240" w:line="300" w:lineRule="exact"/>
        <w:jc w:val="both"/>
        <w:rPr>
          <w:rFonts w:ascii="Times New Roman" w:hAnsi="Times New Roman" w:cs="Times New Roman"/>
          <w:sz w:val="24"/>
          <w:szCs w:val="24"/>
        </w:rPr>
      </w:pPr>
      <w:r w:rsidRPr="007050C0">
        <w:rPr>
          <w:rFonts w:ascii="Times New Roman" w:hAnsi="Times New Roman" w:cs="Times New Roman"/>
          <w:sz w:val="24"/>
          <w:szCs w:val="24"/>
        </w:rPr>
        <w:tab/>
        <w:t xml:space="preserve">Next, we extended our analysis to consider a </w:t>
      </w:r>
      <w:r w:rsidRPr="007050C0">
        <w:rPr>
          <w:rFonts w:ascii="Times New Roman" w:hAnsi="Times New Roman" w:cs="Times New Roman"/>
          <w:i/>
          <w:sz w:val="24"/>
          <w:szCs w:val="24"/>
        </w:rPr>
        <w:t>L</w:t>
      </w:r>
      <w:r w:rsidRPr="007050C0">
        <w:rPr>
          <w:rFonts w:ascii="Times New Roman" w:hAnsi="Times New Roman" w:cs="Times New Roman"/>
          <w:sz w:val="24"/>
          <w:szCs w:val="24"/>
        </w:rPr>
        <w:t>=240</w:t>
      </w:r>
      <w:r w:rsidRPr="007050C0">
        <w:rPr>
          <w:rFonts w:ascii="Times New Roman" w:hAnsi="Times New Roman" w:cs="Times New Roman"/>
          <w:i/>
          <w:sz w:val="24"/>
          <w:szCs w:val="24"/>
        </w:rPr>
        <w:t xml:space="preserve"> </w:t>
      </w:r>
      <w:proofErr w:type="spellStart"/>
      <w:r w:rsidRPr="007050C0">
        <w:rPr>
          <w:rFonts w:ascii="Times New Roman" w:hAnsi="Times New Roman" w:cs="Times New Roman"/>
          <w:i/>
          <w:sz w:val="24"/>
          <w:szCs w:val="24"/>
        </w:rPr>
        <w:t>μm</w:t>
      </w:r>
      <w:proofErr w:type="spellEnd"/>
      <w:r w:rsidRPr="007050C0">
        <w:rPr>
          <w:rFonts w:ascii="Times New Roman" w:hAnsi="Times New Roman" w:cs="Times New Roman"/>
          <w:sz w:val="24"/>
          <w:szCs w:val="24"/>
        </w:rPr>
        <w:t xml:space="preserve"> patch with various flow intensities. In this scenario, system size influences the outcome of the simulations in two directions. First, the set of flow strengths for which patterns of </w:t>
      </w:r>
      <w:r>
        <w:rPr>
          <w:rFonts w:ascii="Times New Roman" w:hAnsi="Times New Roman" w:cs="Times New Roman"/>
          <w:sz w:val="24"/>
          <w:szCs w:val="24"/>
        </w:rPr>
        <w:t>weakly-adhesive</w:t>
      </w:r>
      <w:r w:rsidRPr="007050C0">
        <w:rPr>
          <w:rFonts w:ascii="Times New Roman" w:hAnsi="Times New Roman" w:cs="Times New Roman"/>
          <w:sz w:val="24"/>
          <w:szCs w:val="24"/>
        </w:rPr>
        <w:t xml:space="preserve"> cells have larger clonal clusters than those made by adhesive strains increases considerably. Second, such regions show a larger </w:t>
      </w:r>
      <w:r w:rsidRPr="007050C0">
        <w:rPr>
          <w:rFonts w:ascii="Times New Roman" w:hAnsi="Times New Roman" w:cs="Times New Roman"/>
          <w:sz w:val="24"/>
          <w:szCs w:val="24"/>
        </w:rPr>
        <w:lastRenderedPageBreak/>
        <w:t xml:space="preserve">difference correlation </w:t>
      </w:r>
      <w:r>
        <w:rPr>
          <w:rFonts w:ascii="Times New Roman" w:hAnsi="Times New Roman" w:cs="Times New Roman"/>
          <w:sz w:val="24"/>
          <w:szCs w:val="24"/>
        </w:rPr>
        <w:t>length for bigger systems (Fig A</w:t>
      </w:r>
      <w:r w:rsidRPr="007050C0">
        <w:rPr>
          <w:rFonts w:ascii="Times New Roman" w:hAnsi="Times New Roman" w:cs="Times New Roman"/>
          <w:sz w:val="24"/>
          <w:szCs w:val="24"/>
        </w:rPr>
        <w:t>4a). This result indicates that avoiding the production of adhesion substances does not entail a residual gain (slightly larger clusters without the metabolic cost of matrix production) but, for a wide range of environmental flows (</w:t>
      </w:r>
      <w:r w:rsidRPr="007050C0">
        <w:rPr>
          <w:rFonts w:ascii="Times New Roman" w:hAnsi="Times New Roman" w:cs="Times New Roman"/>
          <w:i/>
          <w:sz w:val="24"/>
          <w:szCs w:val="24"/>
        </w:rPr>
        <w:t xml:space="preserve">f </w:t>
      </w:r>
      <w:r w:rsidRPr="007050C0">
        <w:rPr>
          <w:rFonts w:ascii="Times New Roman" w:hAnsi="Times New Roman" w:cs="Times New Roman"/>
          <w:sz w:val="24"/>
          <w:szCs w:val="24"/>
        </w:rPr>
        <w:t>&lt;</w:t>
      </w:r>
      <w:r w:rsidRPr="007050C0">
        <w:rPr>
          <w:rFonts w:ascii="Times New Roman" w:hAnsi="Times New Roman" w:cs="Times New Roman"/>
          <w:szCs w:val="24"/>
        </w:rPr>
        <w:t xml:space="preserve"> </w:t>
      </w:r>
      <w:r w:rsidRPr="007050C0">
        <w:rPr>
          <w:rFonts w:ascii="Times New Roman" w:hAnsi="Times New Roman" w:cs="Times New Roman"/>
          <w:sz w:val="24"/>
          <w:szCs w:val="24"/>
        </w:rPr>
        <w:t xml:space="preserve">0.4), such gain can be very significant, as much as that of matrix-production in strong environmental flows (but, again, without the metabolic cost). If, on the other hand, we are observing a small system that, instead of in isolation, is within a bigger one, the flow range for which </w:t>
      </w:r>
      <w:r>
        <w:rPr>
          <w:rFonts w:ascii="Times New Roman" w:hAnsi="Times New Roman" w:cs="Times New Roman"/>
          <w:sz w:val="24"/>
          <w:szCs w:val="24"/>
        </w:rPr>
        <w:t>weakly-adhesive</w:t>
      </w:r>
      <w:r w:rsidRPr="007050C0">
        <w:rPr>
          <w:rFonts w:ascii="Times New Roman" w:hAnsi="Times New Roman" w:cs="Times New Roman"/>
          <w:sz w:val="24"/>
          <w:szCs w:val="24"/>
        </w:rPr>
        <w:t xml:space="preserve"> cells show larger clusters segregation is reduced to very weak intensities. This shrinkage of the region results from our flow strength implementation discussed above: when the small system is part of a bigger one, detached cells can travel larger distances even at weak environmental flows and thus the range of limited dispersal is reduced (Fig</w:t>
      </w:r>
      <w:r>
        <w:rPr>
          <w:rFonts w:ascii="Times New Roman" w:hAnsi="Times New Roman" w:cs="Times New Roman"/>
          <w:sz w:val="24"/>
          <w:szCs w:val="24"/>
        </w:rPr>
        <w:t xml:space="preserve"> A</w:t>
      </w:r>
      <w:r w:rsidRPr="007050C0">
        <w:rPr>
          <w:rFonts w:ascii="Times New Roman" w:hAnsi="Times New Roman" w:cs="Times New Roman"/>
          <w:sz w:val="24"/>
          <w:szCs w:val="24"/>
        </w:rPr>
        <w:t xml:space="preserve">4b compared to Figure 4). All this phenomenology indicates that, in a real system, the ratio between the typical distance travelled with the flow and the system size will influence considerably the quantitative (but not the qualitative) behavior of our measure for genetic segregation. </w:t>
      </w:r>
    </w:p>
    <w:p w:rsidR="00F17563" w:rsidRPr="00395FE9" w:rsidRDefault="00F17563" w:rsidP="00F17563">
      <w:pPr>
        <w:spacing w:after="240" w:line="300" w:lineRule="exact"/>
        <w:ind w:firstLine="720"/>
        <w:jc w:val="both"/>
        <w:rPr>
          <w:rFonts w:ascii="Times New Roman" w:hAnsi="Times New Roman" w:cs="Times New Roman"/>
          <w:sz w:val="24"/>
          <w:szCs w:val="24"/>
        </w:rPr>
      </w:pPr>
      <w:r w:rsidRPr="007050C0">
        <w:rPr>
          <w:rFonts w:ascii="Times New Roman" w:hAnsi="Times New Roman" w:cs="Times New Roman"/>
          <w:sz w:val="24"/>
          <w:szCs w:val="24"/>
        </w:rPr>
        <w:t xml:space="preserve">Finally, we analyzed the effect of the system size on cluster size variability for </w:t>
      </w:r>
      <w:r w:rsidRPr="007050C0">
        <w:rPr>
          <w:rFonts w:ascii="Times New Roman" w:hAnsi="Times New Roman" w:cs="Times New Roman"/>
          <w:i/>
          <w:sz w:val="24"/>
          <w:szCs w:val="24"/>
        </w:rPr>
        <w:t>σ</w:t>
      </w:r>
      <w:r w:rsidRPr="007050C0">
        <w:rPr>
          <w:rFonts w:ascii="Times New Roman" w:hAnsi="Times New Roman" w:cs="Times New Roman"/>
          <w:sz w:val="24"/>
          <w:szCs w:val="24"/>
        </w:rPr>
        <w:t xml:space="preserve"> = 1 strains. The standard deviation of the correlation length maintained its concavity regardless of the system size, but it reached its maximum at different init</w:t>
      </w:r>
      <w:r>
        <w:rPr>
          <w:rFonts w:ascii="Times New Roman" w:hAnsi="Times New Roman" w:cs="Times New Roman"/>
          <w:sz w:val="24"/>
          <w:szCs w:val="24"/>
        </w:rPr>
        <w:t>ial population densities (Fig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5a). Since highly</w:t>
      </w:r>
      <w:r>
        <w:rPr>
          <w:rFonts w:ascii="Times New Roman" w:hAnsi="Times New Roman" w:cs="Times New Roman"/>
          <w:sz w:val="24"/>
          <w:szCs w:val="24"/>
        </w:rPr>
        <w:t>-</w:t>
      </w:r>
      <w:r w:rsidRPr="007050C0">
        <w:rPr>
          <w:rFonts w:ascii="Times New Roman" w:hAnsi="Times New Roman" w:cs="Times New Roman"/>
          <w:sz w:val="24"/>
          <w:szCs w:val="24"/>
        </w:rPr>
        <w:t>adhesive cells are not relocated by the flow, the confluence pattern is strongly determined by the spatial distribution of the founder population, and its correlation length variability depends on the variability of the initial lineage mixing. Hence, it is the number of cells and not the density what determines the position of the maximum i</w:t>
      </w:r>
      <w:r>
        <w:rPr>
          <w:rFonts w:ascii="Times New Roman" w:hAnsi="Times New Roman" w:cs="Times New Roman"/>
          <w:sz w:val="24"/>
          <w:szCs w:val="24"/>
        </w:rPr>
        <w:t>n the standard deviation (Fig</w:t>
      </w:r>
      <w:r w:rsidRPr="007050C0">
        <w:rPr>
          <w:rFonts w:ascii="Times New Roman" w:hAnsi="Times New Roman" w:cs="Times New Roman"/>
          <w:sz w:val="24"/>
          <w:szCs w:val="24"/>
        </w:rPr>
        <w:t xml:space="preserve"> </w:t>
      </w:r>
      <w:r>
        <w:rPr>
          <w:rFonts w:ascii="Times New Roman" w:hAnsi="Times New Roman" w:cs="Times New Roman"/>
          <w:sz w:val="24"/>
          <w:szCs w:val="24"/>
        </w:rPr>
        <w:t>A</w:t>
      </w:r>
      <w:r w:rsidRPr="007050C0">
        <w:rPr>
          <w:rFonts w:ascii="Times New Roman" w:hAnsi="Times New Roman" w:cs="Times New Roman"/>
          <w:sz w:val="24"/>
          <w:szCs w:val="24"/>
        </w:rPr>
        <w:t xml:space="preserve">5b). For high cell numbers, it is very </w:t>
      </w:r>
      <w:r w:rsidRPr="00395FE9">
        <w:rPr>
          <w:rFonts w:ascii="Times New Roman" w:hAnsi="Times New Roman" w:cs="Times New Roman"/>
          <w:sz w:val="24"/>
          <w:szCs w:val="24"/>
        </w:rPr>
        <w:t>unlikely to randomly create a configuration with large clusters, whereas for low cell numbers, the cluster size at confluence is necessarily large.</w:t>
      </w:r>
      <w:r w:rsidR="002D7E32" w:rsidRPr="00395FE9">
        <w:rPr>
          <w:rFonts w:ascii="Times New Roman" w:hAnsi="Times New Roman" w:cs="Times New Roman"/>
          <w:sz w:val="24"/>
          <w:szCs w:val="24"/>
        </w:rPr>
        <w:t xml:space="preserve"> In addition, for a fixed initial density (or number of cells) the standard deviation increases with system size since the variability in the spatial distribution of the founder population increases with system size. </w:t>
      </w:r>
    </w:p>
    <w:p w:rsidR="00F17563" w:rsidRDefault="00F17563" w:rsidP="00395FE9">
      <w:pPr>
        <w:spacing w:line="240" w:lineRule="auto"/>
        <w:ind w:firstLine="720"/>
        <w:jc w:val="both"/>
        <w:rPr>
          <w:rFonts w:ascii="Times New Roman" w:hAnsi="Times New Roman" w:cs="Times New Roman"/>
          <w:sz w:val="24"/>
          <w:szCs w:val="24"/>
        </w:rPr>
      </w:pPr>
      <w:r w:rsidRPr="00395FE9">
        <w:rPr>
          <w:rFonts w:ascii="Times New Roman" w:hAnsi="Times New Roman" w:cs="Times New Roman"/>
          <w:sz w:val="24"/>
          <w:szCs w:val="24"/>
        </w:rPr>
        <w:t xml:space="preserve">In summary, the observation window can quantitatively affect some results of </w:t>
      </w:r>
      <w:r w:rsidRPr="007050C0">
        <w:rPr>
          <w:rFonts w:ascii="Times New Roman" w:hAnsi="Times New Roman" w:cs="Times New Roman"/>
          <w:sz w:val="24"/>
          <w:szCs w:val="24"/>
        </w:rPr>
        <w:t>our analyses as well as the regions of the parameter space in which they are expected. Therefore, not only environmental forces, such as fluid flow, and bacterial traits, such as cell adhesion, are important to quantify biofilm population structure. The size of the observation frames needs to be accounted for as well. Importantly, however, the overall qualitative behavior of our results is not affected by the size of the observation window and, therefore, any conclusion drawn for smaller surfaces can be extrapolated to larger systems.</w:t>
      </w:r>
    </w:p>
    <w:p w:rsidR="00F17563" w:rsidRDefault="00F17563" w:rsidP="00F17563">
      <w:pPr>
        <w:suppressAutoHyphens w:val="0"/>
        <w:spacing w:after="160" w:line="259"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49445BE9" wp14:editId="5E86CF96">
            <wp:extent cx="5335095" cy="387275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size.tif"/>
                    <pic:cNvPicPr/>
                  </pic:nvPicPr>
                  <pic:blipFill>
                    <a:blip r:embed="rId5"/>
                    <a:stretch>
                      <a:fillRect/>
                    </a:stretch>
                  </pic:blipFill>
                  <pic:spPr>
                    <a:xfrm>
                      <a:off x="0" y="0"/>
                      <a:ext cx="5354910" cy="3887136"/>
                    </a:xfrm>
                    <a:prstGeom prst="rect">
                      <a:avLst/>
                    </a:prstGeom>
                  </pic:spPr>
                </pic:pic>
              </a:graphicData>
            </a:graphic>
          </wp:inline>
        </w:drawing>
      </w:r>
    </w:p>
    <w:p w:rsidR="00F17563" w:rsidRPr="00FD4F75" w:rsidRDefault="00F17563" w:rsidP="00F17563">
      <w:pPr>
        <w:suppressAutoHyphens w:val="0"/>
        <w:spacing w:after="160" w:line="259" w:lineRule="auto"/>
        <w:jc w:val="center"/>
        <w:rPr>
          <w:rFonts w:ascii="Times New Roman" w:hAnsi="Times New Roman" w:cs="Times New Roman"/>
          <w:i/>
        </w:rPr>
      </w:pPr>
      <w:r>
        <w:rPr>
          <w:rFonts w:ascii="Times New Roman" w:hAnsi="Times New Roman" w:cs="Times New Roman"/>
          <w:b/>
        </w:rPr>
        <w:t>Fig</w:t>
      </w:r>
      <w:r w:rsidRPr="00D703B2">
        <w:rPr>
          <w:rFonts w:ascii="Times New Roman" w:hAnsi="Times New Roman" w:cs="Times New Roman"/>
          <w:b/>
        </w:rPr>
        <w:t xml:space="preserve"> </w:t>
      </w:r>
      <w:r>
        <w:rPr>
          <w:rFonts w:ascii="Times New Roman" w:hAnsi="Times New Roman" w:cs="Times New Roman"/>
          <w:b/>
        </w:rPr>
        <w:t>A</w:t>
      </w:r>
      <w:r w:rsidRPr="00D703B2">
        <w:rPr>
          <w:rFonts w:ascii="Times New Roman" w:hAnsi="Times New Roman" w:cs="Times New Roman"/>
          <w:b/>
        </w:rPr>
        <w:t xml:space="preserve">1. Effect of surface in correlation length. </w:t>
      </w:r>
      <w:r w:rsidRPr="00D703B2">
        <w:rPr>
          <w:rFonts w:ascii="Times New Roman" w:hAnsi="Times New Roman" w:cs="Times New Roman"/>
        </w:rPr>
        <w:t>The clonal cluster size is strongly influenced by the extension of the colonized surface, although the trends of highly</w:t>
      </w:r>
      <w:r>
        <w:rPr>
          <w:rFonts w:ascii="Times New Roman" w:hAnsi="Times New Roman" w:cs="Times New Roman"/>
        </w:rPr>
        <w:t>-</w:t>
      </w:r>
      <w:r w:rsidRPr="00D703B2">
        <w:rPr>
          <w:rFonts w:ascii="Times New Roman" w:hAnsi="Times New Roman" w:cs="Times New Roman"/>
        </w:rPr>
        <w:t xml:space="preserve">adhesive and </w:t>
      </w:r>
      <w:r>
        <w:rPr>
          <w:rFonts w:ascii="Times New Roman" w:hAnsi="Times New Roman" w:cs="Times New Roman"/>
        </w:rPr>
        <w:t>weakly-adhesive</w:t>
      </w:r>
      <w:r w:rsidRPr="00D703B2">
        <w:rPr>
          <w:rFonts w:ascii="Times New Roman" w:hAnsi="Times New Roman" w:cs="Times New Roman"/>
        </w:rPr>
        <w:t xml:space="preserve"> strains, and the crossing point between curves, are system size independent. Full lines correspond to </w:t>
      </w:r>
      <w:r w:rsidRPr="00D703B2">
        <w:rPr>
          <w:rFonts w:ascii="Times New Roman" w:hAnsi="Times New Roman" w:cs="Times New Roman"/>
          <w:i/>
        </w:rPr>
        <w:t xml:space="preserve">σ </w:t>
      </w:r>
      <w:r w:rsidRPr="00D703B2">
        <w:rPr>
          <w:rFonts w:ascii="Times New Roman" w:hAnsi="Times New Roman" w:cs="Times New Roman"/>
        </w:rPr>
        <w:t xml:space="preserve">= 1 and dashed lines to </w:t>
      </w:r>
      <w:r w:rsidRPr="00D703B2">
        <w:rPr>
          <w:rFonts w:ascii="Times New Roman" w:hAnsi="Times New Roman" w:cs="Times New Roman"/>
          <w:i/>
        </w:rPr>
        <w:t xml:space="preserve">σ </w:t>
      </w:r>
      <w:r w:rsidRPr="00D703B2">
        <w:rPr>
          <w:rFonts w:ascii="Times New Roman" w:hAnsi="Times New Roman" w:cs="Times New Roman"/>
        </w:rPr>
        <w:t xml:space="preserve">= 0. a) </w:t>
      </w:r>
      <w:r w:rsidRPr="00D703B2">
        <w:rPr>
          <w:rFonts w:ascii="Times New Roman" w:hAnsi="Times New Roman" w:cs="Times New Roman"/>
          <w:i/>
        </w:rPr>
        <w:t>L</w:t>
      </w:r>
      <w:r>
        <w:rPr>
          <w:rFonts w:ascii="Times New Roman" w:hAnsi="Times New Roman" w:cs="Times New Roman"/>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60</w:t>
      </w:r>
      <w:r w:rsidRPr="00D703B2">
        <w:rPr>
          <w:rFonts w:ascii="Times New Roman" w:hAnsi="Times New Roman" w:cs="Times New Roman"/>
          <w:i/>
        </w:rPr>
        <w:t>μm</w:t>
      </w:r>
      <w:r w:rsidRPr="00D703B2">
        <w:rPr>
          <w:rFonts w:ascii="Times New Roman" w:hAnsi="Times New Roman" w:cs="Times New Roman"/>
        </w:rPr>
        <w:t xml:space="preserve">, b) </w:t>
      </w:r>
      <w:r w:rsidRPr="00D703B2">
        <w:rPr>
          <w:rFonts w:ascii="Times New Roman" w:hAnsi="Times New Roman" w:cs="Times New Roman"/>
          <w:i/>
        </w:rPr>
        <w:t>L</w:t>
      </w:r>
      <w:r>
        <w:rPr>
          <w:rFonts w:ascii="Times New Roman" w:hAnsi="Times New Roman" w:cs="Times New Roman"/>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120</w:t>
      </w:r>
      <w:r w:rsidRPr="00D703B2">
        <w:rPr>
          <w:rFonts w:ascii="Times New Roman" w:hAnsi="Times New Roman" w:cs="Times New Roman"/>
          <w:i/>
        </w:rPr>
        <w:t>μm</w:t>
      </w:r>
      <w:r w:rsidRPr="00D703B2">
        <w:rPr>
          <w:rFonts w:ascii="Times New Roman" w:hAnsi="Times New Roman" w:cs="Times New Roman"/>
        </w:rPr>
        <w:t xml:space="preserve">, c) </w:t>
      </w:r>
      <w:r w:rsidRPr="00D703B2">
        <w:rPr>
          <w:rFonts w:ascii="Times New Roman" w:hAnsi="Times New Roman" w:cs="Times New Roman"/>
          <w:i/>
        </w:rPr>
        <w:t>L</w:t>
      </w:r>
      <w:r>
        <w:rPr>
          <w:rFonts w:ascii="Times New Roman" w:hAnsi="Times New Roman" w:cs="Times New Roman"/>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240</w:t>
      </w:r>
      <w:r w:rsidRPr="00D703B2">
        <w:rPr>
          <w:rFonts w:ascii="Times New Roman" w:hAnsi="Times New Roman" w:cs="Times New Roman"/>
          <w:i/>
        </w:rPr>
        <w:t>μm</w:t>
      </w:r>
      <w:r w:rsidRPr="00D703B2">
        <w:rPr>
          <w:rFonts w:ascii="Times New Roman" w:hAnsi="Times New Roman" w:cs="Times New Roman"/>
        </w:rPr>
        <w:t xml:space="preserve">, d) </w:t>
      </w:r>
      <w:r w:rsidRPr="00D703B2">
        <w:rPr>
          <w:rFonts w:ascii="Times New Roman" w:hAnsi="Times New Roman" w:cs="Times New Roman"/>
          <w:i/>
        </w:rPr>
        <w:t>L</w:t>
      </w:r>
      <w:r>
        <w:rPr>
          <w:rFonts w:ascii="Times New Roman" w:hAnsi="Times New Roman" w:cs="Times New Roman"/>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360</w:t>
      </w:r>
      <w:r w:rsidRPr="00D703B2">
        <w:rPr>
          <w:rFonts w:ascii="Times New Roman" w:hAnsi="Times New Roman" w:cs="Times New Roman"/>
          <w:i/>
        </w:rPr>
        <w:t>μm.</w:t>
      </w:r>
    </w:p>
    <w:p w:rsidR="00F17563" w:rsidRDefault="00F17563" w:rsidP="00F17563">
      <w:pPr>
        <w:suppressAutoHyphens w:val="0"/>
        <w:spacing w:after="160" w:line="259"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74D69471" wp14:editId="6709A2EB">
            <wp:extent cx="5248656" cy="262433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ling.tif"/>
                    <pic:cNvPicPr/>
                  </pic:nvPicPr>
                  <pic:blipFill>
                    <a:blip r:embed="rId6"/>
                    <a:stretch>
                      <a:fillRect/>
                    </a:stretch>
                  </pic:blipFill>
                  <pic:spPr>
                    <a:xfrm>
                      <a:off x="0" y="0"/>
                      <a:ext cx="5259538" cy="2629771"/>
                    </a:xfrm>
                    <a:prstGeom prst="rect">
                      <a:avLst/>
                    </a:prstGeom>
                  </pic:spPr>
                </pic:pic>
              </a:graphicData>
            </a:graphic>
          </wp:inline>
        </w:drawing>
      </w:r>
    </w:p>
    <w:p w:rsidR="00F17563" w:rsidRPr="006001EE" w:rsidRDefault="00F17563" w:rsidP="00F17563">
      <w:pPr>
        <w:suppressAutoHyphens w:val="0"/>
        <w:spacing w:after="160" w:line="259" w:lineRule="auto"/>
        <w:jc w:val="center"/>
        <w:rPr>
          <w:rFonts w:ascii="Times New Roman" w:hAnsi="Times New Roman" w:cs="Times New Roman"/>
        </w:rPr>
      </w:pPr>
      <w:r>
        <w:rPr>
          <w:rFonts w:ascii="Times New Roman" w:hAnsi="Times New Roman" w:cs="Times New Roman"/>
          <w:b/>
        </w:rPr>
        <w:t>Fig</w:t>
      </w:r>
      <w:r w:rsidRPr="00D703B2">
        <w:rPr>
          <w:rFonts w:ascii="Times New Roman" w:hAnsi="Times New Roman" w:cs="Times New Roman"/>
          <w:b/>
        </w:rPr>
        <w:t xml:space="preserve"> </w:t>
      </w:r>
      <w:r>
        <w:rPr>
          <w:rFonts w:ascii="Times New Roman" w:hAnsi="Times New Roman" w:cs="Times New Roman"/>
          <w:b/>
        </w:rPr>
        <w:t>A</w:t>
      </w:r>
      <w:r w:rsidRPr="00D703B2">
        <w:rPr>
          <w:rFonts w:ascii="Times New Roman" w:hAnsi="Times New Roman" w:cs="Times New Roman"/>
          <w:b/>
        </w:rPr>
        <w:t xml:space="preserve">2. Correlation length scaling with system size. </w:t>
      </w:r>
      <w:r w:rsidRPr="00D703B2">
        <w:rPr>
          <w:rFonts w:ascii="Times New Roman" w:hAnsi="Times New Roman" w:cs="Times New Roman"/>
        </w:rPr>
        <w:t>The correlation length scales sub-linearly, both for highly</w:t>
      </w:r>
      <w:r>
        <w:rPr>
          <w:rFonts w:ascii="Times New Roman" w:hAnsi="Times New Roman" w:cs="Times New Roman"/>
        </w:rPr>
        <w:t>-</w:t>
      </w:r>
      <w:r w:rsidRPr="00D703B2">
        <w:rPr>
          <w:rFonts w:ascii="Times New Roman" w:hAnsi="Times New Roman" w:cs="Times New Roman"/>
        </w:rPr>
        <w:t xml:space="preserve">adhesive (a) and </w:t>
      </w:r>
      <w:r>
        <w:rPr>
          <w:rFonts w:ascii="Times New Roman" w:hAnsi="Times New Roman" w:cs="Times New Roman"/>
        </w:rPr>
        <w:t>weakly-adhesive</w:t>
      </w:r>
      <w:r w:rsidRPr="00D703B2">
        <w:rPr>
          <w:rFonts w:ascii="Times New Roman" w:hAnsi="Times New Roman" w:cs="Times New Roman"/>
        </w:rPr>
        <w:t xml:space="preserve"> (b) strains, with system size, which suggests a clonal cluster size saturation for large systems.</w:t>
      </w:r>
    </w:p>
    <w:p w:rsidR="00F17563" w:rsidRDefault="00F17563" w:rsidP="00F17563">
      <w:pPr>
        <w:suppressAutoHyphens w:val="0"/>
        <w:spacing w:after="160" w:line="259"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77BBF28D" wp14:editId="0054FB9F">
            <wp:extent cx="4453666" cy="2990032"/>
            <wp:effectExtent l="19050" t="0" r="4034"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t.tif"/>
                    <pic:cNvPicPr/>
                  </pic:nvPicPr>
                  <pic:blipFill>
                    <a:blip r:embed="rId7"/>
                    <a:stretch>
                      <a:fillRect/>
                    </a:stretch>
                  </pic:blipFill>
                  <pic:spPr>
                    <a:xfrm>
                      <a:off x="0" y="0"/>
                      <a:ext cx="4453666" cy="2990032"/>
                    </a:xfrm>
                    <a:prstGeom prst="rect">
                      <a:avLst/>
                    </a:prstGeom>
                  </pic:spPr>
                </pic:pic>
              </a:graphicData>
            </a:graphic>
          </wp:inline>
        </w:drawing>
      </w:r>
    </w:p>
    <w:p w:rsidR="00F17563" w:rsidRPr="00D703B2" w:rsidRDefault="00F17563" w:rsidP="00F17563">
      <w:pPr>
        <w:suppressAutoHyphens w:val="0"/>
        <w:spacing w:after="160" w:line="259" w:lineRule="auto"/>
        <w:jc w:val="center"/>
        <w:rPr>
          <w:rFonts w:ascii="Times New Roman" w:hAnsi="Times New Roman" w:cs="Times New Roman"/>
        </w:rPr>
      </w:pPr>
      <w:r>
        <w:rPr>
          <w:rFonts w:ascii="Times New Roman" w:hAnsi="Times New Roman" w:cs="Times New Roman"/>
          <w:b/>
        </w:rPr>
        <w:t>Fig A</w:t>
      </w:r>
      <w:r w:rsidRPr="00D703B2">
        <w:rPr>
          <w:rFonts w:ascii="Times New Roman" w:hAnsi="Times New Roman" w:cs="Times New Roman"/>
          <w:b/>
        </w:rPr>
        <w:t xml:space="preserve">3. Finite size effects in the correlation length. </w:t>
      </w:r>
      <w:r w:rsidRPr="00D703B2">
        <w:rPr>
          <w:rFonts w:ascii="Times New Roman" w:hAnsi="Times New Roman" w:cs="Times New Roman"/>
        </w:rPr>
        <w:t xml:space="preserve">Tiles within a larger system have the same correlation length than isolated surfaces of the same size. Simulations are run independently on systems of lateral length </w:t>
      </w:r>
      <w:r w:rsidRPr="00D703B2">
        <w:rPr>
          <w:rFonts w:ascii="Times New Roman" w:hAnsi="Times New Roman" w:cs="Times New Roman"/>
          <w:i/>
        </w:rPr>
        <w:t xml:space="preserve">L </w:t>
      </w:r>
      <w:r w:rsidRPr="00D703B2">
        <w:rPr>
          <w:rFonts w:ascii="Times New Roman" w:hAnsi="Times New Roman" w:cs="Times New Roman"/>
        </w:rPr>
        <w:t>= 60</w:t>
      </w:r>
      <w:r w:rsidRPr="00D703B2">
        <w:rPr>
          <w:rFonts w:ascii="Times New Roman" w:hAnsi="Times New Roman" w:cs="Times New Roman"/>
          <w:i/>
        </w:rPr>
        <w:t>μm</w:t>
      </w:r>
      <w:r w:rsidRPr="00D703B2">
        <w:rPr>
          <w:rFonts w:ascii="Times New Roman" w:hAnsi="Times New Roman" w:cs="Times New Roman"/>
        </w:rPr>
        <w:t xml:space="preserve"> (black circles) and </w:t>
      </w:r>
      <w:r w:rsidRPr="00D703B2">
        <w:rPr>
          <w:rFonts w:ascii="Times New Roman" w:hAnsi="Times New Roman" w:cs="Times New Roman"/>
          <w:i/>
        </w:rPr>
        <w:t>L</w:t>
      </w:r>
      <w:r>
        <w:rPr>
          <w:rFonts w:ascii="Times New Roman" w:hAnsi="Times New Roman" w:cs="Times New Roman"/>
          <w:i/>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120</w:t>
      </w:r>
      <w:r w:rsidRPr="00D703B2">
        <w:rPr>
          <w:rFonts w:ascii="Times New Roman" w:hAnsi="Times New Roman" w:cs="Times New Roman"/>
          <w:i/>
        </w:rPr>
        <w:t>μm</w:t>
      </w:r>
      <w:r w:rsidRPr="00D703B2">
        <w:rPr>
          <w:rFonts w:ascii="Times New Roman" w:hAnsi="Times New Roman" w:cs="Times New Roman"/>
        </w:rPr>
        <w:t xml:space="preserve"> (blue squares). In this latter scenario, the system is divided in four tiles of lateral length 60</w:t>
      </w:r>
      <w:r w:rsidRPr="00D703B2">
        <w:rPr>
          <w:rFonts w:ascii="Times New Roman" w:hAnsi="Times New Roman" w:cs="Times New Roman"/>
          <w:i/>
        </w:rPr>
        <w:t xml:space="preserve">μm </w:t>
      </w:r>
      <w:r w:rsidRPr="00D703B2">
        <w:rPr>
          <w:rFonts w:ascii="Times New Roman" w:hAnsi="Times New Roman" w:cs="Times New Roman"/>
        </w:rPr>
        <w:t xml:space="preserve">and the correlation length of each of the tiles is independently obtained following the same protocol used in the </w:t>
      </w:r>
      <w:r w:rsidRPr="00D703B2">
        <w:rPr>
          <w:rFonts w:ascii="Times New Roman" w:hAnsi="Times New Roman" w:cs="Times New Roman"/>
          <w:i/>
        </w:rPr>
        <w:t>L</w:t>
      </w:r>
      <w:r>
        <w:rPr>
          <w:rFonts w:ascii="Times New Roman" w:hAnsi="Times New Roman" w:cs="Times New Roman"/>
          <w:i/>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60</w:t>
      </w:r>
      <w:r w:rsidRPr="00D703B2">
        <w:rPr>
          <w:rFonts w:ascii="Times New Roman" w:hAnsi="Times New Roman" w:cs="Times New Roman"/>
          <w:i/>
        </w:rPr>
        <w:t xml:space="preserve">μm </w:t>
      </w:r>
      <w:r w:rsidRPr="00D703B2">
        <w:rPr>
          <w:rFonts w:ascii="Times New Roman" w:hAnsi="Times New Roman" w:cs="Times New Roman"/>
        </w:rPr>
        <w:t>case.</w:t>
      </w:r>
    </w:p>
    <w:p w:rsidR="00F17563" w:rsidRDefault="00F17563" w:rsidP="00F17563">
      <w:pPr>
        <w:spacing w:line="240" w:lineRule="auto"/>
        <w:jc w:val="center"/>
        <w:rPr>
          <w:rFonts w:ascii="Times New Roman" w:hAnsi="Times New Roman" w:cs="Times New Roman"/>
          <w:b/>
          <w:sz w:val="36"/>
          <w:szCs w:val="24"/>
        </w:rPr>
      </w:pPr>
    </w:p>
    <w:p w:rsidR="00F17563" w:rsidRDefault="00F17563" w:rsidP="00F17563">
      <w:pPr>
        <w:spacing w:line="240" w:lineRule="auto"/>
        <w:jc w:val="center"/>
        <w:rPr>
          <w:rFonts w:ascii="Times New Roman" w:hAnsi="Times New Roman" w:cs="Times New Roman"/>
          <w:b/>
          <w:sz w:val="36"/>
          <w:szCs w:val="24"/>
        </w:rPr>
      </w:pPr>
      <w:r>
        <w:rPr>
          <w:rFonts w:ascii="Times New Roman" w:hAnsi="Times New Roman" w:cs="Times New Roman"/>
          <w:b/>
          <w:noProof/>
          <w:sz w:val="36"/>
          <w:szCs w:val="24"/>
        </w:rPr>
        <w:drawing>
          <wp:inline distT="0" distB="0" distL="0" distR="0" wp14:anchorId="5745A18E" wp14:editId="2553B788">
            <wp:extent cx="6004244" cy="26124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ition-colormap-bigsize.tif"/>
                    <pic:cNvPicPr/>
                  </pic:nvPicPr>
                  <pic:blipFill>
                    <a:blip r:embed="rId8"/>
                    <a:stretch>
                      <a:fillRect/>
                    </a:stretch>
                  </pic:blipFill>
                  <pic:spPr>
                    <a:xfrm>
                      <a:off x="0" y="0"/>
                      <a:ext cx="6004244" cy="2612434"/>
                    </a:xfrm>
                    <a:prstGeom prst="rect">
                      <a:avLst/>
                    </a:prstGeom>
                  </pic:spPr>
                </pic:pic>
              </a:graphicData>
            </a:graphic>
          </wp:inline>
        </w:drawing>
      </w:r>
    </w:p>
    <w:p w:rsidR="00F17563" w:rsidRDefault="00F17563" w:rsidP="00F17563">
      <w:pPr>
        <w:suppressAutoHyphens w:val="0"/>
        <w:spacing w:after="160" w:line="259" w:lineRule="auto"/>
        <w:jc w:val="center"/>
        <w:rPr>
          <w:rFonts w:ascii="Times New Roman" w:hAnsi="Times New Roman" w:cs="Times New Roman"/>
          <w:b/>
          <w:noProof/>
          <w:sz w:val="28"/>
        </w:rPr>
      </w:pPr>
      <w:r>
        <w:rPr>
          <w:rFonts w:ascii="Times New Roman" w:hAnsi="Times New Roman" w:cs="Times New Roman"/>
          <w:b/>
        </w:rPr>
        <w:t>Fig</w:t>
      </w:r>
      <w:r w:rsidRPr="00D703B2">
        <w:rPr>
          <w:rFonts w:ascii="Times New Roman" w:hAnsi="Times New Roman" w:cs="Times New Roman"/>
          <w:b/>
        </w:rPr>
        <w:t xml:space="preserve"> </w:t>
      </w:r>
      <w:r>
        <w:rPr>
          <w:rFonts w:ascii="Times New Roman" w:hAnsi="Times New Roman" w:cs="Times New Roman"/>
          <w:b/>
        </w:rPr>
        <w:t>A</w:t>
      </w:r>
      <w:r w:rsidRPr="00D703B2">
        <w:rPr>
          <w:rFonts w:ascii="Times New Roman" w:hAnsi="Times New Roman" w:cs="Times New Roman"/>
          <w:b/>
        </w:rPr>
        <w:t>4. System size effects on the correlation length difference between highly</w:t>
      </w:r>
      <w:r>
        <w:rPr>
          <w:rFonts w:ascii="Times New Roman" w:hAnsi="Times New Roman" w:cs="Times New Roman"/>
          <w:b/>
        </w:rPr>
        <w:t>-</w:t>
      </w:r>
      <w:r w:rsidRPr="00D703B2">
        <w:rPr>
          <w:rFonts w:ascii="Times New Roman" w:hAnsi="Times New Roman" w:cs="Times New Roman"/>
          <w:b/>
        </w:rPr>
        <w:t xml:space="preserve">adhesive and </w:t>
      </w:r>
      <w:r>
        <w:rPr>
          <w:rFonts w:ascii="Times New Roman" w:hAnsi="Times New Roman" w:cs="Times New Roman"/>
          <w:b/>
        </w:rPr>
        <w:t>weakly-adhesive</w:t>
      </w:r>
      <w:r w:rsidRPr="00D703B2">
        <w:rPr>
          <w:rFonts w:ascii="Times New Roman" w:hAnsi="Times New Roman" w:cs="Times New Roman"/>
          <w:b/>
        </w:rPr>
        <w:t xml:space="preserve"> strains. </w:t>
      </w:r>
      <w:r w:rsidRPr="00D703B2">
        <w:rPr>
          <w:rFonts w:ascii="Times New Roman" w:hAnsi="Times New Roman" w:cs="Times New Roman"/>
        </w:rPr>
        <w:t xml:space="preserve">Correlation length differences are evaluated on a system of lateral length </w:t>
      </w:r>
      <w:r w:rsidRPr="00D703B2">
        <w:rPr>
          <w:rFonts w:ascii="Times New Roman" w:hAnsi="Times New Roman" w:cs="Times New Roman"/>
          <w:i/>
        </w:rPr>
        <w:t>L</w:t>
      </w:r>
      <w:r>
        <w:rPr>
          <w:rFonts w:ascii="Times New Roman" w:hAnsi="Times New Roman" w:cs="Times New Roman"/>
          <w:i/>
        </w:rPr>
        <w:t xml:space="preserve"> </w:t>
      </w:r>
      <w:r w:rsidRPr="00D703B2">
        <w:rPr>
          <w:rFonts w:ascii="Times New Roman" w:hAnsi="Times New Roman" w:cs="Times New Roman"/>
        </w:rPr>
        <w:t>=</w:t>
      </w:r>
      <w:r>
        <w:rPr>
          <w:rFonts w:ascii="Times New Roman" w:hAnsi="Times New Roman" w:cs="Times New Roman"/>
        </w:rPr>
        <w:t xml:space="preserve"> </w:t>
      </w:r>
      <w:r w:rsidRPr="00D703B2">
        <w:rPr>
          <w:rFonts w:ascii="Times New Roman" w:hAnsi="Times New Roman" w:cs="Times New Roman"/>
        </w:rPr>
        <w:t>240</w:t>
      </w:r>
      <w:r w:rsidRPr="00D703B2">
        <w:rPr>
          <w:rFonts w:ascii="Times New Roman" w:hAnsi="Times New Roman" w:cs="Times New Roman"/>
          <w:i/>
        </w:rPr>
        <w:t>μm</w:t>
      </w:r>
      <w:r w:rsidRPr="00D703B2">
        <w:rPr>
          <w:rFonts w:ascii="Times New Roman" w:hAnsi="Times New Roman" w:cs="Times New Roman"/>
        </w:rPr>
        <w:t xml:space="preserve"> (b) and the result is compared to what would be observed using an observation window of lateral length </w:t>
      </w:r>
      <w:r w:rsidRPr="00D703B2">
        <w:rPr>
          <w:rFonts w:ascii="Times New Roman" w:hAnsi="Times New Roman" w:cs="Times New Roman"/>
          <w:i/>
        </w:rPr>
        <w:t>L</w:t>
      </w:r>
      <w:r w:rsidRPr="00D703B2">
        <w:rPr>
          <w:rFonts w:ascii="Times New Roman" w:hAnsi="Times New Roman" w:cs="Times New Roman"/>
        </w:rPr>
        <w:t xml:space="preserve"> = 60</w:t>
      </w:r>
      <w:r w:rsidRPr="00D703B2">
        <w:rPr>
          <w:rFonts w:ascii="Times New Roman" w:hAnsi="Times New Roman" w:cs="Times New Roman"/>
          <w:i/>
        </w:rPr>
        <w:t>μm</w:t>
      </w:r>
      <w:r w:rsidRPr="00D703B2">
        <w:rPr>
          <w:rFonts w:ascii="Times New Roman" w:hAnsi="Times New Roman" w:cs="Times New Roman"/>
        </w:rPr>
        <w:t xml:space="preserve"> within the system (a). In the latter case, each of</w:t>
      </w:r>
      <w:r>
        <w:rPr>
          <w:rFonts w:ascii="Times New Roman" w:hAnsi="Times New Roman" w:cs="Times New Roman"/>
        </w:rPr>
        <w:t xml:space="preserve"> the 16</w:t>
      </w:r>
      <w:r w:rsidRPr="00D703B2">
        <w:rPr>
          <w:rFonts w:ascii="Times New Roman" w:hAnsi="Times New Roman" w:cs="Times New Roman"/>
        </w:rPr>
        <w:t xml:space="preserve"> observation windows is used as an independent replicate. Therefore, averages in b) are taken</w:t>
      </w:r>
      <w:r>
        <w:rPr>
          <w:rFonts w:ascii="Times New Roman" w:hAnsi="Times New Roman" w:cs="Times New Roman"/>
        </w:rPr>
        <w:t xml:space="preserve"> over 4000 replicates whereas </w:t>
      </w:r>
      <w:r w:rsidRPr="00D703B2">
        <w:rPr>
          <w:rFonts w:ascii="Times New Roman" w:hAnsi="Times New Roman" w:cs="Times New Roman"/>
        </w:rPr>
        <w:t>64000</w:t>
      </w:r>
      <w:r>
        <w:rPr>
          <w:rFonts w:ascii="Times New Roman" w:hAnsi="Times New Roman" w:cs="Times New Roman"/>
        </w:rPr>
        <w:t xml:space="preserve"> independent realizations are gathered for</w:t>
      </w:r>
      <w:r w:rsidRPr="00D703B2">
        <w:rPr>
          <w:rFonts w:ascii="Times New Roman" w:hAnsi="Times New Roman" w:cs="Times New Roman"/>
        </w:rPr>
        <w:t xml:space="preserve"> the smaller system.</w:t>
      </w:r>
    </w:p>
    <w:p w:rsidR="00F17563" w:rsidRDefault="00F17563" w:rsidP="00F17563">
      <w:pPr>
        <w:suppressAutoHyphens w:val="0"/>
        <w:spacing w:after="160" w:line="259"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17B49056" wp14:editId="0511E200">
            <wp:extent cx="5909781" cy="2929109"/>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dev-vs-dens.tif"/>
                    <pic:cNvPicPr/>
                  </pic:nvPicPr>
                  <pic:blipFill>
                    <a:blip r:embed="rId9"/>
                    <a:stretch>
                      <a:fillRect/>
                    </a:stretch>
                  </pic:blipFill>
                  <pic:spPr>
                    <a:xfrm>
                      <a:off x="0" y="0"/>
                      <a:ext cx="5906970" cy="2927716"/>
                    </a:xfrm>
                    <a:prstGeom prst="rect">
                      <a:avLst/>
                    </a:prstGeom>
                  </pic:spPr>
                </pic:pic>
              </a:graphicData>
            </a:graphic>
          </wp:inline>
        </w:drawing>
      </w:r>
    </w:p>
    <w:p w:rsidR="00F17563" w:rsidRDefault="00F17563" w:rsidP="00F17563">
      <w:pPr>
        <w:suppressAutoHyphens w:val="0"/>
        <w:spacing w:after="160" w:line="259" w:lineRule="auto"/>
        <w:jc w:val="center"/>
        <w:rPr>
          <w:rFonts w:ascii="Times New Roman" w:hAnsi="Times New Roman" w:cs="Times New Roman"/>
        </w:rPr>
      </w:pPr>
      <w:r>
        <w:rPr>
          <w:rFonts w:ascii="Times New Roman" w:hAnsi="Times New Roman" w:cs="Times New Roman"/>
          <w:b/>
        </w:rPr>
        <w:t>Fig</w:t>
      </w:r>
      <w:r w:rsidRPr="00D703B2">
        <w:rPr>
          <w:rFonts w:ascii="Times New Roman" w:hAnsi="Times New Roman" w:cs="Times New Roman"/>
          <w:b/>
        </w:rPr>
        <w:t xml:space="preserve"> </w:t>
      </w:r>
      <w:r>
        <w:rPr>
          <w:rFonts w:ascii="Times New Roman" w:hAnsi="Times New Roman" w:cs="Times New Roman"/>
          <w:b/>
        </w:rPr>
        <w:t>A</w:t>
      </w:r>
      <w:r w:rsidRPr="00D703B2">
        <w:rPr>
          <w:rFonts w:ascii="Times New Roman" w:hAnsi="Times New Roman" w:cs="Times New Roman"/>
          <w:b/>
        </w:rPr>
        <w:t xml:space="preserve">5. Variability in the correlation length is influenced by system size. </w:t>
      </w:r>
      <w:r w:rsidRPr="00D703B2">
        <w:rPr>
          <w:rFonts w:ascii="Times New Roman" w:hAnsi="Times New Roman" w:cs="Times New Roman"/>
        </w:rPr>
        <w:t>Correlation length standard deviation versus initial population density (a), and initial number of cells (b). Color co</w:t>
      </w:r>
      <w:r>
        <w:rPr>
          <w:rFonts w:ascii="Times New Roman" w:hAnsi="Times New Roman" w:cs="Times New Roman"/>
        </w:rPr>
        <w:t>de is maintained in both panels</w:t>
      </w:r>
    </w:p>
    <w:p w:rsidR="00340CAF" w:rsidRDefault="00340CAF" w:rsidP="00F17563">
      <w:pPr>
        <w:suppressAutoHyphens w:val="0"/>
        <w:spacing w:after="160" w:line="259" w:lineRule="auto"/>
      </w:pPr>
    </w:p>
    <w:sectPr w:rsidR="00340C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 PL UMing HK">
    <w:charset w:val="80"/>
    <w:family w:val="modern"/>
    <w:pitch w:val="fixed"/>
    <w:sig w:usb0="A00002FF" w:usb1="3ACFFDFF" w:usb2="00000036" w:usb3="00000000" w:csb0="0016009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63"/>
    <w:rsid w:val="00225209"/>
    <w:rsid w:val="002D7E32"/>
    <w:rsid w:val="00340CAF"/>
    <w:rsid w:val="00395FE9"/>
    <w:rsid w:val="003C2068"/>
    <w:rsid w:val="0085739D"/>
    <w:rsid w:val="008D3713"/>
    <w:rsid w:val="00B302B3"/>
    <w:rsid w:val="00D079CC"/>
    <w:rsid w:val="00F1756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B71C6-2843-4C53-8986-90C0E05C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563"/>
    <w:pPr>
      <w:suppressAutoHyphens/>
      <w:spacing w:after="0" w:line="480" w:lineRule="auto"/>
    </w:pPr>
    <w:rPr>
      <w:rFonts w:ascii="Calibri" w:eastAsia="AR PL UMing HK"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5FE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5FE9"/>
    <w:rPr>
      <w:rFonts w:ascii="Segoe UI" w:eastAsia="AR PL UMing HK"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2E98D284-1497-461F-A27F-04A61532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1180</Words>
  <Characters>6731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Martinez Garcia</dc:creator>
  <cp:keywords/>
  <dc:description/>
  <cp:lastModifiedBy>Ricardo Martinez Garcia</cp:lastModifiedBy>
  <cp:revision>4</cp:revision>
  <dcterms:created xsi:type="dcterms:W3CDTF">2018-02-02T13:44:00Z</dcterms:created>
  <dcterms:modified xsi:type="dcterms:W3CDTF">2018-03-20T20:22:00Z</dcterms:modified>
</cp:coreProperties>
</file>