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96" w:rsidRDefault="001E062F">
      <w:pPr>
        <w:pStyle w:val="Heading1"/>
        <w:rPr>
          <w:rFonts w:ascii="Arial" w:hAnsi="Arial" w:cs="Arial"/>
          <w:color w:val="000000" w:themeColor="text1"/>
        </w:rPr>
      </w:pPr>
      <w:bookmarkStart w:id="0" w:name="_Toc461376779"/>
      <w:bookmarkStart w:id="1" w:name="_Toc449388458"/>
      <w:bookmarkEnd w:id="0"/>
      <w:bookmarkEnd w:id="1"/>
      <w:r>
        <w:rPr>
          <w:rFonts w:ascii="Arial" w:hAnsi="Arial" w:cs="Arial"/>
          <w:color w:val="000000" w:themeColor="text1"/>
        </w:rPr>
        <w:t>Supporting Information 7: Regional cell models</w:t>
      </w:r>
    </w:p>
    <w:p w:rsidR="00A86E96" w:rsidRDefault="00A86E96">
      <w:pPr>
        <w:rPr>
          <w:rFonts w:ascii="Arial" w:hAnsi="Arial" w:cs="Arial"/>
          <w:color w:val="000000" w:themeColor="text1"/>
        </w:rPr>
      </w:pPr>
    </w:p>
    <w:p w:rsidR="00A86E96" w:rsidRDefault="001E062F">
      <w:pPr>
        <w:jc w:val="both"/>
      </w:pPr>
      <w:r>
        <w:rPr>
          <w:rFonts w:ascii="Arial" w:hAnsi="Arial" w:cs="Arial"/>
          <w:color w:val="000000" w:themeColor="text1"/>
        </w:rPr>
        <w:t xml:space="preserve">Regional cell models are implemented based on previous modelling studies </w:t>
      </w:r>
      <w:r>
        <w:fldChar w:fldCharType="begin"/>
      </w:r>
      <w:r>
        <w:instrText>ADDIN ZOTERO_ITEM CSL_CITATION {"citationID":"1snuoins4l","properties":{"formattedCitation":"{\\rtf [1\\uc0\\u8211{}3]}","plainCitation":"[1–3]"},"citationItems":[{"id":290,"uris":["http://zotero.org/users/945647/items/HJJ7C4TG"],"uri":["http://zotero.org/users/945647/items/HJJ7C4TG"],"itemData":{"id":290,"type":"article-journal","title":"Heterogeneous three-dimensional anatomical and electrophysiological model of human atria","container-title":"Philosophical Transactions. Series A, Mathematical, Physical, and Engineering Sciences","page":"1465-1481","volume":"364","issue":"1843","source":"NCBI PubMed","abstract":"Investigating the mechanisms underlying the genesis and conduction of electrical excitation in the atria at physiological and pathological states is of great importance. To provide knowledge concerning the mechanisms of excitation, we constructed a biophysical detailed and anatomically accurate computer model of human atria that incorporates both structural and electrophysiological heterogeneities. The three-dimensional geometry was extracted from the visible female dataset. The sinoatrial node (SAN) and atrium, including crista terminalis (CT), pectinate muscles (PM), appendages (APG) and Bachmann's bundle (BB) were segmented in this work. Fibre orientation in CT, PM and BB was set to local longitudinal direction. Descriptions for all used cell types were based on modifications of the Courtemanche et al. model of a human atrial cell. Maximum conductances of Ito, IKr and ICa,L were modified for PM, CT, APG and atrioventricular ring to reproduce measured action potentials (AP). Pacemaker activity in the human SAN was reproduced by removing IK1, but including If, ICa,T, and gradients of channel conductances as described in previous studies for heterogeneous rabbit SAN. Anisotropic conduction was computed with a monodomain model using the finite element method. The transversal to longitudinal ratio of conductivity for PM, CT and BB was 1:9. Atrial working myocardium (AWM) was set to be isotropic. Simulation of atrial electrophysiology showed initiation of APs in the SAN centre. The excitation spread afterwards to the periphery near to the region of the CT and preferentially towards the atrioventricular region. The excitation extends over the right atrium along PM. Both CT and PM activated the right AWM. Earliest activation of the left atrium was through BB and excitation spread over to the APG. The conduction velocities were 0.6ms-1 for AWM, 1.2ms-1 for CT, 1.6ms-1 for PM and 1.1ms-1 for BB at a rate of 63bpm. The simulations revealed that bundles form dominant pathways for atrial conduction. The preferential conduction towards CT and along PM is comparable with clinical mapping. Repolarization is more homogeneous than excitation due to the heterogeneous distribution of electrophysiological properties and hence the action potential duration.","DOI":"10.1098/rsta.2006.1781","ISSN":"1364-503X","note":"PMID: 16766355","journalAbbreviation":"Philos Transact A Math Phys Eng Sci","author":[{"family":"Seemann","given":"Gunnar"},{"family":"Höper","given":"Christine"},{"family":"Sachse","given":"Frank B"},{"family":"Dössel","given":"Olaf"},{"family":"Holden","given":"Arun V"},{"family":"Zhang","given":"Henggui"}],"issued":{"date-parts":[["2006",6,15]]},"PMID":"16766355"}},{"id":1358,"uris":["http://zotero.org/users/945647/items/3CFSATG7"],"uri":["http://zotero.org/users/945647/items/3CFSATG7"],"itemData":{"id":1358,"type":"article-journal","title":"Modelling of heterogeneous human atrial electrophysiology","container-title":"Biomedizinische Technik. Biomedical engineering","volume":"57 Suppl 1","source":"NCBI PubMed","DOI":"10.1515/bmt-2012-4215","ISSN":"1862-278X","note":"PMID: 23096331","journalAbbreviation":"Biomed Tech (Berl)","author":[{"family":"Dorn","given":"A"},{"family":"Krueger","given":"M W"},{"family":"Seemann","given":"G"},{"family":"Doessel","given":"O"}],"issued":{"date-parts":[["2012"]]},"PMID":"23096331"}},{"id":1670,"uris":["http://zotero.org/users/945647/items/TAUKMTAW"],"uri":["http://zotero.org/users/945647/items/TAUKMTAW"],"itemData":{"id":1670,"type":"article-journal","title":"Pro-arrhythmogenic Effects of Atrial Fibrillation Induced Electrical Remodelling- Insights from the 3D Virtual Human Atria","container-title":"The Journal of Physiology","page":"4249-4272","volume":"591","source":"CrossRef","DOI":"10.1113/jphysiol.2013.254987","ISSN":"00223751","author":[{"family":"Colman","given":"Michael A."},{"family":"Aslanidi","given":"Oleg V."},{"family":"Kharche","given":"Sanjay"},{"family":"Boyett","given":"Mark R."},{"family":"Garratt","given":"Clifford"},{"family":"Hancox","given":"Jules C."},{"family":"Zhang","given":"Henggui"}],"issued":{"date-parts":[["2013",9,1]]}}}],"schema":"https://github.com/citation-style-language/schema/raw/master/csl-citation.json"}</w:instrText>
      </w:r>
      <w:r>
        <w:fldChar w:fldCharType="separate"/>
      </w:r>
      <w:bookmarkStart w:id="2" w:name="__Fieldmark__8771_1581870009"/>
      <w:r>
        <w:rPr>
          <w:rFonts w:ascii="Arial" w:hAnsi="Arial" w:cs="Arial"/>
          <w:color w:val="000000" w:themeColor="text1"/>
          <w:szCs w:val="24"/>
        </w:rPr>
        <w:t>[</w:t>
      </w:r>
      <w:bookmarkStart w:id="3" w:name="__Fieldmark__639_1759739491"/>
      <w:bookmarkStart w:id="4" w:name="__Fieldmark__487_918509994"/>
      <w:r>
        <w:rPr>
          <w:rFonts w:ascii="Arial" w:hAnsi="Arial" w:cs="Arial"/>
          <w:color w:val="000000" w:themeColor="text1"/>
          <w:szCs w:val="24"/>
        </w:rPr>
        <w:t>1–3]</w:t>
      </w:r>
      <w:r>
        <w:fldChar w:fldCharType="end"/>
      </w:r>
      <w:bookmarkEnd w:id="2"/>
      <w:bookmarkEnd w:id="3"/>
      <w:bookmarkEnd w:id="4"/>
      <w:r>
        <w:rPr>
          <w:rFonts w:ascii="Arial" w:hAnsi="Arial" w:cs="Arial"/>
          <w:color w:val="000000" w:themeColor="text1"/>
        </w:rPr>
        <w:t xml:space="preserve"> utilizing both canine and human data. All regional cell models are derived from the baseline cell model (RA) by adjusting the current densities of various ion currents, according to the relative differences betwee</w:t>
      </w:r>
      <w:r w:rsidR="00455A3A">
        <w:rPr>
          <w:rFonts w:ascii="Arial" w:hAnsi="Arial" w:cs="Arial"/>
          <w:color w:val="000000" w:themeColor="text1"/>
        </w:rPr>
        <w:t>n different regions (Table A</w:t>
      </w:r>
      <w:r>
        <w:rPr>
          <w:rFonts w:ascii="Arial" w:hAnsi="Arial" w:cs="Arial"/>
          <w:color w:val="000000" w:themeColor="text1"/>
        </w:rPr>
        <w:t>).</w:t>
      </w:r>
    </w:p>
    <w:p w:rsidR="00A86E96" w:rsidRDefault="00A86E96">
      <w:pPr>
        <w:jc w:val="both"/>
        <w:rPr>
          <w:rFonts w:ascii="Arial" w:hAnsi="Arial" w:cs="Arial"/>
          <w:color w:val="000000" w:themeColor="text1"/>
        </w:rPr>
      </w:pPr>
    </w:p>
    <w:tbl>
      <w:tblPr>
        <w:tblStyle w:val="TableGrid"/>
        <w:tblW w:w="9072" w:type="dxa"/>
        <w:tblInd w:w="98" w:type="dxa"/>
        <w:tblCellMar>
          <w:left w:w="98" w:type="dxa"/>
        </w:tblCellMar>
        <w:tblLook w:val="04A0" w:firstRow="1" w:lastRow="0" w:firstColumn="1" w:lastColumn="0" w:noHBand="0" w:noVBand="1"/>
      </w:tblPr>
      <w:tblGrid>
        <w:gridCol w:w="818"/>
        <w:gridCol w:w="924"/>
        <w:gridCol w:w="923"/>
        <w:gridCol w:w="925"/>
        <w:gridCol w:w="925"/>
        <w:gridCol w:w="922"/>
        <w:gridCol w:w="926"/>
        <w:gridCol w:w="922"/>
        <w:gridCol w:w="926"/>
        <w:gridCol w:w="861"/>
      </w:tblGrid>
      <w:tr w:rsidR="00A86E96">
        <w:tc>
          <w:tcPr>
            <w:tcW w:w="817" w:type="dxa"/>
            <w:shd w:val="clear" w:color="auto" w:fill="auto"/>
            <w:tcMar>
              <w:left w:w="98" w:type="dxa"/>
            </w:tcMar>
          </w:tcPr>
          <w:p w:rsidR="00A86E96" w:rsidRDefault="00A86E96">
            <w:pPr>
              <w:spacing w:after="0"/>
              <w:rPr>
                <w:rFonts w:ascii="Arial" w:hAnsi="Arial" w:cs="Arial"/>
                <w:color w:val="000000"/>
              </w:rPr>
            </w:pPr>
          </w:p>
        </w:tc>
        <w:tc>
          <w:tcPr>
            <w:tcW w:w="924"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CT</w:t>
            </w:r>
          </w:p>
        </w:tc>
        <w:tc>
          <w:tcPr>
            <w:tcW w:w="923"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BB</w:t>
            </w:r>
          </w:p>
        </w:tc>
        <w:tc>
          <w:tcPr>
            <w:tcW w:w="925"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PM</w:t>
            </w:r>
          </w:p>
        </w:tc>
        <w:tc>
          <w:tcPr>
            <w:tcW w:w="925"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AVR</w:t>
            </w:r>
          </w:p>
        </w:tc>
        <w:tc>
          <w:tcPr>
            <w:tcW w:w="922"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RAA</w:t>
            </w:r>
          </w:p>
        </w:tc>
        <w:tc>
          <w:tcPr>
            <w:tcW w:w="926"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AS</w:t>
            </w:r>
          </w:p>
        </w:tc>
        <w:tc>
          <w:tcPr>
            <w:tcW w:w="922"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LA</w:t>
            </w:r>
          </w:p>
        </w:tc>
        <w:tc>
          <w:tcPr>
            <w:tcW w:w="926"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LAA</w:t>
            </w:r>
          </w:p>
        </w:tc>
        <w:tc>
          <w:tcPr>
            <w:tcW w:w="861"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PV</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proofErr w:type="spellStart"/>
            <w:r>
              <w:rPr>
                <w:rFonts w:ascii="Arial" w:hAnsi="Arial" w:cs="Arial"/>
                <w:b/>
                <w:color w:val="000000" w:themeColor="text1"/>
              </w:rPr>
              <w:t>I</w:t>
            </w:r>
            <w:r>
              <w:rPr>
                <w:rFonts w:ascii="Arial" w:hAnsi="Arial" w:cs="Arial"/>
                <w:b/>
                <w:color w:val="000000" w:themeColor="text1"/>
                <w:vertAlign w:val="subscript"/>
              </w:rPr>
              <w:t>CaL</w:t>
            </w:r>
            <w:proofErr w:type="spellEnd"/>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x1.68</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x1.72</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x0.94</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x0.67</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x0.4</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A86E96">
            <w:pPr>
              <w:spacing w:after="0"/>
              <w:rPr>
                <w:rFonts w:ascii="Arial" w:hAnsi="Arial" w:cs="Arial"/>
                <w:color w:val="000000"/>
              </w:rPr>
            </w:pP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x0.7</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I</w:t>
            </w:r>
            <w:r>
              <w:rPr>
                <w:rFonts w:ascii="Arial" w:hAnsi="Arial" w:cs="Arial"/>
                <w:b/>
                <w:color w:val="000000" w:themeColor="text1"/>
                <w:vertAlign w:val="subscript"/>
              </w:rPr>
              <w:t>to</w:t>
            </w:r>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x1.35</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x1.35</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x0.6</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x0.53</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x0.212</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x0.53</w:t>
            </w: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x0.75</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I</w:t>
            </w:r>
            <w:r>
              <w:rPr>
                <w:rFonts w:ascii="Arial" w:hAnsi="Arial" w:cs="Arial"/>
                <w:b/>
                <w:color w:val="000000" w:themeColor="text1"/>
                <w:vertAlign w:val="subscript"/>
              </w:rPr>
              <w:t>Kur</w:t>
            </w:r>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x0.667</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x0.8</w:t>
            </w: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I</w:t>
            </w:r>
            <w:r>
              <w:rPr>
                <w:rFonts w:ascii="Arial" w:hAnsi="Arial" w:cs="Arial"/>
                <w:b/>
                <w:color w:val="000000" w:themeColor="text1"/>
                <w:vertAlign w:val="subscript"/>
              </w:rPr>
              <w:t>Na</w:t>
            </w:r>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x1.3</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A86E96">
            <w:pPr>
              <w:spacing w:after="0"/>
              <w:rPr>
                <w:rFonts w:ascii="Arial" w:hAnsi="Arial" w:cs="Arial"/>
                <w:color w:val="000000"/>
              </w:rPr>
            </w:pP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I</w:t>
            </w:r>
            <w:r>
              <w:rPr>
                <w:rFonts w:ascii="Arial" w:hAnsi="Arial" w:cs="Arial"/>
                <w:b/>
                <w:color w:val="000000" w:themeColor="text1"/>
                <w:vertAlign w:val="subscript"/>
              </w:rPr>
              <w:t>Kr</w:t>
            </w:r>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x1.63</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x1.6</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x1.6</w:t>
            </w: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x2.4</w:t>
            </w:r>
          </w:p>
        </w:tc>
      </w:tr>
      <w:tr w:rsidR="00A86E96">
        <w:tc>
          <w:tcPr>
            <w:tcW w:w="817" w:type="dxa"/>
            <w:shd w:val="clear" w:color="auto" w:fill="auto"/>
            <w:tcMar>
              <w:left w:w="98" w:type="dxa"/>
            </w:tcMar>
          </w:tcPr>
          <w:p w:rsidR="00A86E96" w:rsidRDefault="001E062F">
            <w:pPr>
              <w:spacing w:after="0"/>
              <w:rPr>
                <w:rFonts w:ascii="Arial" w:hAnsi="Arial" w:cs="Arial"/>
                <w:b/>
                <w:color w:val="000000" w:themeColor="text1"/>
              </w:rPr>
            </w:pPr>
            <w:r>
              <w:rPr>
                <w:rFonts w:ascii="Arial" w:hAnsi="Arial" w:cs="Arial"/>
                <w:b/>
                <w:color w:val="000000" w:themeColor="text1"/>
              </w:rPr>
              <w:t>I</w:t>
            </w:r>
            <w:r>
              <w:rPr>
                <w:rFonts w:ascii="Arial" w:hAnsi="Arial" w:cs="Arial"/>
                <w:b/>
                <w:color w:val="000000" w:themeColor="text1"/>
                <w:vertAlign w:val="subscript"/>
              </w:rPr>
              <w:t>K1</w:t>
            </w:r>
          </w:p>
        </w:tc>
        <w:tc>
          <w:tcPr>
            <w:tcW w:w="924"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3"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5"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V</w:t>
            </w:r>
            <w:r>
              <w:rPr>
                <w:rFonts w:ascii="Arial" w:hAnsi="Arial" w:cs="Arial"/>
                <w:color w:val="000000" w:themeColor="text1"/>
                <w:vertAlign w:val="subscript"/>
              </w:rPr>
              <w:t>1/2</w:t>
            </w:r>
            <w:r>
              <w:rPr>
                <w:rFonts w:ascii="Arial" w:hAnsi="Arial" w:cs="Arial"/>
                <w:color w:val="000000" w:themeColor="text1"/>
              </w:rPr>
              <w:t xml:space="preserve"> -6</w:t>
            </w:r>
          </w:p>
        </w:tc>
        <w:tc>
          <w:tcPr>
            <w:tcW w:w="922"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w:t>
            </w:r>
          </w:p>
        </w:tc>
        <w:tc>
          <w:tcPr>
            <w:tcW w:w="926" w:type="dxa"/>
            <w:shd w:val="clear" w:color="auto" w:fill="auto"/>
            <w:tcMar>
              <w:left w:w="98" w:type="dxa"/>
            </w:tcMar>
          </w:tcPr>
          <w:p w:rsidR="00A86E96" w:rsidRDefault="00A86E96">
            <w:pPr>
              <w:spacing w:after="0"/>
              <w:rPr>
                <w:rFonts w:ascii="Arial" w:hAnsi="Arial" w:cs="Arial"/>
                <w:color w:val="000000"/>
              </w:rPr>
            </w:pPr>
          </w:p>
        </w:tc>
        <w:tc>
          <w:tcPr>
            <w:tcW w:w="861" w:type="dxa"/>
            <w:shd w:val="clear" w:color="auto" w:fill="auto"/>
            <w:tcMar>
              <w:left w:w="98" w:type="dxa"/>
            </w:tcMar>
          </w:tcPr>
          <w:p w:rsidR="00A86E96" w:rsidRDefault="001E062F">
            <w:pPr>
              <w:spacing w:after="0"/>
              <w:rPr>
                <w:rFonts w:ascii="Arial" w:hAnsi="Arial" w:cs="Arial"/>
                <w:color w:val="000000" w:themeColor="text1"/>
              </w:rPr>
            </w:pPr>
            <w:r>
              <w:rPr>
                <w:rFonts w:ascii="Arial" w:hAnsi="Arial" w:cs="Arial"/>
                <w:color w:val="000000" w:themeColor="text1"/>
              </w:rPr>
              <w:t>x0.62</w:t>
            </w:r>
          </w:p>
        </w:tc>
      </w:tr>
    </w:tbl>
    <w:p w:rsidR="00A86E96" w:rsidRDefault="00A86E96">
      <w:pPr>
        <w:rPr>
          <w:rFonts w:ascii="Arial" w:hAnsi="Arial" w:cs="Arial"/>
          <w:b/>
          <w:color w:val="000000" w:themeColor="text1"/>
        </w:rPr>
      </w:pPr>
    </w:p>
    <w:p w:rsidR="00A86E96" w:rsidRDefault="00455A3A">
      <w:pPr>
        <w:rPr>
          <w:rFonts w:ascii="Arial" w:hAnsi="Arial" w:cs="Arial"/>
          <w:color w:val="000000" w:themeColor="text1"/>
        </w:rPr>
      </w:pPr>
      <w:r>
        <w:rPr>
          <w:rFonts w:ascii="Arial" w:hAnsi="Arial" w:cs="Arial"/>
          <w:b/>
          <w:color w:val="000000" w:themeColor="text1"/>
        </w:rPr>
        <w:t>Table A</w:t>
      </w:r>
      <w:r w:rsidR="001E062F">
        <w:rPr>
          <w:rFonts w:ascii="Arial" w:hAnsi="Arial" w:cs="Arial"/>
          <w:b/>
          <w:color w:val="000000" w:themeColor="text1"/>
        </w:rPr>
        <w:t xml:space="preserve">. </w:t>
      </w:r>
      <w:r w:rsidR="001E062F">
        <w:rPr>
          <w:rFonts w:ascii="Arial" w:hAnsi="Arial" w:cs="Arial"/>
          <w:color w:val="000000" w:themeColor="text1"/>
        </w:rPr>
        <w:t xml:space="preserve">Scaling factors for each current for various regions relative to the RA (baseline) cell models. CT = crista terminalis, BB = Bachmann’s bundle, PM = pectinate muscles, AVR = </w:t>
      </w:r>
      <w:proofErr w:type="spellStart"/>
      <w:r w:rsidR="001E062F">
        <w:rPr>
          <w:rFonts w:ascii="Arial" w:hAnsi="Arial" w:cs="Arial"/>
          <w:color w:val="000000" w:themeColor="text1"/>
        </w:rPr>
        <w:t>atrio</w:t>
      </w:r>
      <w:proofErr w:type="spellEnd"/>
      <w:r w:rsidR="001E062F">
        <w:rPr>
          <w:rFonts w:ascii="Arial" w:hAnsi="Arial" w:cs="Arial"/>
          <w:color w:val="000000" w:themeColor="text1"/>
        </w:rPr>
        <w:t>-ventricular ring, RAA = right atrial appendage, AS = atrial septum, LA = left atrium, LAA = left atrial appendage, PV = pulmonary veins.</w:t>
      </w:r>
    </w:p>
    <w:p w:rsidR="00A86E96" w:rsidRDefault="00A86E96">
      <w:pPr>
        <w:rPr>
          <w:rFonts w:ascii="Arial" w:hAnsi="Arial" w:cs="Arial"/>
          <w:color w:val="000000" w:themeColor="text1"/>
        </w:rPr>
      </w:pPr>
    </w:p>
    <w:p w:rsidR="00A86E96" w:rsidRDefault="001E062F" w:rsidP="00AE4F15">
      <w:pPr>
        <w:jc w:val="both"/>
        <w:rPr>
          <w:rFonts w:ascii="Arial" w:hAnsi="Arial" w:cs="Arial"/>
          <w:color w:val="000000" w:themeColor="text1"/>
        </w:rPr>
      </w:pPr>
      <w:r>
        <w:rPr>
          <w:rFonts w:ascii="Arial" w:hAnsi="Arial" w:cs="Arial"/>
          <w:color w:val="000000" w:themeColor="text1"/>
        </w:rPr>
        <w:t xml:space="preserve">These parameters were used in the </w:t>
      </w:r>
      <w:r>
        <w:rPr>
          <w:rFonts w:ascii="Arial" w:hAnsi="Arial" w:cs="Arial"/>
          <w:i/>
          <w:color w:val="000000" w:themeColor="text1"/>
        </w:rPr>
        <w:t>Colman</w:t>
      </w:r>
      <w:r>
        <w:rPr>
          <w:rFonts w:ascii="Arial" w:hAnsi="Arial" w:cs="Arial"/>
          <w:color w:val="000000" w:themeColor="text1"/>
        </w:rPr>
        <w:t xml:space="preserve"> </w:t>
      </w:r>
      <w:r>
        <w:rPr>
          <w:rFonts w:ascii="Arial" w:hAnsi="Arial" w:cs="Arial"/>
          <w:i/>
          <w:color w:val="000000" w:themeColor="text1"/>
        </w:rPr>
        <w:t>et al.</w:t>
      </w:r>
      <w:r>
        <w:rPr>
          <w:rFonts w:ascii="Arial" w:hAnsi="Arial" w:cs="Arial"/>
          <w:color w:val="000000" w:themeColor="text1"/>
        </w:rPr>
        <w:t xml:space="preserve"> and </w:t>
      </w:r>
      <w:proofErr w:type="spellStart"/>
      <w:r>
        <w:rPr>
          <w:rFonts w:ascii="Arial" w:hAnsi="Arial" w:cs="Arial"/>
          <w:i/>
          <w:color w:val="000000" w:themeColor="text1"/>
        </w:rPr>
        <w:t>Courtemanche</w:t>
      </w:r>
      <w:proofErr w:type="spellEnd"/>
      <w:r>
        <w:rPr>
          <w:rFonts w:ascii="Arial" w:hAnsi="Arial" w:cs="Arial"/>
          <w:color w:val="000000" w:themeColor="text1"/>
        </w:rPr>
        <w:t xml:space="preserve"> </w:t>
      </w:r>
      <w:r>
        <w:rPr>
          <w:rFonts w:ascii="Arial" w:hAnsi="Arial" w:cs="Arial"/>
          <w:i/>
          <w:color w:val="000000" w:themeColor="text1"/>
        </w:rPr>
        <w:t>et al.</w:t>
      </w:r>
      <w:r>
        <w:rPr>
          <w:rFonts w:ascii="Arial" w:hAnsi="Arial" w:cs="Arial"/>
          <w:color w:val="000000" w:themeColor="text1"/>
        </w:rPr>
        <w:t xml:space="preserve"> cell models to produce the family of re</w:t>
      </w:r>
      <w:r w:rsidR="00455A3A">
        <w:rPr>
          <w:rFonts w:ascii="Arial" w:hAnsi="Arial" w:cs="Arial"/>
          <w:color w:val="000000" w:themeColor="text1"/>
        </w:rPr>
        <w:t>gional cell models (Figure A</w:t>
      </w:r>
      <w:r>
        <w:rPr>
          <w:rFonts w:ascii="Arial" w:hAnsi="Arial" w:cs="Arial"/>
          <w:color w:val="000000" w:themeColor="text1"/>
        </w:rPr>
        <w:t>).</w:t>
      </w:r>
    </w:p>
    <w:p w:rsidR="00A86E96" w:rsidRDefault="001E062F">
      <w:pPr>
        <w:jc w:val="both"/>
        <w:rPr>
          <w:rFonts w:ascii="Arial" w:hAnsi="Arial" w:cs="Arial"/>
          <w:color w:val="000000" w:themeColor="text1"/>
        </w:rPr>
      </w:pPr>
      <w:r>
        <w:rPr>
          <w:rFonts w:ascii="Arial" w:hAnsi="Arial" w:cs="Arial"/>
          <w:color w:val="000000" w:themeColor="text1"/>
        </w:rPr>
        <w:t xml:space="preserve">For the purposes of investigation into the behaviour of EADs in the right atrium, cell models were derived for the CT and PM for the </w:t>
      </w:r>
      <w:proofErr w:type="spellStart"/>
      <w:r>
        <w:rPr>
          <w:rFonts w:ascii="Arial" w:hAnsi="Arial" w:cs="Arial"/>
          <w:i/>
          <w:color w:val="000000" w:themeColor="text1"/>
        </w:rPr>
        <w:t>Grandi</w:t>
      </w:r>
      <w:proofErr w:type="spellEnd"/>
      <w:r>
        <w:rPr>
          <w:rFonts w:ascii="Arial" w:hAnsi="Arial" w:cs="Arial"/>
          <w:color w:val="000000" w:themeColor="text1"/>
        </w:rPr>
        <w:t xml:space="preserve"> </w:t>
      </w:r>
      <w:r>
        <w:rPr>
          <w:rFonts w:ascii="Arial" w:hAnsi="Arial" w:cs="Arial"/>
          <w:i/>
          <w:color w:val="000000" w:themeColor="text1"/>
        </w:rPr>
        <w:t>et al.</w:t>
      </w:r>
      <w:r>
        <w:rPr>
          <w:rFonts w:ascii="Arial" w:hAnsi="Arial" w:cs="Arial"/>
          <w:color w:val="000000" w:themeColor="text1"/>
        </w:rPr>
        <w:t xml:space="preserve"> model usi</w:t>
      </w:r>
      <w:r w:rsidR="00455A3A">
        <w:rPr>
          <w:rFonts w:ascii="Arial" w:hAnsi="Arial" w:cs="Arial"/>
          <w:color w:val="000000" w:themeColor="text1"/>
        </w:rPr>
        <w:t>ng the parameters in Table A (Figure B</w:t>
      </w:r>
      <w:bookmarkStart w:id="5" w:name="_GoBack"/>
      <w:bookmarkEnd w:id="5"/>
      <w:r>
        <w:rPr>
          <w:rFonts w:ascii="Arial" w:hAnsi="Arial" w:cs="Arial"/>
          <w:color w:val="000000" w:themeColor="text1"/>
        </w:rPr>
        <w:t xml:space="preserve">). For this implementation, the conductance of </w:t>
      </w:r>
      <w:proofErr w:type="spellStart"/>
      <w:r>
        <w:rPr>
          <w:rFonts w:ascii="Arial" w:hAnsi="Arial" w:cs="Arial"/>
          <w:i/>
          <w:color w:val="000000" w:themeColor="text1"/>
        </w:rPr>
        <w:t>I</w:t>
      </w:r>
      <w:r>
        <w:rPr>
          <w:rFonts w:ascii="Arial" w:hAnsi="Arial" w:cs="Arial"/>
          <w:i/>
          <w:color w:val="000000" w:themeColor="text1"/>
          <w:vertAlign w:val="subscript"/>
        </w:rPr>
        <w:t>CaL</w:t>
      </w:r>
      <w:proofErr w:type="spellEnd"/>
      <w:r>
        <w:rPr>
          <w:rFonts w:ascii="Arial" w:hAnsi="Arial" w:cs="Arial"/>
          <w:color w:val="000000" w:themeColor="text1"/>
        </w:rPr>
        <w:t xml:space="preserve"> in the CT was increased by a factor of 1.2 only as EADs were produced in normal conditions at the full 1.68 scaling of </w:t>
      </w:r>
      <w:proofErr w:type="spellStart"/>
      <w:r>
        <w:rPr>
          <w:rFonts w:ascii="Arial" w:hAnsi="Arial" w:cs="Arial"/>
          <w:i/>
          <w:color w:val="000000" w:themeColor="text1"/>
        </w:rPr>
        <w:t>I</w:t>
      </w:r>
      <w:r>
        <w:rPr>
          <w:rFonts w:ascii="Arial" w:hAnsi="Arial" w:cs="Arial"/>
          <w:color w:val="000000" w:themeColor="text1"/>
          <w:vertAlign w:val="subscript"/>
        </w:rPr>
        <w:t>CaL</w:t>
      </w:r>
      <w:proofErr w:type="spellEnd"/>
      <w:r>
        <w:rPr>
          <w:rFonts w:ascii="Arial" w:hAnsi="Arial" w:cs="Arial"/>
          <w:color w:val="000000" w:themeColor="text1"/>
        </w:rPr>
        <w:t>.</w:t>
      </w: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A86E96">
      <w:pPr>
        <w:jc w:val="both"/>
        <w:rPr>
          <w:rFonts w:ascii="Arial" w:hAnsi="Arial" w:cs="Arial"/>
          <w:color w:val="000000" w:themeColor="text1"/>
        </w:rPr>
      </w:pPr>
    </w:p>
    <w:p w:rsidR="00A86E96" w:rsidRDefault="001E062F">
      <w:pPr>
        <w:jc w:val="center"/>
        <w:rPr>
          <w:rFonts w:ascii="Arial" w:hAnsi="Arial" w:cs="Arial"/>
          <w:b/>
          <w:color w:val="000000" w:themeColor="text1"/>
        </w:rPr>
      </w:pPr>
      <w:r>
        <w:rPr>
          <w:noProof/>
          <w:lang w:eastAsia="en-GB"/>
        </w:rPr>
        <w:lastRenderedPageBreak/>
        <w:drawing>
          <wp:inline distT="0" distB="0" distL="0" distR="0">
            <wp:extent cx="5731510" cy="392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1510" cy="3929380"/>
                    </a:xfrm>
                    <a:prstGeom prst="rect">
                      <a:avLst/>
                    </a:prstGeom>
                  </pic:spPr>
                </pic:pic>
              </a:graphicData>
            </a:graphic>
          </wp:inline>
        </w:drawing>
      </w:r>
    </w:p>
    <w:p w:rsidR="00A86E96" w:rsidRDefault="00455A3A">
      <w:pPr>
        <w:jc w:val="both"/>
        <w:rPr>
          <w:rFonts w:ascii="Arial" w:hAnsi="Arial" w:cs="Arial"/>
          <w:color w:val="000000" w:themeColor="text1"/>
        </w:rPr>
      </w:pPr>
      <w:r>
        <w:rPr>
          <w:rFonts w:ascii="Arial" w:hAnsi="Arial" w:cs="Arial"/>
          <w:b/>
          <w:color w:val="000000" w:themeColor="text1"/>
        </w:rPr>
        <w:t>Figure A</w:t>
      </w:r>
      <w:r w:rsidR="001E062F">
        <w:rPr>
          <w:rFonts w:ascii="Arial" w:hAnsi="Arial" w:cs="Arial"/>
          <w:b/>
          <w:color w:val="000000" w:themeColor="text1"/>
        </w:rPr>
        <w:t xml:space="preserve"> </w:t>
      </w:r>
      <w:r w:rsidR="001E062F">
        <w:rPr>
          <w:rFonts w:ascii="Arial" w:hAnsi="Arial" w:cs="Arial"/>
          <w:color w:val="000000" w:themeColor="text1"/>
        </w:rPr>
        <w:t xml:space="preserve">Regional cell model APs in the </w:t>
      </w:r>
      <w:r w:rsidR="001E062F">
        <w:rPr>
          <w:rFonts w:ascii="Arial" w:hAnsi="Arial" w:cs="Arial"/>
          <w:i/>
          <w:color w:val="000000" w:themeColor="text1"/>
        </w:rPr>
        <w:t>Colman</w:t>
      </w:r>
      <w:r w:rsidR="001E062F">
        <w:rPr>
          <w:rFonts w:ascii="Arial" w:hAnsi="Arial" w:cs="Arial"/>
          <w:color w:val="000000" w:themeColor="text1"/>
        </w:rPr>
        <w:t xml:space="preserve"> </w:t>
      </w:r>
      <w:r w:rsidR="001E062F">
        <w:rPr>
          <w:rFonts w:ascii="Arial" w:hAnsi="Arial" w:cs="Arial"/>
          <w:i/>
          <w:color w:val="000000" w:themeColor="text1"/>
        </w:rPr>
        <w:t>et al.</w:t>
      </w:r>
      <w:r w:rsidR="001E062F">
        <w:rPr>
          <w:rFonts w:ascii="Arial" w:hAnsi="Arial" w:cs="Arial"/>
          <w:color w:val="000000" w:themeColor="text1"/>
        </w:rPr>
        <w:t xml:space="preserve"> (A) and </w:t>
      </w:r>
      <w:proofErr w:type="spellStart"/>
      <w:r w:rsidR="001E062F">
        <w:rPr>
          <w:rFonts w:ascii="Arial" w:hAnsi="Arial" w:cs="Arial"/>
          <w:i/>
          <w:color w:val="000000" w:themeColor="text1"/>
        </w:rPr>
        <w:t>Courtemanche</w:t>
      </w:r>
      <w:proofErr w:type="spellEnd"/>
      <w:r w:rsidR="001E062F">
        <w:rPr>
          <w:rFonts w:ascii="Arial" w:hAnsi="Arial" w:cs="Arial"/>
          <w:color w:val="000000" w:themeColor="text1"/>
        </w:rPr>
        <w:t xml:space="preserve"> </w:t>
      </w:r>
      <w:r w:rsidR="001E062F">
        <w:rPr>
          <w:rFonts w:ascii="Arial" w:hAnsi="Arial" w:cs="Arial"/>
          <w:i/>
          <w:color w:val="000000" w:themeColor="text1"/>
        </w:rPr>
        <w:t>et al.</w:t>
      </w:r>
      <w:r w:rsidR="001E062F">
        <w:rPr>
          <w:rFonts w:ascii="Arial" w:hAnsi="Arial" w:cs="Arial"/>
          <w:color w:val="000000" w:themeColor="text1"/>
        </w:rPr>
        <w:t xml:space="preserve"> (B) cell models, for regions within the right (</w:t>
      </w:r>
      <w:proofErr w:type="spellStart"/>
      <w:r w:rsidR="001E062F">
        <w:rPr>
          <w:rFonts w:ascii="Arial" w:hAnsi="Arial" w:cs="Arial"/>
          <w:color w:val="000000" w:themeColor="text1"/>
        </w:rPr>
        <w:t>i</w:t>
      </w:r>
      <w:proofErr w:type="spellEnd"/>
      <w:r w:rsidR="001E062F">
        <w:rPr>
          <w:rFonts w:ascii="Arial" w:hAnsi="Arial" w:cs="Arial"/>
          <w:color w:val="000000" w:themeColor="text1"/>
        </w:rPr>
        <w:t>) and left (ii) atria at a cycle length of 1000 ms. Abbreviations are the same as those in the legend for Table SI7.1.</w:t>
      </w:r>
    </w:p>
    <w:p w:rsidR="00A86E96" w:rsidRDefault="00A86E96">
      <w:pPr>
        <w:jc w:val="both"/>
        <w:rPr>
          <w:rFonts w:ascii="Arial" w:hAnsi="Arial" w:cs="Arial"/>
          <w:color w:val="000000" w:themeColor="text1"/>
        </w:rPr>
      </w:pPr>
    </w:p>
    <w:p w:rsidR="00A86E96" w:rsidRDefault="001E062F">
      <w:pPr>
        <w:jc w:val="center"/>
        <w:rPr>
          <w:rFonts w:ascii="Arial" w:hAnsi="Arial" w:cs="Arial"/>
          <w:b/>
          <w:color w:val="000000" w:themeColor="text1"/>
        </w:rPr>
      </w:pPr>
      <w:r>
        <w:rPr>
          <w:noProof/>
          <w:lang w:eastAsia="en-GB"/>
        </w:rPr>
        <w:drawing>
          <wp:inline distT="0" distB="0" distL="0" distR="0">
            <wp:extent cx="3000375"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3000375" cy="2266950"/>
                    </a:xfrm>
                    <a:prstGeom prst="rect">
                      <a:avLst/>
                    </a:prstGeom>
                  </pic:spPr>
                </pic:pic>
              </a:graphicData>
            </a:graphic>
          </wp:inline>
        </w:drawing>
      </w:r>
    </w:p>
    <w:p w:rsidR="00A86E96" w:rsidRDefault="00455A3A" w:rsidP="00AE4F15">
      <w:pPr>
        <w:jc w:val="both"/>
        <w:rPr>
          <w:rFonts w:ascii="Arial" w:hAnsi="Arial" w:cs="Arial"/>
          <w:color w:val="000000" w:themeColor="text1"/>
        </w:rPr>
      </w:pPr>
      <w:r>
        <w:rPr>
          <w:rFonts w:ascii="Arial" w:hAnsi="Arial" w:cs="Arial"/>
          <w:b/>
          <w:color w:val="000000" w:themeColor="text1"/>
        </w:rPr>
        <w:t>Figure B</w:t>
      </w:r>
      <w:r w:rsidR="001E062F">
        <w:rPr>
          <w:rFonts w:ascii="Arial" w:hAnsi="Arial" w:cs="Arial"/>
          <w:b/>
          <w:color w:val="000000" w:themeColor="text1"/>
        </w:rPr>
        <w:t xml:space="preserve">. </w:t>
      </w:r>
      <w:r w:rsidR="001E062F">
        <w:rPr>
          <w:rFonts w:ascii="Arial" w:hAnsi="Arial" w:cs="Arial"/>
          <w:color w:val="000000" w:themeColor="text1"/>
        </w:rPr>
        <w:t xml:space="preserve">Cell models for the CT and PM in </w:t>
      </w:r>
      <w:proofErr w:type="spellStart"/>
      <w:r w:rsidR="001E062F">
        <w:rPr>
          <w:rFonts w:ascii="Arial" w:hAnsi="Arial" w:cs="Arial"/>
          <w:i/>
          <w:color w:val="000000" w:themeColor="text1"/>
        </w:rPr>
        <w:t>Grandi</w:t>
      </w:r>
      <w:proofErr w:type="spellEnd"/>
      <w:r w:rsidR="001E062F">
        <w:rPr>
          <w:rFonts w:ascii="Arial" w:hAnsi="Arial" w:cs="Arial"/>
          <w:color w:val="000000" w:themeColor="text1"/>
        </w:rPr>
        <w:t xml:space="preserve"> </w:t>
      </w:r>
      <w:r w:rsidR="001E062F">
        <w:rPr>
          <w:rFonts w:ascii="Arial" w:hAnsi="Arial" w:cs="Arial"/>
          <w:i/>
          <w:color w:val="000000" w:themeColor="text1"/>
        </w:rPr>
        <w:t>et al.</w:t>
      </w:r>
      <w:r w:rsidR="001E062F">
        <w:rPr>
          <w:rFonts w:ascii="Arial" w:hAnsi="Arial" w:cs="Arial"/>
          <w:color w:val="000000" w:themeColor="text1"/>
        </w:rPr>
        <w:t xml:space="preserve"> model, compared to its baseline (RAA). Note that the morphology is substantially different to the other models – this is primarily due to the triangular morphology of the baseline model.</w:t>
      </w:r>
    </w:p>
    <w:p w:rsidR="00A86E96" w:rsidRDefault="00A86E96">
      <w:pPr>
        <w:rPr>
          <w:rFonts w:ascii="Arial" w:hAnsi="Arial" w:cs="Arial"/>
          <w:color w:val="000000" w:themeColor="text1"/>
        </w:rPr>
      </w:pPr>
    </w:p>
    <w:p w:rsidR="00A86E96" w:rsidRDefault="00A86E96">
      <w:pPr>
        <w:rPr>
          <w:rFonts w:ascii="Arial" w:hAnsi="Arial" w:cs="Arial"/>
          <w:color w:val="000000" w:themeColor="text1"/>
        </w:rPr>
      </w:pPr>
    </w:p>
    <w:p w:rsidR="00A86E96" w:rsidRDefault="00A86E96">
      <w:pPr>
        <w:rPr>
          <w:rFonts w:ascii="Arial" w:hAnsi="Arial" w:cs="Arial"/>
          <w:color w:val="000000" w:themeColor="text1"/>
        </w:rPr>
      </w:pPr>
    </w:p>
    <w:p w:rsidR="00A86E96" w:rsidRDefault="001E062F">
      <w:pPr>
        <w:rPr>
          <w:rFonts w:ascii="Arial" w:hAnsi="Arial" w:cs="Arial"/>
          <w:b/>
          <w:color w:val="000000" w:themeColor="text1"/>
          <w:sz w:val="28"/>
        </w:rPr>
      </w:pPr>
      <w:r>
        <w:rPr>
          <w:rFonts w:ascii="Arial" w:hAnsi="Arial" w:cs="Arial"/>
          <w:b/>
          <w:color w:val="000000" w:themeColor="text1"/>
          <w:sz w:val="28"/>
        </w:rPr>
        <w:t>References</w:t>
      </w:r>
    </w:p>
    <w:p w:rsidR="00A86E96" w:rsidRDefault="001E062F">
      <w:pPr>
        <w:pStyle w:val="Bibliography"/>
      </w:pPr>
      <w:r>
        <w:fldChar w:fldCharType="begin"/>
      </w:r>
      <w:r>
        <w:instrText>ADDIN ZOTERO_BIBL {"custom":[]} CSL_BIBLIOGRAPHY</w:instrText>
      </w:r>
      <w:r>
        <w:fldChar w:fldCharType="separate"/>
      </w:r>
      <w:bookmarkStart w:id="6" w:name="__Fieldmark__9072_1581870009"/>
      <w:r>
        <w:rPr>
          <w:rFonts w:ascii="Arial" w:hAnsi="Arial" w:cs="Arial"/>
        </w:rPr>
        <w:t xml:space="preserve">1. </w:t>
      </w:r>
      <w:r>
        <w:rPr>
          <w:rFonts w:ascii="Arial" w:hAnsi="Arial" w:cs="Arial"/>
        </w:rPr>
        <w:tab/>
        <w:t>Seemann G, Höper C, Sachse FB, Dössel O, Holden AV, Zhang H. Heterogeneous three-dimensional anatomical and electrophysiological model of human atria. Philos Transact A Math Phys Eng Sci. 2006;364: 1465–1481. doi:10.1098/rsta.2006.1781</w:t>
      </w:r>
      <w:bookmarkEnd w:id="6"/>
      <w:r>
        <w:fldChar w:fldCharType="end"/>
      </w:r>
    </w:p>
    <w:p w:rsidR="00A86E96" w:rsidRDefault="001E062F">
      <w:pPr>
        <w:pStyle w:val="Bibliography"/>
        <w:rPr>
          <w:rFonts w:ascii="Arial" w:hAnsi="Arial" w:cs="Arial"/>
        </w:rPr>
      </w:pPr>
      <w:r>
        <w:rPr>
          <w:rFonts w:ascii="Arial" w:hAnsi="Arial" w:cs="Arial"/>
        </w:rPr>
        <w:t xml:space="preserve">2. </w:t>
      </w:r>
      <w:r>
        <w:rPr>
          <w:rFonts w:ascii="Arial" w:hAnsi="Arial" w:cs="Arial"/>
        </w:rPr>
        <w:tab/>
        <w:t xml:space="preserve">Dorn A, Krueger MW, </w:t>
      </w:r>
      <w:proofErr w:type="spellStart"/>
      <w:r>
        <w:rPr>
          <w:rFonts w:ascii="Arial" w:hAnsi="Arial" w:cs="Arial"/>
        </w:rPr>
        <w:t>Seemann</w:t>
      </w:r>
      <w:proofErr w:type="spellEnd"/>
      <w:r>
        <w:rPr>
          <w:rFonts w:ascii="Arial" w:hAnsi="Arial" w:cs="Arial"/>
        </w:rPr>
        <w:t xml:space="preserve"> G, </w:t>
      </w:r>
      <w:proofErr w:type="spellStart"/>
      <w:r>
        <w:rPr>
          <w:rFonts w:ascii="Arial" w:hAnsi="Arial" w:cs="Arial"/>
        </w:rPr>
        <w:t>Doessel</w:t>
      </w:r>
      <w:proofErr w:type="spellEnd"/>
      <w:r>
        <w:rPr>
          <w:rFonts w:ascii="Arial" w:hAnsi="Arial" w:cs="Arial"/>
        </w:rPr>
        <w:t xml:space="preserve"> O. Modelling of heterogeneous human atrial electrophysiology. Biomed Tech (</w:t>
      </w:r>
      <w:proofErr w:type="spellStart"/>
      <w:r>
        <w:rPr>
          <w:rFonts w:ascii="Arial" w:hAnsi="Arial" w:cs="Arial"/>
        </w:rPr>
        <w:t>Berl</w:t>
      </w:r>
      <w:proofErr w:type="spellEnd"/>
      <w:r>
        <w:rPr>
          <w:rFonts w:ascii="Arial" w:hAnsi="Arial" w:cs="Arial"/>
        </w:rPr>
        <w:t xml:space="preserve">). 2012;57 </w:t>
      </w:r>
      <w:proofErr w:type="spellStart"/>
      <w:r>
        <w:rPr>
          <w:rFonts w:ascii="Arial" w:hAnsi="Arial" w:cs="Arial"/>
        </w:rPr>
        <w:t>Suppl</w:t>
      </w:r>
      <w:proofErr w:type="spellEnd"/>
      <w:r>
        <w:rPr>
          <w:rFonts w:ascii="Arial" w:hAnsi="Arial" w:cs="Arial"/>
        </w:rPr>
        <w:t xml:space="preserve"> 1. doi:10.1515/bmt-2012-4215</w:t>
      </w:r>
    </w:p>
    <w:p w:rsidR="00A86E96" w:rsidRDefault="001E062F">
      <w:pPr>
        <w:pStyle w:val="Bibliography"/>
        <w:rPr>
          <w:rFonts w:ascii="Arial" w:hAnsi="Arial" w:cs="Arial"/>
        </w:rPr>
      </w:pPr>
      <w:r>
        <w:rPr>
          <w:rFonts w:ascii="Arial" w:hAnsi="Arial" w:cs="Arial"/>
        </w:rPr>
        <w:t xml:space="preserve">3. </w:t>
      </w:r>
      <w:r>
        <w:rPr>
          <w:rFonts w:ascii="Arial" w:hAnsi="Arial" w:cs="Arial"/>
        </w:rPr>
        <w:tab/>
        <w:t xml:space="preserve">Colman MA, </w:t>
      </w:r>
      <w:proofErr w:type="spellStart"/>
      <w:r>
        <w:rPr>
          <w:rFonts w:ascii="Arial" w:hAnsi="Arial" w:cs="Arial"/>
        </w:rPr>
        <w:t>Aslanidi</w:t>
      </w:r>
      <w:proofErr w:type="spellEnd"/>
      <w:r>
        <w:rPr>
          <w:rFonts w:ascii="Arial" w:hAnsi="Arial" w:cs="Arial"/>
        </w:rPr>
        <w:t xml:space="preserve"> OV, </w:t>
      </w:r>
      <w:proofErr w:type="spellStart"/>
      <w:r>
        <w:rPr>
          <w:rFonts w:ascii="Arial" w:hAnsi="Arial" w:cs="Arial"/>
        </w:rPr>
        <w:t>Kharche</w:t>
      </w:r>
      <w:proofErr w:type="spellEnd"/>
      <w:r>
        <w:rPr>
          <w:rFonts w:ascii="Arial" w:hAnsi="Arial" w:cs="Arial"/>
        </w:rPr>
        <w:t xml:space="preserve"> S, </w:t>
      </w:r>
      <w:proofErr w:type="spellStart"/>
      <w:r>
        <w:rPr>
          <w:rFonts w:ascii="Arial" w:hAnsi="Arial" w:cs="Arial"/>
        </w:rPr>
        <w:t>Boyett</w:t>
      </w:r>
      <w:proofErr w:type="spellEnd"/>
      <w:r>
        <w:rPr>
          <w:rFonts w:ascii="Arial" w:hAnsi="Arial" w:cs="Arial"/>
        </w:rPr>
        <w:t xml:space="preserve"> MR, Garratt C, </w:t>
      </w:r>
      <w:proofErr w:type="spellStart"/>
      <w:r>
        <w:rPr>
          <w:rFonts w:ascii="Arial" w:hAnsi="Arial" w:cs="Arial"/>
        </w:rPr>
        <w:t>Hancox</w:t>
      </w:r>
      <w:proofErr w:type="spellEnd"/>
      <w:r>
        <w:rPr>
          <w:rFonts w:ascii="Arial" w:hAnsi="Arial" w:cs="Arial"/>
        </w:rPr>
        <w:t xml:space="preserve"> JC, et al. Pro-</w:t>
      </w:r>
      <w:proofErr w:type="spellStart"/>
      <w:r>
        <w:rPr>
          <w:rFonts w:ascii="Arial" w:hAnsi="Arial" w:cs="Arial"/>
        </w:rPr>
        <w:t>arrhythmogenic</w:t>
      </w:r>
      <w:proofErr w:type="spellEnd"/>
      <w:r>
        <w:rPr>
          <w:rFonts w:ascii="Arial" w:hAnsi="Arial" w:cs="Arial"/>
        </w:rPr>
        <w:t xml:space="preserve"> Effects of Atrial Fibrillation Induced Electrical Remodelling- Insights from the 3D Virtual Human Atria. J Physiol. 2013;591: 4249–4272. doi:10.1113/jphysiol.2013.254987</w:t>
      </w:r>
    </w:p>
    <w:p w:rsidR="00A86E96" w:rsidRDefault="00A86E96"/>
    <w:sectPr w:rsidR="00A86E9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zMrcwMwEyjM0NTZR0lIJTi4sz8/NACoxqAc07BJAsAAAA"/>
  </w:docVars>
  <w:rsids>
    <w:rsidRoot w:val="00A86E96"/>
    <w:rsid w:val="001E062F"/>
    <w:rsid w:val="00455A3A"/>
    <w:rsid w:val="00682DBC"/>
    <w:rsid w:val="00A86E96"/>
    <w:rsid w:val="00AE4F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3A3C"/>
  <w15:docId w15:val="{A1C03C46-FEC7-484B-AE29-BE68B5AE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DA5"/>
    <w:pPr>
      <w:spacing w:after="200"/>
    </w:pPr>
  </w:style>
  <w:style w:type="paragraph" w:styleId="Heading1">
    <w:name w:val="heading 1"/>
    <w:basedOn w:val="Normal"/>
    <w:next w:val="Normal"/>
    <w:link w:val="Heading1Char"/>
    <w:uiPriority w:val="9"/>
    <w:qFormat/>
    <w:rsid w:val="00B36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36DA5"/>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qFormat/>
    <w:rsid w:val="00B36DA5"/>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B36DA5"/>
    <w:pPr>
      <w:spacing w:after="0" w:line="240" w:lineRule="auto"/>
    </w:pPr>
    <w:rPr>
      <w:rFonts w:ascii="Tahoma" w:hAnsi="Tahoma" w:cs="Tahoma"/>
      <w:sz w:val="16"/>
      <w:szCs w:val="16"/>
    </w:rPr>
  </w:style>
  <w:style w:type="paragraph" w:styleId="Bibliography">
    <w:name w:val="Bibliography"/>
    <w:basedOn w:val="Normal"/>
    <w:next w:val="Normal"/>
    <w:uiPriority w:val="37"/>
    <w:unhideWhenUsed/>
    <w:qFormat/>
    <w:rsid w:val="00FE3D82"/>
    <w:pPr>
      <w:tabs>
        <w:tab w:val="left" w:pos="384"/>
      </w:tabs>
      <w:spacing w:after="240" w:line="240" w:lineRule="auto"/>
      <w:ind w:left="384" w:hanging="384"/>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B36DA5"/>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C9E3-7D42-46C4-97CB-E3B847DD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Ni</dc:creator>
  <cp:lastModifiedBy>Amaya Reik</cp:lastModifiedBy>
  <cp:revision>2</cp:revision>
  <dcterms:created xsi:type="dcterms:W3CDTF">2017-06-07T10:54:00Z</dcterms:created>
  <dcterms:modified xsi:type="dcterms:W3CDTF">2017-06-07T10:54:00Z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zotero-version="4.0.29.10"&gt;&lt;session id="CApjAeiI"/&gt;&lt;style id="http://www.zotero.org/styles/plos-computational-biology" hasBibliography="1" bibliographyStyleHasBeenSet="1"/&gt;&lt;prefs&gt;&lt;pref name="fieldType" value="Field"/&gt;&lt;pref name="sto</vt:lpwstr>
  </property>
  <property fmtid="{D5CDD505-2E9C-101B-9397-08002B2CF9AE}" pid="10" name="ZOTERO_PREF_2">
    <vt:lpwstr>reReferences" value="true"/&gt;&lt;pref name="automaticJournalAbbreviations" value="true"/&gt;&lt;pref name="noteType" value=""/&gt;&lt;/prefs&gt;&lt;/data&gt;</vt:lpwstr>
  </property>
</Properties>
</file>