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589B" w14:textId="3CE4F590" w:rsidR="0005658E" w:rsidRPr="0089465F" w:rsidRDefault="00696794" w:rsidP="0005658E">
      <w:pPr>
        <w:rPr>
          <w:b/>
          <w:sz w:val="28"/>
          <w:szCs w:val="28"/>
        </w:rPr>
      </w:pPr>
      <w:r>
        <w:rPr>
          <w:b/>
          <w:sz w:val="28"/>
          <w:szCs w:val="28"/>
        </w:rPr>
        <w:t>Supplement #</w:t>
      </w:r>
      <w:r w:rsidR="0005658E" w:rsidRPr="0089465F">
        <w:rPr>
          <w:b/>
          <w:sz w:val="28"/>
          <w:szCs w:val="28"/>
        </w:rPr>
        <w:t xml:space="preserve">2. Exploration of </w:t>
      </w:r>
      <w:r w:rsidR="0005658E">
        <w:rPr>
          <w:b/>
          <w:sz w:val="28"/>
          <w:szCs w:val="28"/>
        </w:rPr>
        <w:t>results under various L1 penalties.</w:t>
      </w:r>
    </w:p>
    <w:p w14:paraId="3271FF09" w14:textId="2E974EC2" w:rsidR="0005658E" w:rsidRDefault="0005658E" w:rsidP="0005658E">
      <w:r>
        <w:t>The LASSO’s L</w:t>
      </w:r>
      <w:r w:rsidRPr="00A13508">
        <w:rPr>
          <w:vertAlign w:val="subscript"/>
        </w:rPr>
        <w:t>1</w:t>
      </w:r>
      <w:r>
        <w:t xml:space="preserve"> penalty parametrically determines the density and structure of sparse </w:t>
      </w:r>
      <w:r w:rsidR="00D16112">
        <w:t>Markov networks</w:t>
      </w:r>
      <w:r>
        <w:t xml:space="preserve"> inferred from correlation matrices. Since the general goal of the graphical LASSO is to estimate a data set’s true underlying multivariate covariance structure, selection of an appropriate penalty is important to reach accurate results. In general, the penalty should be high enough to remove trivial or unimportant edges, but not so high as to remove edges representing important relationships. An exploration of how various L</w:t>
      </w:r>
      <w:r w:rsidRPr="00A13508">
        <w:rPr>
          <w:vertAlign w:val="subscript"/>
        </w:rPr>
        <w:t>1</w:t>
      </w:r>
      <w:r>
        <w:t xml:space="preserve"> penalty values impact the structure of the R-nets and their derived parameters</w:t>
      </w:r>
      <w:r w:rsidR="00D16112">
        <w:t xml:space="preserve"> is provided here to demonstrate how </w:t>
      </w:r>
      <w:r w:rsidR="00D16112">
        <w:rPr>
          <w:i/>
        </w:rPr>
        <w:t>ρ</w:t>
      </w:r>
      <w:r w:rsidR="00D16112">
        <w:t xml:space="preserve"> = 0.25 was selected for further evaluation</w:t>
      </w:r>
      <w:r>
        <w:t>.</w:t>
      </w:r>
    </w:p>
    <w:p w14:paraId="5A51D61B" w14:textId="359BE36F" w:rsidR="0005658E" w:rsidRDefault="0005658E" w:rsidP="0005658E">
      <w:r>
        <w:t xml:space="preserve">As </w:t>
      </w:r>
      <w:r w:rsidRPr="00524022">
        <w:rPr>
          <w:i/>
        </w:rPr>
        <w:t>ρ</w:t>
      </w:r>
      <w:r>
        <w:t xml:space="preserve"> increased, the </w:t>
      </w:r>
      <w:r w:rsidR="00D16112">
        <w:t xml:space="preserve">graphical </w:t>
      </w:r>
      <w:r>
        <w:t xml:space="preserve">density tends to decrease. </w:t>
      </w:r>
      <w:r w:rsidR="005C4E12">
        <w:t>G</w:t>
      </w:r>
      <w:r>
        <w:t>raphical density appeared to be stationary over time for all penalty values and no trend over time was apparent</w:t>
      </w:r>
      <w:r w:rsidR="005C4E12">
        <w:t xml:space="preserve"> (Fig 1)</w:t>
      </w:r>
      <w:r>
        <w:t xml:space="preserve">. Negative partial correlations were uncommon at all values of </w:t>
      </w:r>
      <w:r w:rsidRPr="00524022">
        <w:rPr>
          <w:i/>
        </w:rPr>
        <w:t>ρ</w:t>
      </w:r>
      <w:r>
        <w:t xml:space="preserve">. At </w:t>
      </w:r>
      <w:r w:rsidRPr="001E69E7">
        <w:rPr>
          <w:i/>
        </w:rPr>
        <w:t>ρ</w:t>
      </w:r>
      <w:r>
        <w:t xml:space="preserve"> = 0.05, the lowest penalty evaluated, 26 of the 99 unique edges identified in at least one year ever represented negative partial correlations and only 78 (19%) edges were negative of all 410 edges identified in this set of R-nets. The negative edges are all but gone at </w:t>
      </w:r>
      <w:r w:rsidRPr="001E69E7">
        <w:rPr>
          <w:i/>
        </w:rPr>
        <w:t>ρ</w:t>
      </w:r>
      <w:r>
        <w:t xml:space="preserve"> = 0.15, </w:t>
      </w:r>
    </w:p>
    <w:p w14:paraId="108FC1D9" w14:textId="4FF1973E" w:rsidR="0005658E" w:rsidRDefault="0005658E" w:rsidP="0005658E">
      <w:r>
        <w:t>Edges between resistances to drugs of the same class appeared to be much more robust to increasing penalties than did edges representing cross-class resistances (</w:t>
      </w:r>
      <w:bookmarkStart w:id="0" w:name="_GoBack"/>
      <w:r w:rsidR="00234DBA">
        <w:t>Fig</w:t>
      </w:r>
      <w:bookmarkEnd w:id="0"/>
      <w:r w:rsidR="00234DBA">
        <w:t xml:space="preserve"> </w:t>
      </w:r>
      <w:r w:rsidR="00E15FB1">
        <w:t>S3</w:t>
      </w:r>
      <w:r>
        <w:t xml:space="preserve">). The cross-class edges are rapidly removed until </w:t>
      </w:r>
      <w:r w:rsidRPr="00711418">
        <w:rPr>
          <w:i/>
        </w:rPr>
        <w:t>ρ</w:t>
      </w:r>
      <w:r>
        <w:t xml:space="preserve"> = 0.15, and don’t stabilize until </w:t>
      </w:r>
      <w:r w:rsidRPr="00711418">
        <w:rPr>
          <w:i/>
        </w:rPr>
        <w:t>ρ</w:t>
      </w:r>
      <w:r>
        <w:t xml:space="preserve"> ≥ 0.30 where all but a few have been eliminated. In contrast, more than 80% of edges between drugs of a similar class are present until </w:t>
      </w:r>
      <w:r w:rsidRPr="00711418">
        <w:rPr>
          <w:i/>
        </w:rPr>
        <w:t>ρ</w:t>
      </w:r>
      <w:r>
        <w:t xml:space="preserve"> &gt; 0.30. This behavior is not particularly surprising since it could be expected for resistances to similar drugs to be highly correlated while resistances to unrelated drugs are typically weaker in comparison. </w:t>
      </w:r>
    </w:p>
    <w:p w14:paraId="760C54DB" w14:textId="2A93BF7B" w:rsidR="0005658E" w:rsidRDefault="0005658E" w:rsidP="0005658E">
      <w:r>
        <w:t xml:space="preserve">For all penalties evaluated, </w:t>
      </w:r>
      <w:r>
        <w:rPr>
          <w:i/>
        </w:rPr>
        <w:t xml:space="preserve">Q </w:t>
      </w:r>
      <w:r>
        <w:t>&gt; 0 but there was substantial variation in its magnitude (Table S</w:t>
      </w:r>
      <w:r w:rsidR="00696794">
        <w:t>2-1</w:t>
      </w:r>
      <w:r>
        <w:t xml:space="preserve">). The changes in </w:t>
      </w:r>
      <w:r>
        <w:rPr>
          <w:i/>
        </w:rPr>
        <w:t xml:space="preserve">Q </w:t>
      </w:r>
      <w:r>
        <w:t xml:space="preserve">over </w:t>
      </w:r>
      <w:r w:rsidRPr="00F3238A">
        <w:rPr>
          <w:i/>
        </w:rPr>
        <w:t xml:space="preserve">ρ </w:t>
      </w:r>
      <w:r>
        <w:t>can be attributed to the different behaviors of the within- and between-class noted above. In general, when a graph is dense (</w:t>
      </w:r>
      <w:r w:rsidRPr="00D57BF2">
        <w:rPr>
          <w:i/>
        </w:rPr>
        <w:t>m</w:t>
      </w:r>
      <w:r>
        <w:t xml:space="preserve"> = </w:t>
      </w:r>
      <w:r>
        <w:rPr>
          <w:i/>
          <w:vertAlign w:val="subscript"/>
        </w:rPr>
        <w:t>k</w:t>
      </w:r>
      <w:r>
        <w:t>C</w:t>
      </w:r>
      <w:r w:rsidRPr="00D57BF2">
        <w:rPr>
          <w:vertAlign w:val="subscript"/>
        </w:rPr>
        <w:t>2</w:t>
      </w:r>
      <w:r>
        <w:t>) or empty (</w:t>
      </w:r>
      <w:r w:rsidRPr="00E31646">
        <w:rPr>
          <w:i/>
        </w:rPr>
        <w:t>m</w:t>
      </w:r>
      <w:r>
        <w:t xml:space="preserve"> = 0), </w:t>
      </w:r>
      <w:r w:rsidRPr="00380244">
        <w:rPr>
          <w:i/>
        </w:rPr>
        <w:t>Q</w:t>
      </w:r>
      <w:r>
        <w:t xml:space="preserve"> = 0. As </w:t>
      </w:r>
      <w:r w:rsidRPr="00792E9C">
        <w:rPr>
          <w:i/>
        </w:rPr>
        <w:t>ρ</w:t>
      </w:r>
      <w:r>
        <w:t xml:space="preserve"> increases from 0 to 0.30, cross-class edges are lost more quickly than within-class edges and Q increases. After </w:t>
      </w:r>
      <w:r w:rsidRPr="00D63A52">
        <w:rPr>
          <w:i/>
        </w:rPr>
        <w:t>Q</w:t>
      </w:r>
      <w:r w:rsidRPr="00924557">
        <w:t xml:space="preserve"> peaks</w:t>
      </w:r>
      <w:r>
        <w:t xml:space="preserve"> at </w:t>
      </w:r>
      <w:r w:rsidRPr="00711418">
        <w:rPr>
          <w:i/>
        </w:rPr>
        <w:t>ρ</w:t>
      </w:r>
      <w:r>
        <w:t xml:space="preserve"> = 0.30, </w:t>
      </w:r>
      <w:r w:rsidR="00C74569">
        <w:t xml:space="preserve">then </w:t>
      </w:r>
      <w:r w:rsidRPr="00033102">
        <w:rPr>
          <w:i/>
        </w:rPr>
        <w:t>Q</w:t>
      </w:r>
      <w:r>
        <w:t xml:space="preserve"> decreases as </w:t>
      </w:r>
      <w:r w:rsidRPr="00A13508">
        <w:rPr>
          <w:i/>
        </w:rPr>
        <w:t>ρ</w:t>
      </w:r>
      <w:r>
        <w:t xml:space="preserve"> increases </w:t>
      </w:r>
      <w:r w:rsidR="00790948">
        <w:t>because majority of remaining edges are within-class and are lost and as</w:t>
      </w:r>
      <w:r>
        <w:t xml:space="preserve"> the networks become </w:t>
      </w:r>
      <w:r>
        <w:lastRenderedPageBreak/>
        <w:t xml:space="preserve">progressively sparser. Like </w:t>
      </w:r>
      <w:r w:rsidRPr="005B0921">
        <w:rPr>
          <w:i/>
        </w:rPr>
        <w:t>Q</w:t>
      </w:r>
      <w:r>
        <w:t xml:space="preserve">, and empty graph has </w:t>
      </w:r>
      <w:r w:rsidRPr="005B0921">
        <w:rPr>
          <w:i/>
        </w:rPr>
        <w:t>Q’</w:t>
      </w:r>
      <w:r w:rsidRPr="004B2C14">
        <w:t xml:space="preserve"> = </w:t>
      </w:r>
      <w:r>
        <w:t xml:space="preserve">0, but </w:t>
      </w:r>
      <w:r w:rsidRPr="005B0921">
        <w:rPr>
          <w:i/>
        </w:rPr>
        <w:t>Q’</w:t>
      </w:r>
      <w:r>
        <w:t xml:space="preserve"> is not necessarily 0 when a graph is dense because while </w:t>
      </w:r>
      <w:r w:rsidR="00790948">
        <w:t>all possible</w:t>
      </w:r>
      <w:r>
        <w:t xml:space="preserve"> edges exist</w:t>
      </w:r>
      <w:r w:rsidR="00790948">
        <w:t>,</w:t>
      </w:r>
      <w:r>
        <w:t xml:space="preserve"> they are not necessarily </w:t>
      </w:r>
      <w:r w:rsidR="00790948">
        <w:t xml:space="preserve">all </w:t>
      </w:r>
      <w:r>
        <w:t xml:space="preserve">of uniform weight. In the current data, </w:t>
      </w:r>
      <w:r>
        <w:rPr>
          <w:i/>
        </w:rPr>
        <w:t xml:space="preserve">Q’ </w:t>
      </w:r>
      <w:r>
        <w:t xml:space="preserve">changes little in the range of 0.05 ≤ </w:t>
      </w:r>
      <w:r w:rsidRPr="004B2C14">
        <w:rPr>
          <w:i/>
        </w:rPr>
        <w:t>ρ</w:t>
      </w:r>
      <w:r>
        <w:t xml:space="preserve"> ≤ 0.30, then steadily </w:t>
      </w:r>
      <w:r w:rsidR="00B45595">
        <w:t>decreases</w:t>
      </w:r>
      <w:r>
        <w:t xml:space="preserve"> above this range.</w:t>
      </w:r>
    </w:p>
    <w:p w14:paraId="52204A25" w14:textId="3DC910FF" w:rsidR="0005658E" w:rsidRDefault="0005658E" w:rsidP="0005658E">
      <w:pPr>
        <w:spacing w:before="240"/>
      </w:pPr>
      <w:r>
        <w:t xml:space="preserve">While </w:t>
      </w:r>
      <w:r w:rsidRPr="00033102">
        <w:rPr>
          <w:i/>
        </w:rPr>
        <w:t>Q</w:t>
      </w:r>
      <w:r>
        <w:t xml:space="preserve"> and </w:t>
      </w:r>
      <w:r w:rsidRPr="00033102">
        <w:rPr>
          <w:i/>
        </w:rPr>
        <w:t>Q’</w:t>
      </w:r>
      <w:r>
        <w:t xml:space="preserve"> </w:t>
      </w:r>
      <w:r w:rsidR="00790948">
        <w:t>are</w:t>
      </w:r>
      <w:r>
        <w:t xml:space="preserve"> not necessarily robust over the penalties examined, the correlation between both forms of modularity and time were negative in nearly all cases (Table S</w:t>
      </w:r>
      <w:r w:rsidR="00600EAF">
        <w:t>2-2</w:t>
      </w:r>
      <w:r>
        <w:t xml:space="preserve">). The estimated Spearman’s correlations between </w:t>
      </w:r>
      <w:r w:rsidRPr="00A83448">
        <w:rPr>
          <w:i/>
        </w:rPr>
        <w:t xml:space="preserve">Q </w:t>
      </w:r>
      <w:r>
        <w:t xml:space="preserve">and time was significant in six of the twelve evaluated penalty values, and p &lt; 0.20 in most. The correlation of </w:t>
      </w:r>
      <w:r w:rsidRPr="00A83448">
        <w:rPr>
          <w:i/>
        </w:rPr>
        <w:t xml:space="preserve">Q’ </w:t>
      </w:r>
      <w:r>
        <w:t xml:space="preserve">and time was both strong and highly significant in all cases where </w:t>
      </w:r>
      <w:r w:rsidRPr="00E7101C">
        <w:rPr>
          <w:i/>
        </w:rPr>
        <w:t>ρ</w:t>
      </w:r>
      <w:r>
        <w:t xml:space="preserve"> ≤ 0.50.</w:t>
      </w:r>
    </w:p>
    <w:p w14:paraId="3BC95F8F" w14:textId="77777777" w:rsidR="0005658E" w:rsidRPr="008F34C5" w:rsidRDefault="0005658E" w:rsidP="0005658E">
      <w:pPr>
        <w:rPr>
          <w:i/>
        </w:rPr>
      </w:pPr>
      <w:r>
        <w:rPr>
          <w:i/>
        </w:rPr>
        <w:t>Methods to select L</w:t>
      </w:r>
      <w:r w:rsidRPr="00A13508">
        <w:rPr>
          <w:i/>
          <w:vertAlign w:val="subscript"/>
        </w:rPr>
        <w:t>1</w:t>
      </w:r>
      <w:r>
        <w:rPr>
          <w:i/>
        </w:rPr>
        <w:t xml:space="preserve"> </w:t>
      </w:r>
    </w:p>
    <w:p w14:paraId="3763BCED" w14:textId="3D662BD1" w:rsidR="0005658E" w:rsidRDefault="0005658E" w:rsidP="0005658E">
      <w:r>
        <w:t xml:space="preserve">Several methods were attempted to select </w:t>
      </w:r>
      <w:r w:rsidRPr="00DB0A09">
        <w:rPr>
          <w:i/>
        </w:rPr>
        <w:t>ρ</w:t>
      </w:r>
      <w:r>
        <w:t xml:space="preserve"> objectively. Values of </w:t>
      </w:r>
      <w:r w:rsidRPr="00125749">
        <w:rPr>
          <w:i/>
        </w:rPr>
        <w:t>ρ</w:t>
      </w:r>
      <w:r>
        <w:t xml:space="preserve"> from 0.01 to 0.60, incremented by 0.01, were evaluated to improve resolution compared to the set of twelve values of </w:t>
      </w:r>
      <w:r w:rsidRPr="00D80E47">
        <w:rPr>
          <w:i/>
        </w:rPr>
        <w:t>ρ</w:t>
      </w:r>
      <w:r>
        <w:t xml:space="preserve"> used to evaluate the R-nets subjectively. The adaptive rho method for the graphical LASSO</w:t>
      </w:r>
      <w:r w:rsidR="007F4A64">
        <w:t xml:space="preserve"> </w:t>
      </w:r>
      <w:r>
        <w:t>provides a hypothesis-driven test to determine a regime for the L</w:t>
      </w:r>
      <w:r w:rsidRPr="00A13508">
        <w:rPr>
          <w:vertAlign w:val="subscript"/>
        </w:rPr>
        <w:t>1</w:t>
      </w:r>
      <w:r>
        <w:t xml:space="preserve"> penalty based on structure</w:t>
      </w:r>
      <w:r w:rsidR="00790948">
        <w:t xml:space="preserve"> </w:t>
      </w:r>
      <w:r w:rsidR="007F4A64">
        <w:fldChar w:fldCharType="begin"/>
      </w:r>
      <w:r w:rsidR="00696794">
        <w:instrText xml:space="preserve"> ADDIN EN.CITE &lt;EndNote&gt;&lt;Cite&gt;&lt;Author&gt;Lockhart&lt;/Author&gt;&lt;Year&gt;2014&lt;/Year&gt;&lt;RecNum&gt;855&lt;/RecNum&gt;&lt;DisplayText&gt;[1]&lt;/DisplayText&gt;&lt;record&gt;&lt;rec-number&gt;855&lt;/rec-number&gt;&lt;foreign-keys&gt;&lt;key app="EN" db-id="fewpef2p92a028e5dp0p0wded95tpvxea9zv" timestamp="1468543343"&gt;855&lt;/key&gt;&lt;/foreign-keys&gt;&lt;ref-type name="Journal Article"&gt;17&lt;/ref-type&gt;&lt;contributors&gt;&lt;authors&gt;&lt;author&gt;Lockhart, Richard&lt;/author&gt;&lt;author&gt;Taylor, Jonathan&lt;/author&gt;&lt;author&gt;Tibshirani, Ryan J.&lt;/author&gt;&lt;author&gt;Tibshirani, Robert&lt;/author&gt;&lt;/authors&gt;&lt;/contributors&gt;&lt;titles&gt;&lt;title&gt;A significance test for the lasso&lt;/title&gt;&lt;alt-title&gt;Ann. Statist.&lt;/alt-title&gt;&lt;/titles&gt;&lt;alt-periodical&gt;&lt;abbr-1&gt;Ann. Statist.&lt;/abbr-1&gt;&lt;/alt-periodical&gt;&lt;pages&gt;413-468&lt;/pages&gt;&lt;keywords&gt;&lt;keyword&gt;Lasso&lt;/keyword&gt;&lt;keyword&gt;least angle regression&lt;/keyword&gt;&lt;keyword&gt;$p$-value&lt;/keyword&gt;&lt;keyword&gt;significance test&lt;/keyword&gt;&lt;/keywords&gt;&lt;dates&gt;&lt;year&gt;2014&lt;/year&gt;&lt;pub-dates&gt;&lt;date&gt;2014/04&lt;/date&gt;&lt;/pub-dates&gt;&lt;/dates&gt;&lt;publisher&gt;The Institute of Mathematical Statistics&lt;/publisher&gt;&lt;isbn&gt;0090-5364&lt;/isbn&gt;&lt;urls&gt;&lt;related-urls&gt;&lt;url&gt;http://projecteuclid.org/euclid.aos/1400592161&lt;/url&gt;&lt;/related-urls&gt;&lt;/urls&gt;&lt;electronic-resource-num&gt;10.1214/13-AOS1175&lt;/electronic-resource-num&gt;&lt;language&gt;en&lt;/language&gt;&lt;/record&gt;&lt;/Cite&gt;&lt;/EndNote&gt;</w:instrText>
      </w:r>
      <w:r w:rsidR="007F4A64">
        <w:fldChar w:fldCharType="separate"/>
      </w:r>
      <w:r w:rsidR="00696794">
        <w:rPr>
          <w:noProof/>
        </w:rPr>
        <w:t>[1]</w:t>
      </w:r>
      <w:r w:rsidR="007F4A64">
        <w:fldChar w:fldCharType="end"/>
      </w:r>
      <w:r>
        <w:t>. The graphs selected by this method varied by year, with some empty (</w:t>
      </w:r>
      <w:r w:rsidRPr="00A312FB">
        <w:rPr>
          <w:i/>
        </w:rPr>
        <w:t>m</w:t>
      </w:r>
      <w:r w:rsidRPr="00A312FB">
        <w:rPr>
          <w:i/>
          <w:vertAlign w:val="subscript"/>
        </w:rPr>
        <w:t>y</w:t>
      </w:r>
      <w:r>
        <w:t xml:space="preserve"> </w:t>
      </w:r>
      <w:r w:rsidRPr="00A13508">
        <w:t xml:space="preserve">= </w:t>
      </w:r>
      <w:r>
        <w:t>0) and others having a single component (</w:t>
      </w:r>
      <w:r w:rsidRPr="00A312FB">
        <w:rPr>
          <w:i/>
        </w:rPr>
        <w:t>m</w:t>
      </w:r>
      <w:r w:rsidRPr="00A312FB">
        <w:rPr>
          <w:i/>
          <w:vertAlign w:val="subscript"/>
        </w:rPr>
        <w:t>y</w:t>
      </w:r>
      <w:r>
        <w:t xml:space="preserve"> ≥ 30 in eight of nine years and </w:t>
      </w:r>
      <w:r w:rsidRPr="00A312FB">
        <w:rPr>
          <w:i/>
        </w:rPr>
        <w:t>ρ</w:t>
      </w:r>
      <w:r>
        <w:t xml:space="preserve"> in the regime of 0.1 and 0.2). </w:t>
      </w:r>
      <w:r w:rsidR="00790948">
        <w:t>T</w:t>
      </w:r>
      <w:r>
        <w:t xml:space="preserve">he adaptive rho method was not a useful tool for selecting </w:t>
      </w:r>
      <w:r w:rsidRPr="00A312FB">
        <w:rPr>
          <w:i/>
        </w:rPr>
        <w:t>ρ</w:t>
      </w:r>
      <w:r w:rsidR="00790948">
        <w:rPr>
          <w:i/>
        </w:rPr>
        <w:t xml:space="preserve"> </w:t>
      </w:r>
      <w:r w:rsidR="00790948">
        <w:t>for the R-nets</w:t>
      </w:r>
      <w:r>
        <w:t>.</w:t>
      </w:r>
    </w:p>
    <w:p w14:paraId="0853B0FC" w14:textId="05B9DA5B" w:rsidR="0005658E" w:rsidRDefault="0005658E" w:rsidP="0005658E">
      <w:r>
        <w:t xml:space="preserve">A method for selecting </w:t>
      </w:r>
      <w:r w:rsidRPr="00590332">
        <w:rPr>
          <w:i/>
        </w:rPr>
        <w:t>ρ</w:t>
      </w:r>
      <w:r>
        <w:t xml:space="preserve"> using the mod</w:t>
      </w:r>
      <w:r w:rsidR="00774995">
        <w:t xml:space="preserve">el likelihood estimated by the </w:t>
      </w:r>
      <w:proofErr w:type="spellStart"/>
      <w:r w:rsidR="00774995">
        <w:t>glasso</w:t>
      </w:r>
      <w:proofErr w:type="spellEnd"/>
      <w:r>
        <w:t xml:space="preserve"> package (</w:t>
      </w:r>
      <w:r w:rsidRPr="008E6CB6">
        <w:rPr>
          <w:i/>
        </w:rPr>
        <w:t>L</w:t>
      </w:r>
      <w:r>
        <w:t xml:space="preserve">) was proposed in the original study describing the method. In both the example case provided by Hastie, et al and the current study, </w:t>
      </w:r>
      <w:r w:rsidRPr="00B87F94">
        <w:rPr>
          <w:i/>
        </w:rPr>
        <w:t>n</w:t>
      </w:r>
      <w:r>
        <w:t xml:space="preserve"> &gt;&gt; </w:t>
      </w:r>
      <w:r w:rsidRPr="00B87F94">
        <w:rPr>
          <w:i/>
        </w:rPr>
        <w:t>m</w:t>
      </w:r>
      <w:r>
        <w:t xml:space="preserve"> even when </w:t>
      </w:r>
      <w:r w:rsidR="007F4A64">
        <w:rPr>
          <w:i/>
        </w:rPr>
        <w:t>m̄</w:t>
      </w:r>
      <w:r>
        <w:t xml:space="preserve"> = 1 and </w:t>
      </w:r>
      <w:r>
        <w:rPr>
          <w:i/>
        </w:rPr>
        <w:t>L</w:t>
      </w:r>
      <w:r>
        <w:t xml:space="preserve"> was maximized when </w:t>
      </w:r>
      <w:r w:rsidRPr="00B87F94">
        <w:rPr>
          <w:i/>
        </w:rPr>
        <w:t>ρ</w:t>
      </w:r>
      <w:r>
        <w:t xml:space="preserve"> = 0. To encourage selection of a more parsimonious model, </w:t>
      </w:r>
      <w:proofErr w:type="spellStart"/>
      <w:r>
        <w:t>Akaike’s</w:t>
      </w:r>
      <w:proofErr w:type="spellEnd"/>
      <w:r>
        <w:t xml:space="preserve"> Information Criterion (AIC) was adapted to the </w:t>
      </w:r>
      <w:r w:rsidR="00256D5E">
        <w:t xml:space="preserve">log-likelihood results generated by the </w:t>
      </w:r>
      <w:proofErr w:type="spellStart"/>
      <w:r w:rsidR="00256D5E">
        <w:t>glasso</w:t>
      </w:r>
      <w:proofErr w:type="spellEnd"/>
      <w:r w:rsidR="00256D5E">
        <w:t xml:space="preserve"> package</w:t>
      </w:r>
      <w:r w:rsidR="00212714">
        <w:t xml:space="preserve"> </w:t>
      </w:r>
      <w:r w:rsidR="00256D5E">
        <w:fldChar w:fldCharType="begin"/>
      </w:r>
      <w:r w:rsidR="00696794">
        <w:instrText xml:space="preserve"> ADDIN EN.CITE &lt;EndNote&gt;&lt;Cite&gt;&lt;Author&gt;Akaike&lt;/Author&gt;&lt;Year&gt;1974&lt;/Year&gt;&lt;RecNum&gt;777&lt;/RecNum&gt;&lt;DisplayText&gt;[2]&lt;/DisplayText&gt;&lt;record&gt;&lt;rec-number&gt;777&lt;/rec-number&gt;&lt;foreign-keys&gt;&lt;key app="EN" db-id="fewpef2p92a028e5dp0p0wded95tpvxea9zv" timestamp="1468543339"&gt;777&lt;/key&gt;&lt;/foreign-keys&gt;&lt;ref-type name="Journal Article"&gt;17&lt;/ref-type&gt;&lt;contributors&gt;&lt;authors&gt;&lt;author&gt;Akaike, H.&lt;/author&gt;&lt;/authors&gt;&lt;/contributors&gt;&lt;auth-address&gt;Inst Statistical Math,Minato,Tokyo,Japan&lt;/auth-address&gt;&lt;titles&gt;&lt;title&gt;New Look at Statistical-Model Identification&lt;/title&gt;&lt;secondary-title&gt;Ieee Transactions on Automatic Control&lt;/secondary-title&gt;&lt;alt-title&gt;Ieee T Automat Contr&lt;/alt-title&gt;&lt;/titles&gt;&lt;periodical&gt;&lt;full-title&gt;Ieee Transactions on Automatic Control&lt;/full-title&gt;&lt;abbr-1&gt;Ieee T Automat Contr&lt;/abbr-1&gt;&lt;/periodical&gt;&lt;alt-periodical&gt;&lt;full-title&gt;Ieee Transactions on Automatic Control&lt;/full-title&gt;&lt;abbr-1&gt;Ieee T Automat Contr&lt;/abbr-1&gt;&lt;/alt-periodical&gt;&lt;pages&gt;716-723&lt;/pages&gt;&lt;volume&gt;Ac19&lt;/volume&gt;&lt;number&gt;6&lt;/number&gt;&lt;dates&gt;&lt;year&gt;1974&lt;/year&gt;&lt;/dates&gt;&lt;isbn&gt;0018-9286&lt;/isbn&gt;&lt;accession-num&gt;WOS:A1974U921700011&lt;/accession-num&gt;&lt;urls&gt;&lt;related-urls&gt;&lt;url&gt;&amp;lt;Go to ISI&amp;gt;://WOS:A1974U921700011&lt;/url&gt;&lt;/related-urls&gt;&lt;/urls&gt;&lt;electronic-resource-num&gt;Doi 10.1109/Tac.1974.1100705&lt;/electronic-resource-num&gt;&lt;language&gt;English&lt;/language&gt;&lt;/record&gt;&lt;/Cite&gt;&lt;/EndNote&gt;</w:instrText>
      </w:r>
      <w:r w:rsidR="00256D5E">
        <w:fldChar w:fldCharType="separate"/>
      </w:r>
      <w:r w:rsidR="00696794">
        <w:rPr>
          <w:noProof/>
        </w:rPr>
        <w:t>[2]</w:t>
      </w:r>
      <w:r w:rsidR="00256D5E">
        <w:fldChar w:fldCharType="end"/>
      </w:r>
      <w:r w:rsidR="00256D5E">
        <w:t>.</w:t>
      </w:r>
      <w:r>
        <w:t xml:space="preserve"> AIC penalizes the log-likelihood by the number of estimated parameters in the system, in this case </w:t>
      </w:r>
      <w:r w:rsidRPr="00D80E47">
        <w:rPr>
          <w:i/>
        </w:rPr>
        <w:t>m</w:t>
      </w:r>
      <w:r w:rsidRPr="008E6CB6">
        <w:rPr>
          <w:i/>
          <w:vertAlign w:val="subscript"/>
        </w:rPr>
        <w:t>y</w:t>
      </w:r>
      <w:r>
        <w:t xml:space="preserve"> (</w:t>
      </w:r>
      <w:proofErr w:type="spellStart"/>
      <w:r>
        <w:t>eq</w:t>
      </w:r>
      <w:proofErr w:type="spellEnd"/>
      <w:r>
        <w:t xml:space="preserve"> S</w:t>
      </w:r>
      <w:r w:rsidR="008E7A0F">
        <w:t>1</w:t>
      </w:r>
      <w:r>
        <w:t>)</w:t>
      </w:r>
      <w:r w:rsidR="00256D5E">
        <w:t>. T</w:t>
      </w:r>
      <w:r>
        <w:t xml:space="preserve">he preferred model is that one which minimizes AIC. </w:t>
      </w:r>
    </w:p>
    <w:tbl>
      <w:tblPr>
        <w:tblStyle w:val="TableGrid"/>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1437"/>
      </w:tblGrid>
      <w:tr w:rsidR="0005658E" w14:paraId="63688059" w14:textId="77777777" w:rsidTr="0005658E">
        <w:tc>
          <w:tcPr>
            <w:tcW w:w="4244" w:type="pct"/>
          </w:tcPr>
          <w:p w14:paraId="0DB961B5" w14:textId="77777777" w:rsidR="0005658E" w:rsidRPr="008E6CB6" w:rsidRDefault="0005658E" w:rsidP="0005658E">
            <w:pPr>
              <w:jc w:val="center"/>
            </w:pPr>
            <w:proofErr w:type="spellStart"/>
            <w:r>
              <w:t>AIC</w:t>
            </w:r>
            <w:r w:rsidRPr="008E6CB6">
              <w:rPr>
                <w:i/>
                <w:vertAlign w:val="subscript"/>
              </w:rPr>
              <w:t>y</w:t>
            </w:r>
            <w:proofErr w:type="spellEnd"/>
            <w:r>
              <w:t xml:space="preserve"> = 2</w:t>
            </w:r>
            <w:r w:rsidRPr="00D80E47">
              <w:rPr>
                <w:i/>
              </w:rPr>
              <w:t>m</w:t>
            </w:r>
            <w:r w:rsidRPr="008E6CB6">
              <w:rPr>
                <w:i/>
                <w:vertAlign w:val="subscript"/>
              </w:rPr>
              <w:t>y</w:t>
            </w:r>
            <w:r>
              <w:t xml:space="preserve"> – 2 ln (</w:t>
            </w:r>
            <w:r>
              <w:rPr>
                <w:i/>
              </w:rPr>
              <w:t>L</w:t>
            </w:r>
            <w:r w:rsidRPr="008E6CB6">
              <w:rPr>
                <w:i/>
                <w:vertAlign w:val="subscript"/>
              </w:rPr>
              <w:t>y</w:t>
            </w:r>
            <w:r>
              <w:t>)</w:t>
            </w:r>
          </w:p>
        </w:tc>
        <w:tc>
          <w:tcPr>
            <w:tcW w:w="756" w:type="pct"/>
          </w:tcPr>
          <w:p w14:paraId="1BE60C09" w14:textId="59F009BB" w:rsidR="0005658E" w:rsidRDefault="0005658E" w:rsidP="00E15FB1">
            <w:r>
              <w:t>(</w:t>
            </w:r>
            <w:proofErr w:type="spellStart"/>
            <w:r>
              <w:t>Eq</w:t>
            </w:r>
            <w:proofErr w:type="spellEnd"/>
            <w:r>
              <w:t xml:space="preserve"> S</w:t>
            </w:r>
            <w:r w:rsidR="00696794">
              <w:t>1</w:t>
            </w:r>
            <w:r>
              <w:t>)</w:t>
            </w:r>
          </w:p>
        </w:tc>
      </w:tr>
    </w:tbl>
    <w:p w14:paraId="3B10B052" w14:textId="77777777" w:rsidR="0005658E" w:rsidRDefault="0005658E" w:rsidP="0005658E"/>
    <w:p w14:paraId="0A491967" w14:textId="5E022958" w:rsidR="0005658E" w:rsidRDefault="0005658E" w:rsidP="0005658E">
      <w:r>
        <w:t>Based on the year,</w:t>
      </w:r>
      <w:r w:rsidR="00256D5E">
        <w:t xml:space="preserve"> </w:t>
      </w:r>
      <w:r w:rsidR="00774995">
        <w:t>the</w:t>
      </w:r>
      <w:r w:rsidR="00256D5E">
        <w:t xml:space="preserve"> lowest values of</w:t>
      </w:r>
      <w:r>
        <w:t xml:space="preserve"> </w:t>
      </w:r>
      <w:proofErr w:type="spellStart"/>
      <w:r>
        <w:t>AIC</w:t>
      </w:r>
      <w:r w:rsidRPr="008E6CB6">
        <w:rPr>
          <w:i/>
          <w:vertAlign w:val="subscript"/>
        </w:rPr>
        <w:t>y</w:t>
      </w:r>
      <w:proofErr w:type="spellEnd"/>
      <w:r w:rsidRPr="008E6CB6">
        <w:t xml:space="preserve"> </w:t>
      </w:r>
      <w:r w:rsidR="00256D5E">
        <w:t xml:space="preserve">were generated with the penalty on the range of </w:t>
      </w:r>
      <w:r>
        <w:t xml:space="preserve">0.05 ≤ </w:t>
      </w:r>
      <w:r w:rsidRPr="00014CC1">
        <w:rPr>
          <w:i/>
        </w:rPr>
        <w:t>ρ</w:t>
      </w:r>
      <w:r w:rsidR="00256D5E">
        <w:t xml:space="preserve"> ≤ 0.10, with 47% </w:t>
      </w:r>
      <w:r>
        <w:t xml:space="preserve">&lt; </w:t>
      </w:r>
      <w:proofErr w:type="spellStart"/>
      <w:r>
        <w:rPr>
          <w:i/>
        </w:rPr>
        <w:t>m</w:t>
      </w:r>
      <w:r w:rsidR="00256D5E">
        <w:rPr>
          <w:i/>
        </w:rPr>
        <w:t>̄</w:t>
      </w:r>
      <w:r w:rsidRPr="00014CC1">
        <w:rPr>
          <w:i/>
          <w:vertAlign w:val="subscript"/>
        </w:rPr>
        <w:t>y</w:t>
      </w:r>
      <w:proofErr w:type="spellEnd"/>
      <w:r>
        <w:rPr>
          <w:i/>
        </w:rPr>
        <w:t xml:space="preserve"> </w:t>
      </w:r>
      <w:r>
        <w:t xml:space="preserve">&lt; </w:t>
      </w:r>
      <w:r w:rsidR="00256D5E">
        <w:t>56%</w:t>
      </w:r>
      <w:r>
        <w:t xml:space="preserve"> and </w:t>
      </w:r>
      <w:r w:rsidR="00256D5E">
        <w:t>31%</w:t>
      </w:r>
      <w:r>
        <w:t xml:space="preserve"> &lt; </w:t>
      </w:r>
      <w:proofErr w:type="spellStart"/>
      <w:r>
        <w:rPr>
          <w:i/>
        </w:rPr>
        <w:t>m</w:t>
      </w:r>
      <w:r w:rsidR="00256D5E">
        <w:rPr>
          <w:i/>
        </w:rPr>
        <w:t>̄</w:t>
      </w:r>
      <w:r w:rsidRPr="00014CC1">
        <w:rPr>
          <w:i/>
          <w:vertAlign w:val="subscript"/>
        </w:rPr>
        <w:t>y</w:t>
      </w:r>
      <w:proofErr w:type="spellEnd"/>
      <w:r>
        <w:rPr>
          <w:i/>
        </w:rPr>
        <w:t xml:space="preserve"> </w:t>
      </w:r>
      <w:r w:rsidR="00256D5E">
        <w:t xml:space="preserve">&lt; 40% </w:t>
      </w:r>
      <w:r>
        <w:t xml:space="preserve">for the densest and sparsest cases, respectively. As discussed in the </w:t>
      </w:r>
      <w:r>
        <w:lastRenderedPageBreak/>
        <w:t xml:space="preserve">penalty selection section, a change in the slope of </w:t>
      </w:r>
      <w:r w:rsidR="00256D5E">
        <w:rPr>
          <w:i/>
        </w:rPr>
        <w:t>m̄</w:t>
      </w:r>
      <w:r>
        <w:t xml:space="preserve"> over </w:t>
      </w:r>
      <w:r w:rsidRPr="000458F9">
        <w:rPr>
          <w:i/>
        </w:rPr>
        <w:t>ρ</w:t>
      </w:r>
      <w:r>
        <w:t xml:space="preserve"> was also noted at </w:t>
      </w:r>
      <w:r w:rsidRPr="00014CC1">
        <w:rPr>
          <w:i/>
        </w:rPr>
        <w:t xml:space="preserve">ρ </w:t>
      </w:r>
      <w:r>
        <w:t xml:space="preserve">= 0.10. In general, we found even the sparsest network generated by this method to be too dense to usefully interpret. </w:t>
      </w:r>
    </w:p>
    <w:p w14:paraId="46538BD7" w14:textId="77777777" w:rsidR="008E7A0F" w:rsidRDefault="0005658E">
      <w:r>
        <w:t xml:space="preserve">Upon seeing the results of these penalty selection methods, it was judged that a supervised, albeit subjective, method to select </w:t>
      </w:r>
      <w:r w:rsidRPr="009F76DF">
        <w:rPr>
          <w:i/>
        </w:rPr>
        <w:t>ρ</w:t>
      </w:r>
      <w:r>
        <w:t xml:space="preserve"> would be superior. The set of R-nets generated by </w:t>
      </w:r>
      <w:r w:rsidRPr="00014CC1">
        <w:rPr>
          <w:i/>
        </w:rPr>
        <w:t xml:space="preserve">ρ </w:t>
      </w:r>
      <w:r>
        <w:t>= 0.1</w:t>
      </w:r>
      <w:r w:rsidR="00256D5E">
        <w:t>0</w:t>
      </w:r>
      <w:r>
        <w:t xml:space="preserve"> is presented as an alternate case </w:t>
      </w:r>
      <w:r w:rsidR="00256D5E">
        <w:t>in the next supplementary section</w:t>
      </w:r>
      <w:r>
        <w:t>.</w:t>
      </w:r>
    </w:p>
    <w:p w14:paraId="593FAB22" w14:textId="77777777" w:rsidR="008E7A0F" w:rsidRDefault="008E7A0F" w:rsidP="008E7A0F">
      <w:pPr>
        <w:spacing w:after="240" w:line="240" w:lineRule="auto"/>
        <w:contextualSpacing w:val="0"/>
      </w:pPr>
    </w:p>
    <w:p w14:paraId="7A61080D" w14:textId="51FFB13F" w:rsidR="008E7A0F" w:rsidRPr="008E7A0F" w:rsidRDefault="008E7A0F" w:rsidP="008E7A0F">
      <w:pPr>
        <w:spacing w:after="240" w:line="240" w:lineRule="auto"/>
        <w:contextualSpacing w:val="0"/>
        <w:rPr>
          <w:sz w:val="24"/>
          <w:szCs w:val="24"/>
        </w:rPr>
      </w:pPr>
      <w:r w:rsidRPr="008E7A0F">
        <w:rPr>
          <w:sz w:val="24"/>
          <w:szCs w:val="24"/>
        </w:rPr>
        <w:t>REFERENCES</w:t>
      </w:r>
    </w:p>
    <w:p w14:paraId="20410FCC" w14:textId="77777777" w:rsidR="008E7A0F" w:rsidRPr="008E7A0F" w:rsidRDefault="008E7A0F" w:rsidP="008E7A0F">
      <w:pPr>
        <w:pStyle w:val="EndNoteBibliography"/>
        <w:spacing w:after="0"/>
      </w:pPr>
      <w:r>
        <w:fldChar w:fldCharType="begin"/>
      </w:r>
      <w:r>
        <w:instrText xml:space="preserve"> ADDIN EN.REFLIST </w:instrText>
      </w:r>
      <w:r>
        <w:fldChar w:fldCharType="separate"/>
      </w:r>
      <w:r w:rsidRPr="008E7A0F">
        <w:t>1.</w:t>
      </w:r>
      <w:r w:rsidRPr="008E7A0F">
        <w:tab/>
        <w:t>Lockhart R, Taylor J, Tibshirani RJ, Tibshirani R. A significance test for the lasso. 2014:413-68. doi: 10.1214/13-AOS1175.</w:t>
      </w:r>
    </w:p>
    <w:p w14:paraId="4E081F0D" w14:textId="77777777" w:rsidR="008E7A0F" w:rsidRPr="008E7A0F" w:rsidRDefault="008E7A0F" w:rsidP="008E7A0F">
      <w:pPr>
        <w:pStyle w:val="EndNoteBibliography"/>
      </w:pPr>
      <w:r w:rsidRPr="008E7A0F">
        <w:t>2.</w:t>
      </w:r>
      <w:r w:rsidRPr="008E7A0F">
        <w:tab/>
        <w:t>Akaike H. New Look at Statistical-Model Identification. Ieee T Automat Contr. 1974;Ac19(6):716-23. doi: Doi 10.1109/Tac.1974.1100705. PubMed PMID: WOS:A1974U921700011.</w:t>
      </w:r>
    </w:p>
    <w:p w14:paraId="28AD0487" w14:textId="7201E702" w:rsidR="0005658E" w:rsidRDefault="008E7A0F" w:rsidP="008E7A0F">
      <w:r>
        <w:fldChar w:fldCharType="end"/>
      </w:r>
      <w:r w:rsidR="0005658E">
        <w:br w:type="page"/>
      </w:r>
    </w:p>
    <w:p w14:paraId="15674CFF" w14:textId="3C6EC10D" w:rsidR="0005658E" w:rsidRPr="00A13508" w:rsidRDefault="0005658E" w:rsidP="0005658E">
      <w:pPr>
        <w:rPr>
          <w:sz w:val="24"/>
        </w:rPr>
      </w:pPr>
      <w:r w:rsidRPr="00A13508">
        <w:rPr>
          <w:b/>
          <w:sz w:val="24"/>
        </w:rPr>
        <w:lastRenderedPageBreak/>
        <w:t>Table S</w:t>
      </w:r>
      <w:r w:rsidR="00696794">
        <w:rPr>
          <w:b/>
          <w:sz w:val="24"/>
        </w:rPr>
        <w:t>2-1</w:t>
      </w:r>
      <w:r w:rsidRPr="00A13508">
        <w:rPr>
          <w:sz w:val="24"/>
        </w:rPr>
        <w:t xml:space="preserve">. </w:t>
      </w:r>
      <w:r w:rsidRPr="00D45B27">
        <w:rPr>
          <w:sz w:val="24"/>
        </w:rPr>
        <w:t>Summar</w:t>
      </w:r>
      <w:r w:rsidR="00D45B27">
        <w:rPr>
          <w:sz w:val="24"/>
        </w:rPr>
        <w:t>y of</w:t>
      </w:r>
      <w:r w:rsidRPr="00A13508">
        <w:rPr>
          <w:sz w:val="24"/>
        </w:rPr>
        <w:t xml:space="preserve"> unweighted (</w:t>
      </w:r>
      <w:r w:rsidRPr="00A13508">
        <w:rPr>
          <w:i/>
          <w:sz w:val="24"/>
        </w:rPr>
        <w:t>Q</w:t>
      </w:r>
      <w:r w:rsidRPr="00A13508">
        <w:rPr>
          <w:sz w:val="24"/>
        </w:rPr>
        <w:t>) and weighted (</w:t>
      </w:r>
      <w:r w:rsidRPr="00A13508">
        <w:rPr>
          <w:i/>
          <w:sz w:val="24"/>
        </w:rPr>
        <w:t>Q’</w:t>
      </w:r>
      <w:r w:rsidRPr="00A13508">
        <w:rPr>
          <w:sz w:val="24"/>
        </w:rPr>
        <w:t xml:space="preserve">) modularity </w:t>
      </w:r>
      <w:r w:rsidR="00D45B27">
        <w:rPr>
          <w:sz w:val="24"/>
        </w:rPr>
        <w:t>estimates for</w:t>
      </w:r>
      <w:r w:rsidRPr="00A13508">
        <w:rPr>
          <w:sz w:val="24"/>
        </w:rPr>
        <w:t xml:space="preserve"> </w:t>
      </w:r>
      <w:r w:rsidRPr="00A13508">
        <w:rPr>
          <w:i/>
          <w:sz w:val="24"/>
        </w:rPr>
        <w:t xml:space="preserve">E. </w:t>
      </w:r>
      <w:proofErr w:type="gramStart"/>
      <w:r w:rsidRPr="00A13508">
        <w:rPr>
          <w:i/>
          <w:sz w:val="24"/>
        </w:rPr>
        <w:t>coli</w:t>
      </w:r>
      <w:proofErr w:type="gramEnd"/>
      <w:r w:rsidRPr="00A13508">
        <w:rPr>
          <w:i/>
          <w:sz w:val="24"/>
        </w:rPr>
        <w:t xml:space="preserve"> </w:t>
      </w:r>
      <w:r w:rsidRPr="00A13508">
        <w:rPr>
          <w:sz w:val="24"/>
        </w:rPr>
        <w:t xml:space="preserve">R-nets from the 2004-2012 NARMS study. </w:t>
      </w:r>
      <w:r w:rsidR="00D45B27">
        <w:rPr>
          <w:sz w:val="24"/>
        </w:rPr>
        <w:t xml:space="preserve">The </w:t>
      </w:r>
      <w:r w:rsidR="00D45B27">
        <w:t>d</w:t>
      </w:r>
      <w:r w:rsidRPr="00D45B27">
        <w:rPr>
          <w:sz w:val="24"/>
        </w:rPr>
        <w:t>ata</w:t>
      </w:r>
      <w:r w:rsidRPr="00A13508">
        <w:rPr>
          <w:sz w:val="24"/>
        </w:rPr>
        <w:t xml:space="preserve"> used to estimate network structure </w:t>
      </w:r>
      <w:r w:rsidR="00D45B27">
        <w:rPr>
          <w:sz w:val="24"/>
        </w:rPr>
        <w:t xml:space="preserve">included </w:t>
      </w:r>
      <w:r w:rsidRPr="00A13508">
        <w:rPr>
          <w:sz w:val="24"/>
        </w:rPr>
        <w:t xml:space="preserve">MIC results for 16 drugs from 14,418 </w:t>
      </w:r>
      <w:r w:rsidRPr="00A13508">
        <w:rPr>
          <w:i/>
          <w:sz w:val="24"/>
        </w:rPr>
        <w:t xml:space="preserve">E. coli </w:t>
      </w:r>
      <w:r w:rsidRPr="00A13508">
        <w:rPr>
          <w:sz w:val="24"/>
        </w:rPr>
        <w:t xml:space="preserve">isolates collected by the FDA and USDA. Drug resistances were classified by the </w:t>
      </w:r>
      <w:r w:rsidR="00D45B27">
        <w:rPr>
          <w:sz w:val="24"/>
        </w:rPr>
        <w:t>class</w:t>
      </w:r>
      <w:r w:rsidRPr="00A13508">
        <w:rPr>
          <w:sz w:val="24"/>
        </w:rPr>
        <w:t xml:space="preserve"> of drug associated with resistances, and included aminoglycosides, </w:t>
      </w:r>
      <w:proofErr w:type="spellStart"/>
      <w:r w:rsidR="00857826">
        <w:rPr>
          <w:sz w:val="24"/>
        </w:rPr>
        <w:t>amphenicols</w:t>
      </w:r>
      <w:proofErr w:type="spellEnd"/>
      <w:r w:rsidR="00857826">
        <w:rPr>
          <w:sz w:val="24"/>
        </w:rPr>
        <w:t xml:space="preserve">, </w:t>
      </w:r>
      <w:r w:rsidRPr="00A13508">
        <w:rPr>
          <w:sz w:val="24"/>
        </w:rPr>
        <w:t xml:space="preserve">β-lactams, fluoroquinolones, sulfonamides, </w:t>
      </w:r>
      <w:proofErr w:type="spellStart"/>
      <w:r w:rsidRPr="00A13508">
        <w:rPr>
          <w:sz w:val="24"/>
        </w:rPr>
        <w:t>tetracyclines</w:t>
      </w:r>
      <w:proofErr w:type="spellEnd"/>
      <w:r w:rsidRPr="00A13508">
        <w:rPr>
          <w:sz w:val="24"/>
        </w:rPr>
        <w:t>, and macrolides (See Table 1). Mean (</w:t>
      </w:r>
      <w:r w:rsidRPr="00A13508">
        <w:rPr>
          <w:rFonts w:ascii="Calibri" w:hAnsi="Calibri"/>
          <w:i/>
          <w:color w:val="000000"/>
          <w:sz w:val="24"/>
        </w:rPr>
        <w:t>Q̄</w:t>
      </w:r>
      <w:r w:rsidRPr="00A13508">
        <w:rPr>
          <w:rFonts w:ascii="Calibri" w:hAnsi="Calibri"/>
          <w:color w:val="000000"/>
          <w:sz w:val="24"/>
        </w:rPr>
        <w:t>;</w:t>
      </w:r>
      <w:r w:rsidRPr="00A13508">
        <w:rPr>
          <w:rFonts w:ascii="Calibri" w:hAnsi="Calibri"/>
          <w:i/>
          <w:color w:val="000000"/>
          <w:sz w:val="24"/>
        </w:rPr>
        <w:t xml:space="preserve"> Q̄’</w:t>
      </w:r>
      <w:r w:rsidRPr="00A13508">
        <w:rPr>
          <w:rFonts w:ascii="Calibri" w:hAnsi="Calibri"/>
          <w:color w:val="000000"/>
          <w:sz w:val="24"/>
        </w:rPr>
        <w:t>), median (</w:t>
      </w:r>
      <w:r w:rsidRPr="00A13508">
        <w:rPr>
          <w:rFonts w:ascii="Calibri" w:hAnsi="Calibri"/>
          <w:i/>
          <w:color w:val="000000"/>
          <w:sz w:val="24"/>
        </w:rPr>
        <w:t>Q</w:t>
      </w:r>
      <w:r w:rsidRPr="00A13508">
        <w:rPr>
          <w:rFonts w:ascii="Calibri" w:hAnsi="Calibri"/>
          <w:color w:val="000000"/>
          <w:sz w:val="24"/>
          <w:vertAlign w:val="subscript"/>
        </w:rPr>
        <w:t>50</w:t>
      </w:r>
      <w:r w:rsidRPr="00A13508">
        <w:rPr>
          <w:rFonts w:ascii="Calibri" w:hAnsi="Calibri"/>
          <w:color w:val="000000"/>
          <w:sz w:val="24"/>
        </w:rPr>
        <w:t>,</w:t>
      </w:r>
      <w:r w:rsidRPr="00A13508">
        <w:rPr>
          <w:rFonts w:ascii="Calibri" w:hAnsi="Calibri"/>
          <w:i/>
          <w:color w:val="000000"/>
          <w:sz w:val="24"/>
        </w:rPr>
        <w:t xml:space="preserve"> Q’</w:t>
      </w:r>
      <w:r w:rsidRPr="00A13508">
        <w:rPr>
          <w:rFonts w:ascii="Calibri" w:hAnsi="Calibri"/>
          <w:color w:val="000000"/>
          <w:sz w:val="24"/>
          <w:vertAlign w:val="subscript"/>
        </w:rPr>
        <w:t>50</w:t>
      </w:r>
      <w:r w:rsidRPr="00A13508">
        <w:rPr>
          <w:rFonts w:ascii="Calibri" w:hAnsi="Calibri"/>
          <w:color w:val="000000"/>
          <w:sz w:val="24"/>
        </w:rPr>
        <w:t>) and range of modularity over the 9 years of the study are summarized based on the various L</w:t>
      </w:r>
      <w:r w:rsidRPr="00A13508">
        <w:rPr>
          <w:rFonts w:ascii="Calibri" w:hAnsi="Calibri"/>
          <w:color w:val="000000"/>
          <w:sz w:val="24"/>
          <w:vertAlign w:val="subscript"/>
        </w:rPr>
        <w:t>1</w:t>
      </w:r>
      <w:r w:rsidRPr="00A13508">
        <w:rPr>
          <w:rFonts w:ascii="Calibri" w:hAnsi="Calibri"/>
          <w:color w:val="000000"/>
          <w:sz w:val="24"/>
        </w:rPr>
        <w:t xml:space="preserve"> penalties (</w:t>
      </w:r>
      <w:r w:rsidRPr="00A13508">
        <w:rPr>
          <w:rFonts w:ascii="Calibri" w:hAnsi="Calibri"/>
          <w:i/>
          <w:color w:val="000000"/>
          <w:sz w:val="24"/>
        </w:rPr>
        <w:t>ρ</w:t>
      </w:r>
      <w:r w:rsidRPr="00A13508">
        <w:rPr>
          <w:rFonts w:ascii="Calibri" w:hAnsi="Calibri"/>
          <w:color w:val="000000"/>
          <w:sz w:val="24"/>
        </w:rPr>
        <w:t xml:space="preserve">) </w:t>
      </w:r>
      <w:r w:rsidR="00D45B27">
        <w:rPr>
          <w:rFonts w:ascii="Calibri" w:hAnsi="Calibri"/>
          <w:color w:val="000000"/>
          <w:sz w:val="24"/>
        </w:rPr>
        <w:t xml:space="preserve">and were </w:t>
      </w:r>
      <w:r w:rsidRPr="00A13508">
        <w:rPr>
          <w:rFonts w:ascii="Calibri" w:hAnsi="Calibri"/>
          <w:color w:val="000000"/>
          <w:sz w:val="24"/>
        </w:rPr>
        <w:t xml:space="preserve">evaluated to determine a common penalty. </w:t>
      </w:r>
      <w:r w:rsidR="00D45B27">
        <w:rPr>
          <w:rFonts w:ascii="Calibri" w:hAnsi="Calibri"/>
          <w:color w:val="000000"/>
          <w:sz w:val="24"/>
        </w:rPr>
        <w:t>All</w:t>
      </w:r>
      <w:r w:rsidRPr="00D45B27">
        <w:rPr>
          <w:rFonts w:ascii="Calibri" w:hAnsi="Calibri"/>
          <w:color w:val="000000"/>
          <w:sz w:val="24"/>
        </w:rPr>
        <w:t xml:space="preserve"> </w:t>
      </w:r>
      <w:r w:rsidR="00D45B27">
        <w:rPr>
          <w:rFonts w:ascii="Calibri" w:hAnsi="Calibri"/>
          <w:i/>
          <w:color w:val="000000"/>
          <w:sz w:val="24"/>
        </w:rPr>
        <w:t xml:space="preserve">Q </w:t>
      </w:r>
      <w:r w:rsidR="00D45B27" w:rsidRPr="00D45B27">
        <w:rPr>
          <w:rFonts w:ascii="Calibri" w:hAnsi="Calibri"/>
          <w:color w:val="000000"/>
          <w:sz w:val="24"/>
        </w:rPr>
        <w:t>and</w:t>
      </w:r>
      <w:r w:rsidR="00D45B27">
        <w:rPr>
          <w:rFonts w:ascii="Calibri" w:hAnsi="Calibri"/>
          <w:i/>
          <w:color w:val="000000"/>
          <w:sz w:val="24"/>
        </w:rPr>
        <w:t xml:space="preserve"> Q’</w:t>
      </w:r>
      <w:r w:rsidRPr="00A13508">
        <w:rPr>
          <w:rFonts w:ascii="Calibri" w:hAnsi="Calibri"/>
          <w:color w:val="000000"/>
          <w:sz w:val="24"/>
        </w:rPr>
        <w:t xml:space="preserve"> estimates were positive in all years.</w:t>
      </w:r>
    </w:p>
    <w:tbl>
      <w:tblPr>
        <w:tblW w:w="8393" w:type="dxa"/>
        <w:tblLook w:val="04A0" w:firstRow="1" w:lastRow="0" w:firstColumn="1" w:lastColumn="0" w:noHBand="0" w:noVBand="1"/>
      </w:tblPr>
      <w:tblGrid>
        <w:gridCol w:w="721"/>
        <w:gridCol w:w="224"/>
        <w:gridCol w:w="958"/>
        <w:gridCol w:w="718"/>
        <w:gridCol w:w="1895"/>
        <w:gridCol w:w="233"/>
        <w:gridCol w:w="958"/>
        <w:gridCol w:w="958"/>
        <w:gridCol w:w="1728"/>
      </w:tblGrid>
      <w:tr w:rsidR="0005658E" w:rsidRPr="008D5345" w14:paraId="387A950B" w14:textId="77777777" w:rsidTr="00774995">
        <w:trPr>
          <w:trHeight w:val="288"/>
        </w:trPr>
        <w:tc>
          <w:tcPr>
            <w:tcW w:w="721" w:type="dxa"/>
            <w:tcBorders>
              <w:top w:val="single" w:sz="12" w:space="0" w:color="auto"/>
              <w:left w:val="nil"/>
              <w:right w:val="nil"/>
            </w:tcBorders>
            <w:shd w:val="clear" w:color="auto" w:fill="auto"/>
            <w:noWrap/>
          </w:tcPr>
          <w:p w14:paraId="370192C7" w14:textId="77777777" w:rsidR="0005658E" w:rsidRPr="008D5345" w:rsidRDefault="0005658E" w:rsidP="0005658E">
            <w:pPr>
              <w:spacing w:before="120" w:after="0" w:line="240" w:lineRule="auto"/>
              <w:jc w:val="center"/>
              <w:rPr>
                <w:rFonts w:ascii="Calibri" w:eastAsia="Times New Roman" w:hAnsi="Calibri" w:cs="Times New Roman"/>
                <w:color w:val="000000"/>
              </w:rPr>
            </w:pPr>
          </w:p>
        </w:tc>
        <w:tc>
          <w:tcPr>
            <w:tcW w:w="224" w:type="dxa"/>
            <w:tcBorders>
              <w:top w:val="single" w:sz="12" w:space="0" w:color="auto"/>
              <w:left w:val="nil"/>
              <w:right w:val="nil"/>
            </w:tcBorders>
          </w:tcPr>
          <w:p w14:paraId="5268A25A" w14:textId="77777777" w:rsidR="0005658E" w:rsidRPr="008D5345" w:rsidRDefault="0005658E" w:rsidP="0005658E">
            <w:pPr>
              <w:spacing w:before="120" w:after="0" w:line="240" w:lineRule="auto"/>
              <w:jc w:val="center"/>
              <w:rPr>
                <w:rFonts w:ascii="Calibri" w:eastAsia="Times New Roman" w:hAnsi="Calibri" w:cs="Times New Roman"/>
                <w:color w:val="000000"/>
              </w:rPr>
            </w:pPr>
          </w:p>
        </w:tc>
        <w:tc>
          <w:tcPr>
            <w:tcW w:w="3571" w:type="dxa"/>
            <w:gridSpan w:val="3"/>
            <w:tcBorders>
              <w:top w:val="single" w:sz="12" w:space="0" w:color="auto"/>
              <w:left w:val="nil"/>
              <w:right w:val="nil"/>
            </w:tcBorders>
            <w:shd w:val="clear" w:color="auto" w:fill="auto"/>
            <w:noWrap/>
          </w:tcPr>
          <w:p w14:paraId="13292A2B" w14:textId="77777777" w:rsidR="0005658E" w:rsidRPr="00943203" w:rsidRDefault="0005658E" w:rsidP="0005658E">
            <w:pPr>
              <w:spacing w:before="120" w:after="0" w:line="240" w:lineRule="auto"/>
              <w:jc w:val="center"/>
              <w:rPr>
                <w:rFonts w:ascii="Calibri" w:eastAsia="Times New Roman" w:hAnsi="Calibri" w:cs="Times New Roman"/>
                <w:color w:val="000000"/>
                <w:sz w:val="24"/>
                <w:szCs w:val="24"/>
                <w:u w:val="single"/>
              </w:rPr>
            </w:pPr>
            <w:r w:rsidRPr="00943203">
              <w:rPr>
                <w:rFonts w:ascii="Calibri" w:eastAsia="Times New Roman" w:hAnsi="Calibri" w:cs="Times New Roman"/>
                <w:color w:val="000000"/>
                <w:sz w:val="24"/>
                <w:szCs w:val="24"/>
                <w:u w:val="single"/>
              </w:rPr>
              <w:t>Unweighted</w:t>
            </w:r>
          </w:p>
        </w:tc>
        <w:tc>
          <w:tcPr>
            <w:tcW w:w="233" w:type="dxa"/>
            <w:tcBorders>
              <w:top w:val="single" w:sz="12" w:space="0" w:color="auto"/>
              <w:left w:val="nil"/>
              <w:right w:val="nil"/>
            </w:tcBorders>
          </w:tcPr>
          <w:p w14:paraId="2D43746F" w14:textId="77777777" w:rsidR="0005658E" w:rsidRPr="008D5345" w:rsidRDefault="0005658E" w:rsidP="0005658E">
            <w:pPr>
              <w:spacing w:before="120" w:after="0" w:line="240" w:lineRule="auto"/>
              <w:jc w:val="center"/>
              <w:rPr>
                <w:rFonts w:ascii="Calibri" w:eastAsia="Times New Roman" w:hAnsi="Calibri" w:cs="Times New Roman"/>
                <w:color w:val="000000"/>
              </w:rPr>
            </w:pPr>
          </w:p>
        </w:tc>
        <w:tc>
          <w:tcPr>
            <w:tcW w:w="3644" w:type="dxa"/>
            <w:gridSpan w:val="3"/>
            <w:tcBorders>
              <w:top w:val="single" w:sz="12" w:space="0" w:color="auto"/>
              <w:left w:val="nil"/>
              <w:right w:val="nil"/>
            </w:tcBorders>
            <w:shd w:val="clear" w:color="auto" w:fill="auto"/>
            <w:noWrap/>
          </w:tcPr>
          <w:p w14:paraId="0FD6A4BD" w14:textId="77777777" w:rsidR="0005658E" w:rsidRPr="00943203" w:rsidRDefault="0005658E" w:rsidP="0005658E">
            <w:pPr>
              <w:spacing w:before="120" w:after="0" w:line="240" w:lineRule="auto"/>
              <w:jc w:val="center"/>
              <w:rPr>
                <w:rFonts w:ascii="Calibri" w:eastAsia="Times New Roman" w:hAnsi="Calibri" w:cs="Times New Roman"/>
                <w:color w:val="000000"/>
                <w:u w:val="single"/>
              </w:rPr>
            </w:pPr>
            <w:r w:rsidRPr="00943203">
              <w:rPr>
                <w:rFonts w:ascii="Calibri" w:eastAsia="Times New Roman" w:hAnsi="Calibri" w:cs="Times New Roman"/>
                <w:color w:val="000000"/>
                <w:u w:val="single"/>
              </w:rPr>
              <w:t>Weighted</w:t>
            </w:r>
          </w:p>
        </w:tc>
      </w:tr>
      <w:tr w:rsidR="0005658E" w:rsidRPr="008D5345" w14:paraId="14A1C684" w14:textId="77777777" w:rsidTr="0005658E">
        <w:trPr>
          <w:trHeight w:val="300"/>
        </w:trPr>
        <w:tc>
          <w:tcPr>
            <w:tcW w:w="721" w:type="dxa"/>
            <w:tcBorders>
              <w:top w:val="nil"/>
              <w:left w:val="nil"/>
              <w:bottom w:val="single" w:sz="4" w:space="0" w:color="auto"/>
              <w:right w:val="nil"/>
            </w:tcBorders>
            <w:shd w:val="clear" w:color="auto" w:fill="auto"/>
            <w:noWrap/>
            <w:vAlign w:val="center"/>
          </w:tcPr>
          <w:p w14:paraId="51B48B2E" w14:textId="77777777" w:rsidR="0005658E" w:rsidRPr="008D5345" w:rsidRDefault="0005658E" w:rsidP="0005658E">
            <w:pPr>
              <w:spacing w:after="0" w:line="240" w:lineRule="auto"/>
              <w:jc w:val="center"/>
              <w:rPr>
                <w:rFonts w:ascii="Calibri" w:eastAsia="Times New Roman" w:hAnsi="Calibri" w:cs="Times New Roman"/>
                <w:i/>
                <w:color w:val="000000"/>
              </w:rPr>
            </w:pPr>
            <w:r w:rsidRPr="008D5345">
              <w:rPr>
                <w:rFonts w:ascii="Calibri" w:eastAsia="Times New Roman" w:hAnsi="Calibri" w:cs="Times New Roman"/>
                <w:i/>
                <w:color w:val="000000"/>
              </w:rPr>
              <w:t>ρ</w:t>
            </w:r>
          </w:p>
        </w:tc>
        <w:tc>
          <w:tcPr>
            <w:tcW w:w="224" w:type="dxa"/>
            <w:tcBorders>
              <w:top w:val="nil"/>
              <w:left w:val="nil"/>
              <w:right w:val="nil"/>
            </w:tcBorders>
            <w:vAlign w:val="center"/>
          </w:tcPr>
          <w:p w14:paraId="164C48CB"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single" w:sz="4" w:space="0" w:color="auto"/>
              <w:right w:val="nil"/>
            </w:tcBorders>
            <w:shd w:val="clear" w:color="auto" w:fill="auto"/>
            <w:noWrap/>
            <w:vAlign w:val="center"/>
          </w:tcPr>
          <w:p w14:paraId="07914880" w14:textId="77777777" w:rsidR="0005658E" w:rsidRPr="008D5345" w:rsidRDefault="0005658E" w:rsidP="0005658E">
            <w:pPr>
              <w:spacing w:after="0" w:line="240" w:lineRule="auto"/>
              <w:jc w:val="center"/>
              <w:rPr>
                <w:rFonts w:ascii="Calibri" w:eastAsia="Times New Roman" w:hAnsi="Calibri" w:cs="Times New Roman"/>
                <w:i/>
                <w:color w:val="000000"/>
              </w:rPr>
            </w:pPr>
            <w:r w:rsidRPr="008D5345">
              <w:rPr>
                <w:rFonts w:ascii="Calibri" w:eastAsia="Times New Roman" w:hAnsi="Calibri" w:cs="Times New Roman"/>
                <w:i/>
                <w:color w:val="000000"/>
              </w:rPr>
              <w:t>Q̄</w:t>
            </w:r>
          </w:p>
        </w:tc>
        <w:tc>
          <w:tcPr>
            <w:tcW w:w="718" w:type="dxa"/>
            <w:tcBorders>
              <w:top w:val="nil"/>
              <w:left w:val="nil"/>
              <w:bottom w:val="single" w:sz="4" w:space="0" w:color="auto"/>
              <w:right w:val="nil"/>
            </w:tcBorders>
            <w:shd w:val="clear" w:color="auto" w:fill="auto"/>
            <w:noWrap/>
            <w:vAlign w:val="center"/>
          </w:tcPr>
          <w:p w14:paraId="6B97052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i/>
                <w:color w:val="000000"/>
              </w:rPr>
              <w:t>Q</w:t>
            </w:r>
            <w:r w:rsidRPr="008D5345">
              <w:rPr>
                <w:rFonts w:ascii="Calibri" w:eastAsia="Times New Roman" w:hAnsi="Calibri" w:cs="Times New Roman"/>
                <w:color w:val="000000"/>
                <w:vertAlign w:val="subscript"/>
              </w:rPr>
              <w:t>50</w:t>
            </w:r>
          </w:p>
        </w:tc>
        <w:tc>
          <w:tcPr>
            <w:tcW w:w="1895" w:type="dxa"/>
            <w:tcBorders>
              <w:top w:val="nil"/>
              <w:left w:val="nil"/>
              <w:bottom w:val="single" w:sz="4" w:space="0" w:color="auto"/>
              <w:right w:val="nil"/>
            </w:tcBorders>
            <w:shd w:val="clear" w:color="auto" w:fill="auto"/>
            <w:noWrap/>
            <w:vAlign w:val="center"/>
          </w:tcPr>
          <w:p w14:paraId="1BAE95C6" w14:textId="77777777" w:rsidR="0005658E" w:rsidRPr="008D5345"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Range</w:t>
            </w:r>
          </w:p>
        </w:tc>
        <w:tc>
          <w:tcPr>
            <w:tcW w:w="233" w:type="dxa"/>
            <w:tcBorders>
              <w:top w:val="nil"/>
              <w:left w:val="nil"/>
              <w:right w:val="nil"/>
            </w:tcBorders>
            <w:vAlign w:val="center"/>
          </w:tcPr>
          <w:p w14:paraId="13B47B5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single" w:sz="4" w:space="0" w:color="auto"/>
              <w:right w:val="nil"/>
            </w:tcBorders>
            <w:shd w:val="clear" w:color="auto" w:fill="auto"/>
            <w:noWrap/>
            <w:vAlign w:val="center"/>
          </w:tcPr>
          <w:p w14:paraId="0DEB7040" w14:textId="77777777" w:rsidR="0005658E" w:rsidRPr="00943203" w:rsidRDefault="0005658E" w:rsidP="0005658E">
            <w:pPr>
              <w:spacing w:after="0" w:line="240" w:lineRule="auto"/>
              <w:jc w:val="center"/>
              <w:rPr>
                <w:rFonts w:ascii="Calibri" w:eastAsia="Times New Roman" w:hAnsi="Calibri" w:cs="Times New Roman"/>
                <w:i/>
                <w:color w:val="000000"/>
              </w:rPr>
            </w:pPr>
            <w:r w:rsidRPr="00943203">
              <w:rPr>
                <w:rFonts w:ascii="Calibri" w:eastAsia="Times New Roman" w:hAnsi="Calibri" w:cs="Times New Roman"/>
                <w:i/>
                <w:color w:val="000000"/>
              </w:rPr>
              <w:t>Q</w:t>
            </w:r>
            <w:r>
              <w:rPr>
                <w:rFonts w:ascii="Calibri" w:eastAsia="Times New Roman" w:hAnsi="Calibri" w:cs="Times New Roman"/>
                <w:i/>
                <w:color w:val="000000"/>
              </w:rPr>
              <w:t>̄</w:t>
            </w:r>
            <w:r w:rsidRPr="00943203">
              <w:rPr>
                <w:rFonts w:ascii="Calibri" w:eastAsia="Times New Roman" w:hAnsi="Calibri" w:cs="Times New Roman"/>
                <w:i/>
                <w:color w:val="000000"/>
              </w:rPr>
              <w:t>’</w:t>
            </w:r>
          </w:p>
        </w:tc>
        <w:tc>
          <w:tcPr>
            <w:tcW w:w="958" w:type="dxa"/>
            <w:tcBorders>
              <w:top w:val="nil"/>
              <w:left w:val="nil"/>
              <w:bottom w:val="single" w:sz="4" w:space="0" w:color="auto"/>
              <w:right w:val="nil"/>
            </w:tcBorders>
            <w:shd w:val="clear" w:color="auto" w:fill="auto"/>
            <w:noWrap/>
            <w:vAlign w:val="center"/>
          </w:tcPr>
          <w:p w14:paraId="1C3E05F8"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i/>
                <w:color w:val="000000"/>
              </w:rPr>
              <w:t>Q</w:t>
            </w:r>
            <w:r>
              <w:rPr>
                <w:rFonts w:ascii="Calibri" w:eastAsia="Times New Roman" w:hAnsi="Calibri" w:cs="Times New Roman"/>
                <w:i/>
                <w:color w:val="000000"/>
              </w:rPr>
              <w:t>’</w:t>
            </w:r>
            <w:r w:rsidRPr="008D5345">
              <w:rPr>
                <w:rFonts w:ascii="Calibri" w:eastAsia="Times New Roman" w:hAnsi="Calibri" w:cs="Times New Roman"/>
                <w:color w:val="000000"/>
                <w:vertAlign w:val="subscript"/>
              </w:rPr>
              <w:t>50</w:t>
            </w:r>
          </w:p>
        </w:tc>
        <w:tc>
          <w:tcPr>
            <w:tcW w:w="1728" w:type="dxa"/>
            <w:tcBorders>
              <w:top w:val="nil"/>
              <w:left w:val="nil"/>
              <w:bottom w:val="single" w:sz="4" w:space="0" w:color="auto"/>
              <w:right w:val="nil"/>
            </w:tcBorders>
            <w:shd w:val="clear" w:color="auto" w:fill="auto"/>
            <w:noWrap/>
            <w:vAlign w:val="center"/>
          </w:tcPr>
          <w:p w14:paraId="1277AFD9" w14:textId="77777777" w:rsidR="0005658E" w:rsidRPr="008D5345"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Range</w:t>
            </w:r>
          </w:p>
        </w:tc>
      </w:tr>
      <w:tr w:rsidR="0005658E" w:rsidRPr="008D5345" w14:paraId="3BA024F1" w14:textId="77777777" w:rsidTr="0005658E">
        <w:trPr>
          <w:trHeight w:val="300"/>
        </w:trPr>
        <w:tc>
          <w:tcPr>
            <w:tcW w:w="721" w:type="dxa"/>
            <w:tcBorders>
              <w:top w:val="single" w:sz="4" w:space="0" w:color="auto"/>
              <w:left w:val="nil"/>
              <w:bottom w:val="nil"/>
              <w:right w:val="nil"/>
            </w:tcBorders>
            <w:shd w:val="clear" w:color="auto" w:fill="auto"/>
            <w:noWrap/>
            <w:vAlign w:val="center"/>
            <w:hideMark/>
          </w:tcPr>
          <w:p w14:paraId="1D496FA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0.05</w:t>
            </w:r>
          </w:p>
        </w:tc>
        <w:tc>
          <w:tcPr>
            <w:tcW w:w="224" w:type="dxa"/>
            <w:tcBorders>
              <w:left w:val="nil"/>
              <w:bottom w:val="nil"/>
              <w:right w:val="nil"/>
            </w:tcBorders>
            <w:vAlign w:val="center"/>
          </w:tcPr>
          <w:p w14:paraId="254D07E7"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single" w:sz="4" w:space="0" w:color="auto"/>
              <w:left w:val="nil"/>
              <w:bottom w:val="nil"/>
              <w:right w:val="nil"/>
            </w:tcBorders>
            <w:shd w:val="clear" w:color="auto" w:fill="auto"/>
            <w:noWrap/>
            <w:vAlign w:val="center"/>
            <w:hideMark/>
          </w:tcPr>
          <w:p w14:paraId="1734DF2B"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0.084</w:t>
            </w:r>
          </w:p>
        </w:tc>
        <w:tc>
          <w:tcPr>
            <w:tcW w:w="718" w:type="dxa"/>
            <w:tcBorders>
              <w:top w:val="single" w:sz="4" w:space="0" w:color="auto"/>
              <w:left w:val="nil"/>
              <w:bottom w:val="nil"/>
              <w:right w:val="nil"/>
            </w:tcBorders>
            <w:shd w:val="clear" w:color="auto" w:fill="auto"/>
            <w:noWrap/>
            <w:vAlign w:val="center"/>
            <w:hideMark/>
          </w:tcPr>
          <w:p w14:paraId="62623B9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0.089</w:t>
            </w:r>
          </w:p>
        </w:tc>
        <w:tc>
          <w:tcPr>
            <w:tcW w:w="1895" w:type="dxa"/>
            <w:tcBorders>
              <w:top w:val="single" w:sz="4" w:space="0" w:color="auto"/>
              <w:left w:val="nil"/>
              <w:bottom w:val="nil"/>
              <w:right w:val="nil"/>
            </w:tcBorders>
            <w:shd w:val="clear" w:color="auto" w:fill="auto"/>
            <w:noWrap/>
            <w:vAlign w:val="center"/>
            <w:hideMark/>
          </w:tcPr>
          <w:p w14:paraId="6D947720"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(0.048, 0.112)</w:t>
            </w:r>
          </w:p>
        </w:tc>
        <w:tc>
          <w:tcPr>
            <w:tcW w:w="233" w:type="dxa"/>
            <w:tcBorders>
              <w:left w:val="nil"/>
              <w:bottom w:val="nil"/>
              <w:right w:val="nil"/>
            </w:tcBorders>
            <w:vAlign w:val="center"/>
          </w:tcPr>
          <w:p w14:paraId="73AB0913"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single" w:sz="4" w:space="0" w:color="auto"/>
              <w:left w:val="nil"/>
              <w:bottom w:val="nil"/>
              <w:right w:val="nil"/>
            </w:tcBorders>
            <w:shd w:val="clear" w:color="auto" w:fill="auto"/>
            <w:noWrap/>
            <w:vAlign w:val="center"/>
            <w:hideMark/>
          </w:tcPr>
          <w:p w14:paraId="038800E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0.346</w:t>
            </w:r>
          </w:p>
        </w:tc>
        <w:tc>
          <w:tcPr>
            <w:tcW w:w="958" w:type="dxa"/>
            <w:tcBorders>
              <w:top w:val="single" w:sz="4" w:space="0" w:color="auto"/>
              <w:left w:val="nil"/>
              <w:bottom w:val="nil"/>
              <w:right w:val="nil"/>
            </w:tcBorders>
            <w:shd w:val="clear" w:color="auto" w:fill="auto"/>
            <w:noWrap/>
            <w:vAlign w:val="center"/>
            <w:hideMark/>
          </w:tcPr>
          <w:p w14:paraId="1396B5F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0.344</w:t>
            </w:r>
          </w:p>
        </w:tc>
        <w:tc>
          <w:tcPr>
            <w:tcW w:w="1728" w:type="dxa"/>
            <w:tcBorders>
              <w:top w:val="single" w:sz="4" w:space="0" w:color="auto"/>
              <w:left w:val="nil"/>
              <w:bottom w:val="nil"/>
              <w:right w:val="nil"/>
            </w:tcBorders>
            <w:shd w:val="clear" w:color="auto" w:fill="auto"/>
            <w:noWrap/>
            <w:vAlign w:val="center"/>
            <w:hideMark/>
          </w:tcPr>
          <w:p w14:paraId="17D0AD9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(0.275, 0.411)</w:t>
            </w:r>
          </w:p>
        </w:tc>
      </w:tr>
      <w:tr w:rsidR="0005658E" w:rsidRPr="008D5345" w14:paraId="635EA129" w14:textId="77777777" w:rsidTr="0005658E">
        <w:trPr>
          <w:trHeight w:val="300"/>
        </w:trPr>
        <w:tc>
          <w:tcPr>
            <w:tcW w:w="721" w:type="dxa"/>
            <w:tcBorders>
              <w:top w:val="nil"/>
              <w:left w:val="nil"/>
              <w:bottom w:val="nil"/>
              <w:right w:val="nil"/>
            </w:tcBorders>
            <w:shd w:val="clear" w:color="auto" w:fill="auto"/>
            <w:noWrap/>
            <w:vAlign w:val="center"/>
            <w:hideMark/>
          </w:tcPr>
          <w:p w14:paraId="09B5F60A"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0.10</w:t>
            </w:r>
          </w:p>
        </w:tc>
        <w:tc>
          <w:tcPr>
            <w:tcW w:w="224" w:type="dxa"/>
            <w:tcBorders>
              <w:top w:val="nil"/>
              <w:left w:val="nil"/>
              <w:bottom w:val="nil"/>
              <w:right w:val="nil"/>
            </w:tcBorders>
            <w:vAlign w:val="center"/>
          </w:tcPr>
          <w:p w14:paraId="24AC91DC"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0B646F8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0.180</w:t>
            </w:r>
          </w:p>
        </w:tc>
        <w:tc>
          <w:tcPr>
            <w:tcW w:w="718" w:type="dxa"/>
            <w:tcBorders>
              <w:top w:val="nil"/>
              <w:left w:val="nil"/>
              <w:bottom w:val="nil"/>
              <w:right w:val="nil"/>
            </w:tcBorders>
            <w:shd w:val="clear" w:color="auto" w:fill="auto"/>
            <w:noWrap/>
            <w:vAlign w:val="center"/>
            <w:hideMark/>
          </w:tcPr>
          <w:p w14:paraId="27184AC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0.167</w:t>
            </w:r>
          </w:p>
        </w:tc>
        <w:tc>
          <w:tcPr>
            <w:tcW w:w="1895" w:type="dxa"/>
            <w:tcBorders>
              <w:top w:val="nil"/>
              <w:left w:val="nil"/>
              <w:bottom w:val="nil"/>
              <w:right w:val="nil"/>
            </w:tcBorders>
            <w:shd w:val="clear" w:color="auto" w:fill="auto"/>
            <w:noWrap/>
            <w:vAlign w:val="center"/>
            <w:hideMark/>
          </w:tcPr>
          <w:p w14:paraId="69F9132C"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(0.112, 0.253)</w:t>
            </w:r>
          </w:p>
        </w:tc>
        <w:tc>
          <w:tcPr>
            <w:tcW w:w="233" w:type="dxa"/>
            <w:tcBorders>
              <w:top w:val="nil"/>
              <w:left w:val="nil"/>
              <w:bottom w:val="nil"/>
              <w:right w:val="nil"/>
            </w:tcBorders>
            <w:vAlign w:val="center"/>
          </w:tcPr>
          <w:p w14:paraId="1361744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1CB578F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0.371</w:t>
            </w:r>
          </w:p>
        </w:tc>
        <w:tc>
          <w:tcPr>
            <w:tcW w:w="958" w:type="dxa"/>
            <w:tcBorders>
              <w:top w:val="nil"/>
              <w:left w:val="nil"/>
              <w:bottom w:val="nil"/>
              <w:right w:val="nil"/>
            </w:tcBorders>
            <w:shd w:val="clear" w:color="auto" w:fill="auto"/>
            <w:noWrap/>
            <w:vAlign w:val="center"/>
            <w:hideMark/>
          </w:tcPr>
          <w:p w14:paraId="78EF758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0.364</w:t>
            </w:r>
          </w:p>
        </w:tc>
        <w:tc>
          <w:tcPr>
            <w:tcW w:w="1728" w:type="dxa"/>
            <w:tcBorders>
              <w:top w:val="nil"/>
              <w:left w:val="nil"/>
              <w:bottom w:val="nil"/>
              <w:right w:val="nil"/>
            </w:tcBorders>
            <w:shd w:val="clear" w:color="auto" w:fill="auto"/>
            <w:noWrap/>
            <w:vAlign w:val="center"/>
            <w:hideMark/>
          </w:tcPr>
          <w:p w14:paraId="157C79F0"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(0.296, 0.441)</w:t>
            </w:r>
          </w:p>
        </w:tc>
      </w:tr>
      <w:tr w:rsidR="0005658E" w:rsidRPr="008D5345" w14:paraId="52F419AF" w14:textId="77777777" w:rsidTr="0005658E">
        <w:trPr>
          <w:trHeight w:val="300"/>
        </w:trPr>
        <w:tc>
          <w:tcPr>
            <w:tcW w:w="721" w:type="dxa"/>
            <w:tcBorders>
              <w:top w:val="nil"/>
              <w:left w:val="nil"/>
              <w:bottom w:val="nil"/>
              <w:right w:val="nil"/>
            </w:tcBorders>
            <w:shd w:val="clear" w:color="auto" w:fill="auto"/>
            <w:noWrap/>
            <w:vAlign w:val="center"/>
            <w:hideMark/>
          </w:tcPr>
          <w:p w14:paraId="40598BD8"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0.15</w:t>
            </w:r>
          </w:p>
        </w:tc>
        <w:tc>
          <w:tcPr>
            <w:tcW w:w="224" w:type="dxa"/>
            <w:tcBorders>
              <w:top w:val="nil"/>
              <w:left w:val="nil"/>
              <w:bottom w:val="nil"/>
              <w:right w:val="nil"/>
            </w:tcBorders>
            <w:vAlign w:val="center"/>
          </w:tcPr>
          <w:p w14:paraId="4656B12A"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06D76DFB"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0.247</w:t>
            </w:r>
          </w:p>
        </w:tc>
        <w:tc>
          <w:tcPr>
            <w:tcW w:w="718" w:type="dxa"/>
            <w:tcBorders>
              <w:top w:val="nil"/>
              <w:left w:val="nil"/>
              <w:bottom w:val="nil"/>
              <w:right w:val="nil"/>
            </w:tcBorders>
            <w:shd w:val="clear" w:color="auto" w:fill="auto"/>
            <w:noWrap/>
            <w:vAlign w:val="center"/>
            <w:hideMark/>
          </w:tcPr>
          <w:p w14:paraId="11A2E1D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0.245</w:t>
            </w:r>
          </w:p>
        </w:tc>
        <w:tc>
          <w:tcPr>
            <w:tcW w:w="1895" w:type="dxa"/>
            <w:tcBorders>
              <w:top w:val="nil"/>
              <w:left w:val="nil"/>
              <w:bottom w:val="nil"/>
              <w:right w:val="nil"/>
            </w:tcBorders>
            <w:shd w:val="clear" w:color="auto" w:fill="auto"/>
            <w:noWrap/>
            <w:vAlign w:val="center"/>
            <w:hideMark/>
          </w:tcPr>
          <w:p w14:paraId="30BFD78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(0.162, 0.298)</w:t>
            </w:r>
          </w:p>
        </w:tc>
        <w:tc>
          <w:tcPr>
            <w:tcW w:w="233" w:type="dxa"/>
            <w:tcBorders>
              <w:top w:val="nil"/>
              <w:left w:val="nil"/>
              <w:bottom w:val="nil"/>
              <w:right w:val="nil"/>
            </w:tcBorders>
            <w:vAlign w:val="center"/>
          </w:tcPr>
          <w:p w14:paraId="4ABBC2F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20323ED1"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0.380</w:t>
            </w:r>
          </w:p>
        </w:tc>
        <w:tc>
          <w:tcPr>
            <w:tcW w:w="958" w:type="dxa"/>
            <w:tcBorders>
              <w:top w:val="nil"/>
              <w:left w:val="nil"/>
              <w:bottom w:val="nil"/>
              <w:right w:val="nil"/>
            </w:tcBorders>
            <w:shd w:val="clear" w:color="auto" w:fill="auto"/>
            <w:noWrap/>
            <w:vAlign w:val="center"/>
            <w:hideMark/>
          </w:tcPr>
          <w:p w14:paraId="42A0924C"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0.373</w:t>
            </w:r>
          </w:p>
        </w:tc>
        <w:tc>
          <w:tcPr>
            <w:tcW w:w="1728" w:type="dxa"/>
            <w:tcBorders>
              <w:top w:val="nil"/>
              <w:left w:val="nil"/>
              <w:bottom w:val="nil"/>
              <w:right w:val="nil"/>
            </w:tcBorders>
            <w:shd w:val="clear" w:color="auto" w:fill="auto"/>
            <w:noWrap/>
            <w:vAlign w:val="center"/>
            <w:hideMark/>
          </w:tcPr>
          <w:p w14:paraId="25193432"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(0.305, 0.446)</w:t>
            </w:r>
          </w:p>
        </w:tc>
      </w:tr>
      <w:tr w:rsidR="0005658E" w:rsidRPr="008D5345" w14:paraId="26D8941F" w14:textId="77777777" w:rsidTr="0005658E">
        <w:trPr>
          <w:trHeight w:val="300"/>
        </w:trPr>
        <w:tc>
          <w:tcPr>
            <w:tcW w:w="721" w:type="dxa"/>
            <w:tcBorders>
              <w:top w:val="nil"/>
              <w:left w:val="nil"/>
              <w:bottom w:val="nil"/>
              <w:right w:val="nil"/>
            </w:tcBorders>
            <w:shd w:val="clear" w:color="auto" w:fill="auto"/>
            <w:noWrap/>
            <w:vAlign w:val="center"/>
            <w:hideMark/>
          </w:tcPr>
          <w:p w14:paraId="798A3F4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0.20</w:t>
            </w:r>
          </w:p>
        </w:tc>
        <w:tc>
          <w:tcPr>
            <w:tcW w:w="224" w:type="dxa"/>
            <w:tcBorders>
              <w:top w:val="nil"/>
              <w:left w:val="nil"/>
              <w:bottom w:val="nil"/>
              <w:right w:val="nil"/>
            </w:tcBorders>
            <w:vAlign w:val="center"/>
          </w:tcPr>
          <w:p w14:paraId="47A9F4BC"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5E1EB2D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0.278</w:t>
            </w:r>
          </w:p>
        </w:tc>
        <w:tc>
          <w:tcPr>
            <w:tcW w:w="718" w:type="dxa"/>
            <w:tcBorders>
              <w:top w:val="nil"/>
              <w:left w:val="nil"/>
              <w:bottom w:val="nil"/>
              <w:right w:val="nil"/>
            </w:tcBorders>
            <w:shd w:val="clear" w:color="auto" w:fill="auto"/>
            <w:noWrap/>
            <w:vAlign w:val="center"/>
            <w:hideMark/>
          </w:tcPr>
          <w:p w14:paraId="5ABF4362"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0.290</w:t>
            </w:r>
          </w:p>
        </w:tc>
        <w:tc>
          <w:tcPr>
            <w:tcW w:w="1895" w:type="dxa"/>
            <w:tcBorders>
              <w:top w:val="nil"/>
              <w:left w:val="nil"/>
              <w:bottom w:val="nil"/>
              <w:right w:val="nil"/>
            </w:tcBorders>
            <w:shd w:val="clear" w:color="auto" w:fill="auto"/>
            <w:noWrap/>
            <w:vAlign w:val="center"/>
            <w:hideMark/>
          </w:tcPr>
          <w:p w14:paraId="7688F4AB"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(0.200, 0.332)</w:t>
            </w:r>
          </w:p>
        </w:tc>
        <w:tc>
          <w:tcPr>
            <w:tcW w:w="233" w:type="dxa"/>
            <w:tcBorders>
              <w:top w:val="nil"/>
              <w:left w:val="nil"/>
              <w:bottom w:val="nil"/>
              <w:right w:val="nil"/>
            </w:tcBorders>
            <w:vAlign w:val="center"/>
          </w:tcPr>
          <w:p w14:paraId="7F1F3DCD"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6C92E11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0.384</w:t>
            </w:r>
          </w:p>
        </w:tc>
        <w:tc>
          <w:tcPr>
            <w:tcW w:w="958" w:type="dxa"/>
            <w:tcBorders>
              <w:top w:val="nil"/>
              <w:left w:val="nil"/>
              <w:bottom w:val="nil"/>
              <w:right w:val="nil"/>
            </w:tcBorders>
            <w:shd w:val="clear" w:color="auto" w:fill="auto"/>
            <w:noWrap/>
            <w:vAlign w:val="center"/>
            <w:hideMark/>
          </w:tcPr>
          <w:p w14:paraId="59D17CA1"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0.379</w:t>
            </w:r>
          </w:p>
        </w:tc>
        <w:tc>
          <w:tcPr>
            <w:tcW w:w="1728" w:type="dxa"/>
            <w:tcBorders>
              <w:top w:val="nil"/>
              <w:left w:val="nil"/>
              <w:bottom w:val="nil"/>
              <w:right w:val="nil"/>
            </w:tcBorders>
            <w:shd w:val="clear" w:color="auto" w:fill="auto"/>
            <w:noWrap/>
            <w:vAlign w:val="center"/>
            <w:hideMark/>
          </w:tcPr>
          <w:p w14:paraId="54A7078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(0.316, 0.455)</w:t>
            </w:r>
          </w:p>
        </w:tc>
      </w:tr>
      <w:tr w:rsidR="0005658E" w:rsidRPr="008D5345" w14:paraId="5CF88E4F" w14:textId="77777777" w:rsidTr="0005658E">
        <w:trPr>
          <w:trHeight w:val="300"/>
        </w:trPr>
        <w:tc>
          <w:tcPr>
            <w:tcW w:w="721" w:type="dxa"/>
            <w:tcBorders>
              <w:top w:val="nil"/>
              <w:left w:val="nil"/>
              <w:bottom w:val="nil"/>
              <w:right w:val="nil"/>
            </w:tcBorders>
            <w:shd w:val="clear" w:color="auto" w:fill="auto"/>
            <w:noWrap/>
            <w:vAlign w:val="center"/>
            <w:hideMark/>
          </w:tcPr>
          <w:p w14:paraId="5DB7271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0.25</w:t>
            </w:r>
          </w:p>
        </w:tc>
        <w:tc>
          <w:tcPr>
            <w:tcW w:w="224" w:type="dxa"/>
            <w:tcBorders>
              <w:top w:val="nil"/>
              <w:left w:val="nil"/>
              <w:bottom w:val="nil"/>
              <w:right w:val="nil"/>
            </w:tcBorders>
            <w:vAlign w:val="center"/>
          </w:tcPr>
          <w:p w14:paraId="5662FE7C"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2EC9BB2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0.354</w:t>
            </w:r>
          </w:p>
        </w:tc>
        <w:tc>
          <w:tcPr>
            <w:tcW w:w="718" w:type="dxa"/>
            <w:tcBorders>
              <w:top w:val="nil"/>
              <w:left w:val="nil"/>
              <w:bottom w:val="nil"/>
              <w:right w:val="nil"/>
            </w:tcBorders>
            <w:shd w:val="clear" w:color="auto" w:fill="auto"/>
            <w:noWrap/>
            <w:vAlign w:val="center"/>
            <w:hideMark/>
          </w:tcPr>
          <w:p w14:paraId="0C1EAF47"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0.353</w:t>
            </w:r>
          </w:p>
        </w:tc>
        <w:tc>
          <w:tcPr>
            <w:tcW w:w="1895" w:type="dxa"/>
            <w:tcBorders>
              <w:top w:val="nil"/>
              <w:left w:val="nil"/>
              <w:bottom w:val="nil"/>
              <w:right w:val="nil"/>
            </w:tcBorders>
            <w:shd w:val="clear" w:color="auto" w:fill="auto"/>
            <w:noWrap/>
            <w:vAlign w:val="center"/>
            <w:hideMark/>
          </w:tcPr>
          <w:p w14:paraId="1036E8EC"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(0.267, 0.420)</w:t>
            </w:r>
          </w:p>
        </w:tc>
        <w:tc>
          <w:tcPr>
            <w:tcW w:w="233" w:type="dxa"/>
            <w:tcBorders>
              <w:top w:val="nil"/>
              <w:left w:val="nil"/>
              <w:bottom w:val="nil"/>
              <w:right w:val="nil"/>
            </w:tcBorders>
            <w:vAlign w:val="center"/>
          </w:tcPr>
          <w:p w14:paraId="25926D11"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7D6EFC0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0.382</w:t>
            </w:r>
          </w:p>
        </w:tc>
        <w:tc>
          <w:tcPr>
            <w:tcW w:w="958" w:type="dxa"/>
            <w:tcBorders>
              <w:top w:val="nil"/>
              <w:left w:val="nil"/>
              <w:bottom w:val="nil"/>
              <w:right w:val="nil"/>
            </w:tcBorders>
            <w:shd w:val="clear" w:color="auto" w:fill="auto"/>
            <w:noWrap/>
            <w:vAlign w:val="center"/>
            <w:hideMark/>
          </w:tcPr>
          <w:p w14:paraId="25C7134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0.379</w:t>
            </w:r>
          </w:p>
        </w:tc>
        <w:tc>
          <w:tcPr>
            <w:tcW w:w="1728" w:type="dxa"/>
            <w:tcBorders>
              <w:top w:val="nil"/>
              <w:left w:val="nil"/>
              <w:bottom w:val="nil"/>
              <w:right w:val="nil"/>
            </w:tcBorders>
            <w:shd w:val="clear" w:color="auto" w:fill="auto"/>
            <w:noWrap/>
            <w:vAlign w:val="center"/>
            <w:hideMark/>
          </w:tcPr>
          <w:p w14:paraId="613C2F89"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(0.321, 0.466)</w:t>
            </w:r>
          </w:p>
        </w:tc>
      </w:tr>
      <w:tr w:rsidR="0005658E" w:rsidRPr="008D5345" w14:paraId="09EDF4D3" w14:textId="77777777" w:rsidTr="0005658E">
        <w:trPr>
          <w:trHeight w:val="300"/>
        </w:trPr>
        <w:tc>
          <w:tcPr>
            <w:tcW w:w="721" w:type="dxa"/>
            <w:tcBorders>
              <w:top w:val="nil"/>
              <w:left w:val="nil"/>
              <w:bottom w:val="nil"/>
              <w:right w:val="nil"/>
            </w:tcBorders>
            <w:shd w:val="clear" w:color="auto" w:fill="auto"/>
            <w:noWrap/>
            <w:vAlign w:val="center"/>
            <w:hideMark/>
          </w:tcPr>
          <w:p w14:paraId="467849FC"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0.30</w:t>
            </w:r>
          </w:p>
        </w:tc>
        <w:tc>
          <w:tcPr>
            <w:tcW w:w="224" w:type="dxa"/>
            <w:tcBorders>
              <w:top w:val="nil"/>
              <w:left w:val="nil"/>
              <w:bottom w:val="nil"/>
              <w:right w:val="nil"/>
            </w:tcBorders>
            <w:vAlign w:val="center"/>
          </w:tcPr>
          <w:p w14:paraId="0FBB27DC"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19F4D83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0.391</w:t>
            </w:r>
          </w:p>
        </w:tc>
        <w:tc>
          <w:tcPr>
            <w:tcW w:w="718" w:type="dxa"/>
            <w:tcBorders>
              <w:top w:val="nil"/>
              <w:left w:val="nil"/>
              <w:bottom w:val="nil"/>
              <w:right w:val="nil"/>
            </w:tcBorders>
            <w:shd w:val="clear" w:color="auto" w:fill="auto"/>
            <w:noWrap/>
            <w:vAlign w:val="center"/>
            <w:hideMark/>
          </w:tcPr>
          <w:p w14:paraId="6116D59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0.400</w:t>
            </w:r>
          </w:p>
        </w:tc>
        <w:tc>
          <w:tcPr>
            <w:tcW w:w="1895" w:type="dxa"/>
            <w:tcBorders>
              <w:top w:val="nil"/>
              <w:left w:val="nil"/>
              <w:bottom w:val="nil"/>
              <w:right w:val="nil"/>
            </w:tcBorders>
            <w:shd w:val="clear" w:color="auto" w:fill="auto"/>
            <w:noWrap/>
            <w:vAlign w:val="center"/>
            <w:hideMark/>
          </w:tcPr>
          <w:p w14:paraId="440E1E5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(0.298, 0.440)</w:t>
            </w:r>
          </w:p>
        </w:tc>
        <w:tc>
          <w:tcPr>
            <w:tcW w:w="233" w:type="dxa"/>
            <w:tcBorders>
              <w:top w:val="nil"/>
              <w:left w:val="nil"/>
              <w:bottom w:val="nil"/>
              <w:right w:val="nil"/>
            </w:tcBorders>
            <w:vAlign w:val="center"/>
          </w:tcPr>
          <w:p w14:paraId="6CAEA075"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024E92D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0.360</w:t>
            </w:r>
          </w:p>
        </w:tc>
        <w:tc>
          <w:tcPr>
            <w:tcW w:w="958" w:type="dxa"/>
            <w:tcBorders>
              <w:top w:val="nil"/>
              <w:left w:val="nil"/>
              <w:bottom w:val="nil"/>
              <w:right w:val="nil"/>
            </w:tcBorders>
            <w:shd w:val="clear" w:color="auto" w:fill="auto"/>
            <w:noWrap/>
            <w:vAlign w:val="center"/>
            <w:hideMark/>
          </w:tcPr>
          <w:p w14:paraId="1B639F4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0.361</w:t>
            </w:r>
          </w:p>
        </w:tc>
        <w:tc>
          <w:tcPr>
            <w:tcW w:w="1728" w:type="dxa"/>
            <w:tcBorders>
              <w:top w:val="nil"/>
              <w:left w:val="nil"/>
              <w:bottom w:val="nil"/>
              <w:right w:val="nil"/>
            </w:tcBorders>
            <w:shd w:val="clear" w:color="auto" w:fill="auto"/>
            <w:noWrap/>
            <w:vAlign w:val="center"/>
            <w:hideMark/>
          </w:tcPr>
          <w:p w14:paraId="57E1BBC9"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(0.292, 0.458)</w:t>
            </w:r>
          </w:p>
        </w:tc>
      </w:tr>
      <w:tr w:rsidR="0005658E" w:rsidRPr="008D5345" w14:paraId="35441560" w14:textId="77777777" w:rsidTr="0005658E">
        <w:trPr>
          <w:trHeight w:val="300"/>
        </w:trPr>
        <w:tc>
          <w:tcPr>
            <w:tcW w:w="721" w:type="dxa"/>
            <w:tcBorders>
              <w:top w:val="nil"/>
              <w:left w:val="nil"/>
              <w:bottom w:val="nil"/>
              <w:right w:val="nil"/>
            </w:tcBorders>
            <w:shd w:val="clear" w:color="auto" w:fill="auto"/>
            <w:noWrap/>
            <w:vAlign w:val="center"/>
            <w:hideMark/>
          </w:tcPr>
          <w:p w14:paraId="08D5FE39"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0.35</w:t>
            </w:r>
          </w:p>
        </w:tc>
        <w:tc>
          <w:tcPr>
            <w:tcW w:w="224" w:type="dxa"/>
            <w:tcBorders>
              <w:top w:val="nil"/>
              <w:left w:val="nil"/>
              <w:bottom w:val="nil"/>
              <w:right w:val="nil"/>
            </w:tcBorders>
            <w:vAlign w:val="center"/>
          </w:tcPr>
          <w:p w14:paraId="148693B2"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09DCD5FB"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0.379</w:t>
            </w:r>
          </w:p>
        </w:tc>
        <w:tc>
          <w:tcPr>
            <w:tcW w:w="718" w:type="dxa"/>
            <w:tcBorders>
              <w:top w:val="nil"/>
              <w:left w:val="nil"/>
              <w:bottom w:val="nil"/>
              <w:right w:val="nil"/>
            </w:tcBorders>
            <w:shd w:val="clear" w:color="auto" w:fill="auto"/>
            <w:noWrap/>
            <w:vAlign w:val="center"/>
            <w:hideMark/>
          </w:tcPr>
          <w:p w14:paraId="7809A82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0.382</w:t>
            </w:r>
          </w:p>
        </w:tc>
        <w:tc>
          <w:tcPr>
            <w:tcW w:w="1895" w:type="dxa"/>
            <w:tcBorders>
              <w:top w:val="nil"/>
              <w:left w:val="nil"/>
              <w:bottom w:val="nil"/>
              <w:right w:val="nil"/>
            </w:tcBorders>
            <w:shd w:val="clear" w:color="auto" w:fill="auto"/>
            <w:noWrap/>
            <w:vAlign w:val="center"/>
            <w:hideMark/>
          </w:tcPr>
          <w:p w14:paraId="2584627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(0.322, 0.440)</w:t>
            </w:r>
          </w:p>
        </w:tc>
        <w:tc>
          <w:tcPr>
            <w:tcW w:w="233" w:type="dxa"/>
            <w:tcBorders>
              <w:top w:val="nil"/>
              <w:left w:val="nil"/>
              <w:bottom w:val="nil"/>
              <w:right w:val="nil"/>
            </w:tcBorders>
            <w:vAlign w:val="center"/>
          </w:tcPr>
          <w:p w14:paraId="62C34786"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789BD20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0.325</w:t>
            </w:r>
          </w:p>
        </w:tc>
        <w:tc>
          <w:tcPr>
            <w:tcW w:w="958" w:type="dxa"/>
            <w:tcBorders>
              <w:top w:val="nil"/>
              <w:left w:val="nil"/>
              <w:bottom w:val="nil"/>
              <w:right w:val="nil"/>
            </w:tcBorders>
            <w:shd w:val="clear" w:color="auto" w:fill="auto"/>
            <w:noWrap/>
            <w:vAlign w:val="center"/>
            <w:hideMark/>
          </w:tcPr>
          <w:p w14:paraId="0CD4EAB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0.315</w:t>
            </w:r>
          </w:p>
        </w:tc>
        <w:tc>
          <w:tcPr>
            <w:tcW w:w="1728" w:type="dxa"/>
            <w:tcBorders>
              <w:top w:val="nil"/>
              <w:left w:val="nil"/>
              <w:bottom w:val="nil"/>
              <w:right w:val="nil"/>
            </w:tcBorders>
            <w:shd w:val="clear" w:color="auto" w:fill="auto"/>
            <w:noWrap/>
            <w:vAlign w:val="center"/>
            <w:hideMark/>
          </w:tcPr>
          <w:p w14:paraId="5F3CA99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(0.244, 0.441)</w:t>
            </w:r>
          </w:p>
        </w:tc>
      </w:tr>
      <w:tr w:rsidR="0005658E" w:rsidRPr="008D5345" w14:paraId="1F12F73B" w14:textId="77777777" w:rsidTr="0005658E">
        <w:trPr>
          <w:trHeight w:val="300"/>
        </w:trPr>
        <w:tc>
          <w:tcPr>
            <w:tcW w:w="721" w:type="dxa"/>
            <w:tcBorders>
              <w:top w:val="nil"/>
              <w:left w:val="nil"/>
              <w:bottom w:val="nil"/>
              <w:right w:val="nil"/>
            </w:tcBorders>
            <w:shd w:val="clear" w:color="auto" w:fill="auto"/>
            <w:noWrap/>
            <w:vAlign w:val="center"/>
            <w:hideMark/>
          </w:tcPr>
          <w:p w14:paraId="0FF4CAD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0.40</w:t>
            </w:r>
          </w:p>
        </w:tc>
        <w:tc>
          <w:tcPr>
            <w:tcW w:w="224" w:type="dxa"/>
            <w:tcBorders>
              <w:top w:val="nil"/>
              <w:left w:val="nil"/>
              <w:bottom w:val="nil"/>
              <w:right w:val="nil"/>
            </w:tcBorders>
            <w:vAlign w:val="center"/>
          </w:tcPr>
          <w:p w14:paraId="3D1627BE"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15FF801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0.355</w:t>
            </w:r>
          </w:p>
        </w:tc>
        <w:tc>
          <w:tcPr>
            <w:tcW w:w="718" w:type="dxa"/>
            <w:tcBorders>
              <w:top w:val="nil"/>
              <w:left w:val="nil"/>
              <w:bottom w:val="nil"/>
              <w:right w:val="nil"/>
            </w:tcBorders>
            <w:shd w:val="clear" w:color="auto" w:fill="auto"/>
            <w:noWrap/>
            <w:vAlign w:val="center"/>
            <w:hideMark/>
          </w:tcPr>
          <w:p w14:paraId="05E2951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0.322</w:t>
            </w:r>
          </w:p>
        </w:tc>
        <w:tc>
          <w:tcPr>
            <w:tcW w:w="1895" w:type="dxa"/>
            <w:tcBorders>
              <w:top w:val="nil"/>
              <w:left w:val="nil"/>
              <w:bottom w:val="nil"/>
              <w:right w:val="nil"/>
            </w:tcBorders>
            <w:shd w:val="clear" w:color="auto" w:fill="auto"/>
            <w:noWrap/>
            <w:vAlign w:val="center"/>
            <w:hideMark/>
          </w:tcPr>
          <w:p w14:paraId="607DF11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(0.306, 0.440)</w:t>
            </w:r>
          </w:p>
        </w:tc>
        <w:tc>
          <w:tcPr>
            <w:tcW w:w="233" w:type="dxa"/>
            <w:tcBorders>
              <w:top w:val="nil"/>
              <w:left w:val="nil"/>
              <w:bottom w:val="nil"/>
              <w:right w:val="nil"/>
            </w:tcBorders>
            <w:vAlign w:val="center"/>
          </w:tcPr>
          <w:p w14:paraId="5A97BF0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0A873832"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0.280</w:t>
            </w:r>
          </w:p>
        </w:tc>
        <w:tc>
          <w:tcPr>
            <w:tcW w:w="958" w:type="dxa"/>
            <w:tcBorders>
              <w:top w:val="nil"/>
              <w:left w:val="nil"/>
              <w:bottom w:val="nil"/>
              <w:right w:val="nil"/>
            </w:tcBorders>
            <w:shd w:val="clear" w:color="auto" w:fill="auto"/>
            <w:noWrap/>
            <w:vAlign w:val="center"/>
            <w:hideMark/>
          </w:tcPr>
          <w:p w14:paraId="00839DC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0.267</w:t>
            </w:r>
          </w:p>
        </w:tc>
        <w:tc>
          <w:tcPr>
            <w:tcW w:w="1728" w:type="dxa"/>
            <w:tcBorders>
              <w:top w:val="nil"/>
              <w:left w:val="nil"/>
              <w:bottom w:val="nil"/>
              <w:right w:val="nil"/>
            </w:tcBorders>
            <w:shd w:val="clear" w:color="auto" w:fill="auto"/>
            <w:noWrap/>
            <w:vAlign w:val="center"/>
            <w:hideMark/>
          </w:tcPr>
          <w:p w14:paraId="5449677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(0.183, 0.411)</w:t>
            </w:r>
          </w:p>
        </w:tc>
      </w:tr>
      <w:tr w:rsidR="0005658E" w:rsidRPr="008D5345" w14:paraId="50037B0C" w14:textId="77777777" w:rsidTr="0005658E">
        <w:trPr>
          <w:trHeight w:val="300"/>
        </w:trPr>
        <w:tc>
          <w:tcPr>
            <w:tcW w:w="721" w:type="dxa"/>
            <w:tcBorders>
              <w:top w:val="nil"/>
              <w:left w:val="nil"/>
              <w:bottom w:val="nil"/>
              <w:right w:val="nil"/>
            </w:tcBorders>
            <w:shd w:val="clear" w:color="auto" w:fill="auto"/>
            <w:noWrap/>
            <w:vAlign w:val="center"/>
            <w:hideMark/>
          </w:tcPr>
          <w:p w14:paraId="35A35DD0"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0.45</w:t>
            </w:r>
          </w:p>
        </w:tc>
        <w:tc>
          <w:tcPr>
            <w:tcW w:w="224" w:type="dxa"/>
            <w:tcBorders>
              <w:top w:val="nil"/>
              <w:left w:val="nil"/>
              <w:bottom w:val="nil"/>
              <w:right w:val="nil"/>
            </w:tcBorders>
            <w:vAlign w:val="center"/>
          </w:tcPr>
          <w:p w14:paraId="5752C40F"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1D3868F0"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0.312</w:t>
            </w:r>
          </w:p>
        </w:tc>
        <w:tc>
          <w:tcPr>
            <w:tcW w:w="718" w:type="dxa"/>
            <w:tcBorders>
              <w:top w:val="nil"/>
              <w:left w:val="nil"/>
              <w:bottom w:val="nil"/>
              <w:right w:val="nil"/>
            </w:tcBorders>
            <w:shd w:val="clear" w:color="auto" w:fill="auto"/>
            <w:noWrap/>
            <w:vAlign w:val="center"/>
            <w:hideMark/>
          </w:tcPr>
          <w:p w14:paraId="181E91D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0.320</w:t>
            </w:r>
          </w:p>
        </w:tc>
        <w:tc>
          <w:tcPr>
            <w:tcW w:w="1895" w:type="dxa"/>
            <w:tcBorders>
              <w:top w:val="nil"/>
              <w:left w:val="nil"/>
              <w:bottom w:val="nil"/>
              <w:right w:val="nil"/>
            </w:tcBorders>
            <w:shd w:val="clear" w:color="auto" w:fill="auto"/>
            <w:noWrap/>
            <w:vAlign w:val="center"/>
            <w:hideMark/>
          </w:tcPr>
          <w:p w14:paraId="67CD7FA1"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(0.079, 0.444)</w:t>
            </w:r>
          </w:p>
        </w:tc>
        <w:tc>
          <w:tcPr>
            <w:tcW w:w="233" w:type="dxa"/>
            <w:tcBorders>
              <w:top w:val="nil"/>
              <w:left w:val="nil"/>
              <w:bottom w:val="nil"/>
              <w:right w:val="nil"/>
            </w:tcBorders>
            <w:vAlign w:val="center"/>
          </w:tcPr>
          <w:p w14:paraId="51A628DE"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6E7A9D4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0.223</w:t>
            </w:r>
          </w:p>
        </w:tc>
        <w:tc>
          <w:tcPr>
            <w:tcW w:w="958" w:type="dxa"/>
            <w:tcBorders>
              <w:top w:val="nil"/>
              <w:left w:val="nil"/>
              <w:bottom w:val="nil"/>
              <w:right w:val="nil"/>
            </w:tcBorders>
            <w:shd w:val="clear" w:color="auto" w:fill="auto"/>
            <w:noWrap/>
            <w:vAlign w:val="center"/>
            <w:hideMark/>
          </w:tcPr>
          <w:p w14:paraId="70F04AF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0.220</w:t>
            </w:r>
          </w:p>
        </w:tc>
        <w:tc>
          <w:tcPr>
            <w:tcW w:w="1728" w:type="dxa"/>
            <w:tcBorders>
              <w:top w:val="nil"/>
              <w:left w:val="nil"/>
              <w:bottom w:val="nil"/>
              <w:right w:val="nil"/>
            </w:tcBorders>
            <w:shd w:val="clear" w:color="auto" w:fill="auto"/>
            <w:noWrap/>
            <w:vAlign w:val="center"/>
            <w:hideMark/>
          </w:tcPr>
          <w:p w14:paraId="4D79AD8B"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(0.116, 0.369)</w:t>
            </w:r>
          </w:p>
        </w:tc>
      </w:tr>
      <w:tr w:rsidR="0005658E" w:rsidRPr="008D5345" w14:paraId="4303BA4E" w14:textId="77777777" w:rsidTr="0005658E">
        <w:trPr>
          <w:trHeight w:val="300"/>
        </w:trPr>
        <w:tc>
          <w:tcPr>
            <w:tcW w:w="721" w:type="dxa"/>
            <w:tcBorders>
              <w:top w:val="nil"/>
              <w:left w:val="nil"/>
              <w:bottom w:val="nil"/>
              <w:right w:val="nil"/>
            </w:tcBorders>
            <w:shd w:val="clear" w:color="auto" w:fill="auto"/>
            <w:noWrap/>
            <w:vAlign w:val="center"/>
            <w:hideMark/>
          </w:tcPr>
          <w:p w14:paraId="30945520"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0.50</w:t>
            </w:r>
          </w:p>
        </w:tc>
        <w:tc>
          <w:tcPr>
            <w:tcW w:w="224" w:type="dxa"/>
            <w:tcBorders>
              <w:top w:val="nil"/>
              <w:left w:val="nil"/>
              <w:bottom w:val="nil"/>
              <w:right w:val="nil"/>
            </w:tcBorders>
            <w:vAlign w:val="center"/>
          </w:tcPr>
          <w:p w14:paraId="45927754"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1EF8AF07"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0.213</w:t>
            </w:r>
          </w:p>
        </w:tc>
        <w:tc>
          <w:tcPr>
            <w:tcW w:w="718" w:type="dxa"/>
            <w:tcBorders>
              <w:top w:val="nil"/>
              <w:left w:val="nil"/>
              <w:bottom w:val="nil"/>
              <w:right w:val="nil"/>
            </w:tcBorders>
            <w:shd w:val="clear" w:color="auto" w:fill="auto"/>
            <w:noWrap/>
            <w:vAlign w:val="center"/>
            <w:hideMark/>
          </w:tcPr>
          <w:p w14:paraId="455F6D6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0.205</w:t>
            </w:r>
          </w:p>
        </w:tc>
        <w:tc>
          <w:tcPr>
            <w:tcW w:w="1895" w:type="dxa"/>
            <w:tcBorders>
              <w:top w:val="nil"/>
              <w:left w:val="nil"/>
              <w:bottom w:val="nil"/>
              <w:right w:val="nil"/>
            </w:tcBorders>
            <w:shd w:val="clear" w:color="auto" w:fill="auto"/>
            <w:noWrap/>
            <w:vAlign w:val="center"/>
            <w:hideMark/>
          </w:tcPr>
          <w:p w14:paraId="78F48AF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(0.079, 0.351)</w:t>
            </w:r>
          </w:p>
        </w:tc>
        <w:tc>
          <w:tcPr>
            <w:tcW w:w="233" w:type="dxa"/>
            <w:tcBorders>
              <w:top w:val="nil"/>
              <w:left w:val="nil"/>
              <w:bottom w:val="nil"/>
              <w:right w:val="nil"/>
            </w:tcBorders>
            <w:vAlign w:val="center"/>
          </w:tcPr>
          <w:p w14:paraId="5884065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nil"/>
              <w:right w:val="nil"/>
            </w:tcBorders>
            <w:shd w:val="clear" w:color="auto" w:fill="auto"/>
            <w:noWrap/>
            <w:vAlign w:val="center"/>
            <w:hideMark/>
          </w:tcPr>
          <w:p w14:paraId="5BF30A2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0.176</w:t>
            </w:r>
          </w:p>
        </w:tc>
        <w:tc>
          <w:tcPr>
            <w:tcW w:w="958" w:type="dxa"/>
            <w:tcBorders>
              <w:top w:val="nil"/>
              <w:left w:val="nil"/>
              <w:bottom w:val="nil"/>
              <w:right w:val="nil"/>
            </w:tcBorders>
            <w:shd w:val="clear" w:color="auto" w:fill="auto"/>
            <w:noWrap/>
            <w:vAlign w:val="center"/>
            <w:hideMark/>
          </w:tcPr>
          <w:p w14:paraId="15D91A8A"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0.166</w:t>
            </w:r>
          </w:p>
        </w:tc>
        <w:tc>
          <w:tcPr>
            <w:tcW w:w="1728" w:type="dxa"/>
            <w:tcBorders>
              <w:top w:val="nil"/>
              <w:left w:val="nil"/>
              <w:bottom w:val="nil"/>
              <w:right w:val="nil"/>
            </w:tcBorders>
            <w:shd w:val="clear" w:color="auto" w:fill="auto"/>
            <w:noWrap/>
            <w:vAlign w:val="center"/>
            <w:hideMark/>
          </w:tcPr>
          <w:p w14:paraId="44DBE597"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(0.105, 0.315)</w:t>
            </w:r>
          </w:p>
        </w:tc>
      </w:tr>
      <w:tr w:rsidR="0005658E" w:rsidRPr="008D5345" w14:paraId="7055309E" w14:textId="77777777" w:rsidTr="00774995">
        <w:trPr>
          <w:trHeight w:val="300"/>
        </w:trPr>
        <w:tc>
          <w:tcPr>
            <w:tcW w:w="721" w:type="dxa"/>
            <w:tcBorders>
              <w:top w:val="nil"/>
              <w:left w:val="nil"/>
              <w:right w:val="nil"/>
            </w:tcBorders>
            <w:shd w:val="clear" w:color="auto" w:fill="auto"/>
            <w:noWrap/>
            <w:vAlign w:val="center"/>
            <w:hideMark/>
          </w:tcPr>
          <w:p w14:paraId="010F241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0.55</w:t>
            </w:r>
          </w:p>
        </w:tc>
        <w:tc>
          <w:tcPr>
            <w:tcW w:w="224" w:type="dxa"/>
            <w:tcBorders>
              <w:top w:val="nil"/>
              <w:left w:val="nil"/>
              <w:right w:val="nil"/>
            </w:tcBorders>
            <w:vAlign w:val="center"/>
          </w:tcPr>
          <w:p w14:paraId="3CE96E50"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right w:val="nil"/>
            </w:tcBorders>
            <w:shd w:val="clear" w:color="auto" w:fill="auto"/>
            <w:noWrap/>
            <w:vAlign w:val="center"/>
            <w:hideMark/>
          </w:tcPr>
          <w:p w14:paraId="6239BD9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0.179</w:t>
            </w:r>
          </w:p>
        </w:tc>
        <w:tc>
          <w:tcPr>
            <w:tcW w:w="718" w:type="dxa"/>
            <w:tcBorders>
              <w:top w:val="nil"/>
              <w:left w:val="nil"/>
              <w:right w:val="nil"/>
            </w:tcBorders>
            <w:shd w:val="clear" w:color="auto" w:fill="auto"/>
            <w:noWrap/>
            <w:vAlign w:val="center"/>
            <w:hideMark/>
          </w:tcPr>
          <w:p w14:paraId="5C2C316F"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0.205</w:t>
            </w:r>
          </w:p>
        </w:tc>
        <w:tc>
          <w:tcPr>
            <w:tcW w:w="1895" w:type="dxa"/>
            <w:tcBorders>
              <w:top w:val="nil"/>
              <w:left w:val="nil"/>
              <w:right w:val="nil"/>
            </w:tcBorders>
            <w:shd w:val="clear" w:color="auto" w:fill="auto"/>
            <w:noWrap/>
            <w:vAlign w:val="center"/>
            <w:hideMark/>
          </w:tcPr>
          <w:p w14:paraId="267163C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(0.085, 0.319)</w:t>
            </w:r>
          </w:p>
        </w:tc>
        <w:tc>
          <w:tcPr>
            <w:tcW w:w="233" w:type="dxa"/>
            <w:tcBorders>
              <w:top w:val="nil"/>
              <w:left w:val="nil"/>
              <w:right w:val="nil"/>
            </w:tcBorders>
            <w:vAlign w:val="center"/>
          </w:tcPr>
          <w:p w14:paraId="670D1404"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right w:val="nil"/>
            </w:tcBorders>
            <w:shd w:val="clear" w:color="auto" w:fill="auto"/>
            <w:noWrap/>
            <w:vAlign w:val="center"/>
            <w:hideMark/>
          </w:tcPr>
          <w:p w14:paraId="7BC5D808"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0.146</w:t>
            </w:r>
          </w:p>
        </w:tc>
        <w:tc>
          <w:tcPr>
            <w:tcW w:w="958" w:type="dxa"/>
            <w:tcBorders>
              <w:top w:val="nil"/>
              <w:left w:val="nil"/>
              <w:right w:val="nil"/>
            </w:tcBorders>
            <w:shd w:val="clear" w:color="auto" w:fill="auto"/>
            <w:noWrap/>
            <w:vAlign w:val="center"/>
            <w:hideMark/>
          </w:tcPr>
          <w:p w14:paraId="6FFDB16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0.127</w:t>
            </w:r>
          </w:p>
        </w:tc>
        <w:tc>
          <w:tcPr>
            <w:tcW w:w="1728" w:type="dxa"/>
            <w:tcBorders>
              <w:top w:val="nil"/>
              <w:left w:val="nil"/>
              <w:right w:val="nil"/>
            </w:tcBorders>
            <w:shd w:val="clear" w:color="auto" w:fill="auto"/>
            <w:noWrap/>
            <w:vAlign w:val="center"/>
            <w:hideMark/>
          </w:tcPr>
          <w:p w14:paraId="728B980D"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(0.104, 0.278)</w:t>
            </w:r>
          </w:p>
        </w:tc>
      </w:tr>
      <w:tr w:rsidR="0005658E" w:rsidRPr="008D5345" w14:paraId="56E63EB0" w14:textId="77777777" w:rsidTr="00774995">
        <w:trPr>
          <w:trHeight w:val="300"/>
        </w:trPr>
        <w:tc>
          <w:tcPr>
            <w:tcW w:w="721" w:type="dxa"/>
            <w:tcBorders>
              <w:top w:val="nil"/>
              <w:left w:val="nil"/>
              <w:bottom w:val="single" w:sz="12" w:space="0" w:color="auto"/>
              <w:right w:val="nil"/>
            </w:tcBorders>
            <w:shd w:val="clear" w:color="auto" w:fill="auto"/>
            <w:noWrap/>
            <w:vAlign w:val="center"/>
            <w:hideMark/>
          </w:tcPr>
          <w:p w14:paraId="0F370E0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0.60</w:t>
            </w:r>
          </w:p>
        </w:tc>
        <w:tc>
          <w:tcPr>
            <w:tcW w:w="224" w:type="dxa"/>
            <w:tcBorders>
              <w:top w:val="nil"/>
              <w:left w:val="nil"/>
              <w:bottom w:val="single" w:sz="12" w:space="0" w:color="auto"/>
              <w:right w:val="nil"/>
            </w:tcBorders>
            <w:vAlign w:val="center"/>
          </w:tcPr>
          <w:p w14:paraId="4E218997"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single" w:sz="12" w:space="0" w:color="auto"/>
              <w:right w:val="nil"/>
            </w:tcBorders>
            <w:shd w:val="clear" w:color="auto" w:fill="auto"/>
            <w:noWrap/>
            <w:vAlign w:val="center"/>
            <w:hideMark/>
          </w:tcPr>
          <w:p w14:paraId="77A85366"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0.148</w:t>
            </w:r>
          </w:p>
        </w:tc>
        <w:tc>
          <w:tcPr>
            <w:tcW w:w="718" w:type="dxa"/>
            <w:tcBorders>
              <w:top w:val="nil"/>
              <w:left w:val="nil"/>
              <w:bottom w:val="single" w:sz="12" w:space="0" w:color="auto"/>
              <w:right w:val="nil"/>
            </w:tcBorders>
            <w:shd w:val="clear" w:color="auto" w:fill="auto"/>
            <w:noWrap/>
            <w:vAlign w:val="center"/>
            <w:hideMark/>
          </w:tcPr>
          <w:p w14:paraId="0F945F5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0.140</w:t>
            </w:r>
          </w:p>
        </w:tc>
        <w:tc>
          <w:tcPr>
            <w:tcW w:w="1895" w:type="dxa"/>
            <w:tcBorders>
              <w:top w:val="nil"/>
              <w:left w:val="nil"/>
              <w:bottom w:val="single" w:sz="12" w:space="0" w:color="auto"/>
              <w:right w:val="nil"/>
            </w:tcBorders>
            <w:shd w:val="clear" w:color="auto" w:fill="auto"/>
            <w:noWrap/>
            <w:vAlign w:val="center"/>
            <w:hideMark/>
          </w:tcPr>
          <w:p w14:paraId="4A19C2F3"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(0.085, 0.344)</w:t>
            </w:r>
          </w:p>
        </w:tc>
        <w:tc>
          <w:tcPr>
            <w:tcW w:w="233" w:type="dxa"/>
            <w:tcBorders>
              <w:top w:val="nil"/>
              <w:left w:val="nil"/>
              <w:bottom w:val="single" w:sz="12" w:space="0" w:color="auto"/>
              <w:right w:val="nil"/>
            </w:tcBorders>
            <w:vAlign w:val="center"/>
          </w:tcPr>
          <w:p w14:paraId="5958CF46" w14:textId="77777777" w:rsidR="0005658E" w:rsidRPr="008D5345" w:rsidRDefault="0005658E" w:rsidP="0005658E">
            <w:pPr>
              <w:spacing w:after="0" w:line="240" w:lineRule="auto"/>
              <w:jc w:val="center"/>
              <w:rPr>
                <w:rFonts w:ascii="Calibri" w:eastAsia="Times New Roman" w:hAnsi="Calibri" w:cs="Times New Roman"/>
                <w:color w:val="000000"/>
              </w:rPr>
            </w:pPr>
          </w:p>
        </w:tc>
        <w:tc>
          <w:tcPr>
            <w:tcW w:w="958" w:type="dxa"/>
            <w:tcBorders>
              <w:top w:val="nil"/>
              <w:left w:val="nil"/>
              <w:bottom w:val="single" w:sz="12" w:space="0" w:color="auto"/>
              <w:right w:val="nil"/>
            </w:tcBorders>
            <w:shd w:val="clear" w:color="auto" w:fill="auto"/>
            <w:noWrap/>
            <w:vAlign w:val="center"/>
            <w:hideMark/>
          </w:tcPr>
          <w:p w14:paraId="3F1498F4"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0.128</w:t>
            </w:r>
          </w:p>
        </w:tc>
        <w:tc>
          <w:tcPr>
            <w:tcW w:w="958" w:type="dxa"/>
            <w:tcBorders>
              <w:top w:val="nil"/>
              <w:left w:val="nil"/>
              <w:bottom w:val="single" w:sz="12" w:space="0" w:color="auto"/>
              <w:right w:val="nil"/>
            </w:tcBorders>
            <w:shd w:val="clear" w:color="auto" w:fill="auto"/>
            <w:noWrap/>
            <w:vAlign w:val="center"/>
            <w:hideMark/>
          </w:tcPr>
          <w:p w14:paraId="143CB165"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0.123</w:t>
            </w:r>
          </w:p>
        </w:tc>
        <w:tc>
          <w:tcPr>
            <w:tcW w:w="1728" w:type="dxa"/>
            <w:tcBorders>
              <w:top w:val="nil"/>
              <w:left w:val="nil"/>
              <w:bottom w:val="single" w:sz="12" w:space="0" w:color="auto"/>
              <w:right w:val="nil"/>
            </w:tcBorders>
            <w:shd w:val="clear" w:color="auto" w:fill="auto"/>
            <w:noWrap/>
            <w:vAlign w:val="center"/>
            <w:hideMark/>
          </w:tcPr>
          <w:p w14:paraId="776E209E" w14:textId="77777777" w:rsidR="0005658E" w:rsidRPr="008D5345"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color w:val="000000"/>
              </w:rPr>
              <w:t>(0.083, 0.198)</w:t>
            </w:r>
          </w:p>
        </w:tc>
      </w:tr>
    </w:tbl>
    <w:p w14:paraId="632B7185" w14:textId="14AEDEAD" w:rsidR="0005658E" w:rsidRDefault="0005658E">
      <w:r>
        <w:br w:type="page"/>
      </w:r>
    </w:p>
    <w:p w14:paraId="454117CF" w14:textId="0A642D01" w:rsidR="0005658E" w:rsidRPr="00A13508" w:rsidRDefault="0005658E" w:rsidP="0005658E">
      <w:pPr>
        <w:rPr>
          <w:sz w:val="24"/>
        </w:rPr>
      </w:pPr>
      <w:r w:rsidRPr="00A13508">
        <w:rPr>
          <w:b/>
          <w:sz w:val="24"/>
        </w:rPr>
        <w:lastRenderedPageBreak/>
        <w:t>Table S</w:t>
      </w:r>
      <w:r w:rsidR="00696794">
        <w:rPr>
          <w:b/>
          <w:sz w:val="24"/>
        </w:rPr>
        <w:t>2-2</w:t>
      </w:r>
      <w:r w:rsidRPr="00A13508">
        <w:rPr>
          <w:sz w:val="24"/>
        </w:rPr>
        <w:t>. Estimated</w:t>
      </w:r>
      <w:r w:rsidR="00D45B27">
        <w:rPr>
          <w:sz w:val="24"/>
        </w:rPr>
        <w:t xml:space="preserve"> Spearman’s rho</w:t>
      </w:r>
      <w:r w:rsidRPr="00A13508">
        <w:rPr>
          <w:sz w:val="24"/>
        </w:rPr>
        <w:t xml:space="preserve"> correlations between unweighted (</w:t>
      </w:r>
      <w:r w:rsidRPr="00A13508">
        <w:rPr>
          <w:i/>
          <w:sz w:val="24"/>
        </w:rPr>
        <w:t>Q</w:t>
      </w:r>
      <w:r w:rsidRPr="00A13508">
        <w:rPr>
          <w:sz w:val="24"/>
        </w:rPr>
        <w:t>) and weighted (</w:t>
      </w:r>
      <w:r w:rsidRPr="00A13508">
        <w:rPr>
          <w:i/>
          <w:sz w:val="24"/>
        </w:rPr>
        <w:t>Q’</w:t>
      </w:r>
      <w:r w:rsidRPr="00A13508">
        <w:rPr>
          <w:sz w:val="24"/>
        </w:rPr>
        <w:t>) modularity and time (in years) over various L</w:t>
      </w:r>
      <w:r w:rsidRPr="00A13508">
        <w:rPr>
          <w:sz w:val="24"/>
          <w:vertAlign w:val="subscript"/>
        </w:rPr>
        <w:t>1</w:t>
      </w:r>
      <w:r w:rsidRPr="00A13508">
        <w:rPr>
          <w:sz w:val="24"/>
        </w:rPr>
        <w:t xml:space="preserve"> penalty values (</w:t>
      </w:r>
      <w:r w:rsidRPr="00A13508">
        <w:rPr>
          <w:rFonts w:ascii="Calibri" w:hAnsi="Calibri"/>
          <w:i/>
          <w:color w:val="000000"/>
          <w:sz w:val="24"/>
        </w:rPr>
        <w:t>ρ</w:t>
      </w:r>
      <w:r w:rsidRPr="00A13508">
        <w:rPr>
          <w:rFonts w:ascii="Calibri" w:hAnsi="Calibri"/>
          <w:color w:val="000000"/>
          <w:sz w:val="24"/>
        </w:rPr>
        <w:t>)</w:t>
      </w:r>
      <w:r w:rsidRPr="00A13508">
        <w:rPr>
          <w:sz w:val="24"/>
        </w:rPr>
        <w:t xml:space="preserve">. Network structures were estimated from MIC data for 16 drugs from 14,418 </w:t>
      </w:r>
      <w:r w:rsidRPr="00A13508">
        <w:rPr>
          <w:i/>
          <w:sz w:val="24"/>
        </w:rPr>
        <w:t xml:space="preserve">E. coli </w:t>
      </w:r>
      <w:r w:rsidRPr="00A13508">
        <w:rPr>
          <w:sz w:val="24"/>
        </w:rPr>
        <w:t xml:space="preserve">isolates collected by the FDA and USDA during 2004-12. Drug resistances were classified by the </w:t>
      </w:r>
      <w:r w:rsidR="00D45B27">
        <w:rPr>
          <w:sz w:val="24"/>
        </w:rPr>
        <w:t>class</w:t>
      </w:r>
      <w:r w:rsidRPr="00A13508">
        <w:rPr>
          <w:sz w:val="24"/>
        </w:rPr>
        <w:t xml:space="preserve"> of drug associated with resistances, and included aminoglycosides, </w:t>
      </w:r>
      <w:proofErr w:type="spellStart"/>
      <w:r w:rsidR="007D1B5F">
        <w:rPr>
          <w:sz w:val="24"/>
        </w:rPr>
        <w:t>amphenicols</w:t>
      </w:r>
      <w:proofErr w:type="spellEnd"/>
      <w:r w:rsidR="007D1B5F">
        <w:rPr>
          <w:sz w:val="24"/>
        </w:rPr>
        <w:t xml:space="preserve">, </w:t>
      </w:r>
      <w:r w:rsidRPr="00A13508">
        <w:rPr>
          <w:sz w:val="24"/>
        </w:rPr>
        <w:t xml:space="preserve">β-lactams, fluoroquinolones, sulfonamides, </w:t>
      </w:r>
      <w:proofErr w:type="spellStart"/>
      <w:r w:rsidRPr="00A13508">
        <w:rPr>
          <w:sz w:val="24"/>
        </w:rPr>
        <w:t>tetracyclines</w:t>
      </w:r>
      <w:proofErr w:type="spellEnd"/>
      <w:r w:rsidRPr="00A13508">
        <w:rPr>
          <w:sz w:val="24"/>
        </w:rPr>
        <w:t xml:space="preserve">, and macrolides. A </w:t>
      </w:r>
      <w:r w:rsidR="00D45B27">
        <w:rPr>
          <w:sz w:val="24"/>
        </w:rPr>
        <w:t>decreasing</w:t>
      </w:r>
      <w:r w:rsidRPr="00A13508">
        <w:rPr>
          <w:sz w:val="24"/>
        </w:rPr>
        <w:t xml:space="preserve"> trend </w:t>
      </w:r>
      <w:r w:rsidR="00D45B27">
        <w:rPr>
          <w:sz w:val="24"/>
        </w:rPr>
        <w:t>was noted in</w:t>
      </w:r>
      <w:r w:rsidRPr="00A13508">
        <w:rPr>
          <w:sz w:val="24"/>
        </w:rPr>
        <w:t xml:space="preserve"> both </w:t>
      </w:r>
      <w:r w:rsidR="00D45B27">
        <w:rPr>
          <w:rFonts w:ascii="Calibri" w:hAnsi="Calibri"/>
          <w:i/>
          <w:color w:val="000000"/>
          <w:sz w:val="24"/>
        </w:rPr>
        <w:t xml:space="preserve">Q </w:t>
      </w:r>
      <w:r w:rsidR="00D45B27" w:rsidRPr="00D45B27">
        <w:rPr>
          <w:rFonts w:ascii="Calibri" w:hAnsi="Calibri"/>
          <w:color w:val="000000"/>
          <w:sz w:val="24"/>
        </w:rPr>
        <w:t>and</w:t>
      </w:r>
      <w:r w:rsidR="00D45B27">
        <w:rPr>
          <w:rFonts w:ascii="Calibri" w:hAnsi="Calibri"/>
          <w:i/>
          <w:color w:val="000000"/>
          <w:sz w:val="24"/>
        </w:rPr>
        <w:t xml:space="preserve"> Q’</w:t>
      </w:r>
      <w:r w:rsidRPr="00A13508">
        <w:rPr>
          <w:rFonts w:ascii="Calibri" w:hAnsi="Calibri"/>
          <w:color w:val="000000"/>
          <w:sz w:val="24"/>
        </w:rPr>
        <w:t xml:space="preserve"> </w:t>
      </w:r>
      <w:r w:rsidRPr="00A13508">
        <w:rPr>
          <w:sz w:val="24"/>
        </w:rPr>
        <w:t>over time in all cases</w:t>
      </w:r>
      <w:r w:rsidR="00D45B27">
        <w:rPr>
          <w:sz w:val="24"/>
        </w:rPr>
        <w:t>, but was not statistically significant in all cases</w:t>
      </w:r>
      <w:r w:rsidRPr="00D45B27">
        <w:rPr>
          <w:sz w:val="24"/>
        </w:rPr>
        <w:t>.</w:t>
      </w:r>
      <w:r w:rsidRPr="00A13508">
        <w:rPr>
          <w:sz w:val="24"/>
        </w:rPr>
        <w:t xml:space="preserve"> </w:t>
      </w:r>
    </w:p>
    <w:tbl>
      <w:tblPr>
        <w:tblW w:w="3398" w:type="dxa"/>
        <w:tblLook w:val="04A0" w:firstRow="1" w:lastRow="0" w:firstColumn="1" w:lastColumn="0" w:noHBand="0" w:noVBand="1"/>
      </w:tblPr>
      <w:tblGrid>
        <w:gridCol w:w="786"/>
        <w:gridCol w:w="360"/>
        <w:gridCol w:w="1008"/>
        <w:gridCol w:w="236"/>
        <w:gridCol w:w="1008"/>
      </w:tblGrid>
      <w:tr w:rsidR="0005658E" w:rsidRPr="00943203" w14:paraId="3ED2AD65" w14:textId="77777777" w:rsidTr="00774995">
        <w:trPr>
          <w:trHeight w:val="300"/>
        </w:trPr>
        <w:tc>
          <w:tcPr>
            <w:tcW w:w="786" w:type="dxa"/>
            <w:tcBorders>
              <w:top w:val="single" w:sz="12" w:space="0" w:color="auto"/>
              <w:left w:val="nil"/>
              <w:bottom w:val="single" w:sz="4" w:space="0" w:color="auto"/>
              <w:right w:val="nil"/>
            </w:tcBorders>
            <w:shd w:val="clear" w:color="auto" w:fill="auto"/>
            <w:noWrap/>
            <w:vAlign w:val="center"/>
          </w:tcPr>
          <w:p w14:paraId="6D3B2A13" w14:textId="77777777" w:rsidR="0005658E" w:rsidRPr="00943203" w:rsidRDefault="0005658E" w:rsidP="0005658E">
            <w:pPr>
              <w:spacing w:after="0" w:line="240" w:lineRule="auto"/>
              <w:jc w:val="center"/>
              <w:rPr>
                <w:rFonts w:ascii="Calibri" w:eastAsia="Times New Roman" w:hAnsi="Calibri" w:cs="Times New Roman"/>
                <w:color w:val="000000"/>
              </w:rPr>
            </w:pPr>
            <w:r w:rsidRPr="008D5345">
              <w:rPr>
                <w:rFonts w:ascii="Calibri" w:eastAsia="Times New Roman" w:hAnsi="Calibri" w:cs="Times New Roman"/>
                <w:i/>
                <w:color w:val="000000"/>
              </w:rPr>
              <w:t>ρ</w:t>
            </w:r>
          </w:p>
        </w:tc>
        <w:tc>
          <w:tcPr>
            <w:tcW w:w="360" w:type="dxa"/>
            <w:tcBorders>
              <w:top w:val="single" w:sz="12" w:space="0" w:color="auto"/>
              <w:left w:val="nil"/>
              <w:bottom w:val="single" w:sz="4" w:space="0" w:color="auto"/>
              <w:right w:val="nil"/>
            </w:tcBorders>
            <w:vAlign w:val="center"/>
          </w:tcPr>
          <w:p w14:paraId="11CA1EDB" w14:textId="77777777" w:rsidR="0005658E" w:rsidRPr="0054486D" w:rsidRDefault="0005658E" w:rsidP="0005658E">
            <w:pPr>
              <w:spacing w:after="0" w:line="240" w:lineRule="auto"/>
              <w:jc w:val="center"/>
              <w:rPr>
                <w:rFonts w:ascii="Calibri" w:eastAsia="Times New Roman" w:hAnsi="Calibri" w:cs="Times New Roman"/>
                <w:i/>
                <w:color w:val="000000"/>
              </w:rPr>
            </w:pPr>
          </w:p>
        </w:tc>
        <w:tc>
          <w:tcPr>
            <w:tcW w:w="1008" w:type="dxa"/>
            <w:tcBorders>
              <w:top w:val="single" w:sz="12" w:space="0" w:color="auto"/>
              <w:left w:val="nil"/>
              <w:bottom w:val="single" w:sz="4" w:space="0" w:color="auto"/>
              <w:right w:val="nil"/>
            </w:tcBorders>
            <w:shd w:val="clear" w:color="auto" w:fill="auto"/>
            <w:noWrap/>
            <w:vAlign w:val="center"/>
          </w:tcPr>
          <w:p w14:paraId="120E6618" w14:textId="77777777" w:rsidR="0005658E" w:rsidRPr="0054486D" w:rsidRDefault="0005658E" w:rsidP="0005658E">
            <w:pPr>
              <w:spacing w:after="0" w:line="240" w:lineRule="auto"/>
              <w:jc w:val="center"/>
              <w:rPr>
                <w:rFonts w:ascii="Calibri" w:eastAsia="Times New Roman" w:hAnsi="Calibri" w:cs="Times New Roman"/>
                <w:i/>
                <w:color w:val="000000"/>
              </w:rPr>
            </w:pPr>
            <w:r w:rsidRPr="0054486D">
              <w:rPr>
                <w:rFonts w:ascii="Calibri" w:eastAsia="Times New Roman" w:hAnsi="Calibri" w:cs="Times New Roman"/>
                <w:i/>
                <w:color w:val="000000"/>
              </w:rPr>
              <w:t>Q</w:t>
            </w:r>
          </w:p>
        </w:tc>
        <w:tc>
          <w:tcPr>
            <w:tcW w:w="236" w:type="dxa"/>
            <w:tcBorders>
              <w:top w:val="single" w:sz="12" w:space="0" w:color="auto"/>
              <w:left w:val="nil"/>
              <w:bottom w:val="single" w:sz="4" w:space="0" w:color="auto"/>
              <w:right w:val="nil"/>
            </w:tcBorders>
          </w:tcPr>
          <w:p w14:paraId="4D6F527A" w14:textId="77777777" w:rsidR="0005658E" w:rsidRPr="0054486D" w:rsidRDefault="0005658E" w:rsidP="0005658E">
            <w:pPr>
              <w:spacing w:after="0" w:line="240" w:lineRule="auto"/>
              <w:jc w:val="center"/>
              <w:rPr>
                <w:rFonts w:ascii="Calibri" w:eastAsia="Times New Roman" w:hAnsi="Calibri" w:cs="Times New Roman"/>
                <w:i/>
                <w:color w:val="000000"/>
              </w:rPr>
            </w:pPr>
          </w:p>
        </w:tc>
        <w:tc>
          <w:tcPr>
            <w:tcW w:w="1008" w:type="dxa"/>
            <w:tcBorders>
              <w:top w:val="single" w:sz="12" w:space="0" w:color="auto"/>
              <w:left w:val="nil"/>
              <w:bottom w:val="single" w:sz="4" w:space="0" w:color="auto"/>
              <w:right w:val="nil"/>
            </w:tcBorders>
            <w:shd w:val="clear" w:color="auto" w:fill="auto"/>
            <w:noWrap/>
            <w:vAlign w:val="center"/>
          </w:tcPr>
          <w:p w14:paraId="42BBEF28" w14:textId="77777777" w:rsidR="0005658E" w:rsidRPr="0054486D" w:rsidRDefault="0005658E" w:rsidP="0005658E">
            <w:pPr>
              <w:spacing w:after="0" w:line="240" w:lineRule="auto"/>
              <w:jc w:val="center"/>
              <w:rPr>
                <w:rFonts w:ascii="Calibri" w:eastAsia="Times New Roman" w:hAnsi="Calibri" w:cs="Times New Roman"/>
                <w:i/>
                <w:color w:val="000000"/>
              </w:rPr>
            </w:pPr>
            <w:r w:rsidRPr="0054486D">
              <w:rPr>
                <w:rFonts w:ascii="Calibri" w:eastAsia="Times New Roman" w:hAnsi="Calibri" w:cs="Times New Roman"/>
                <w:i/>
                <w:color w:val="000000"/>
              </w:rPr>
              <w:t>Q’</w:t>
            </w:r>
          </w:p>
        </w:tc>
      </w:tr>
      <w:tr w:rsidR="0005658E" w:rsidRPr="00943203" w14:paraId="312E38B2" w14:textId="77777777" w:rsidTr="0005658E">
        <w:trPr>
          <w:trHeight w:val="300"/>
        </w:trPr>
        <w:tc>
          <w:tcPr>
            <w:tcW w:w="786" w:type="dxa"/>
            <w:tcBorders>
              <w:top w:val="single" w:sz="4" w:space="0" w:color="auto"/>
              <w:left w:val="nil"/>
              <w:bottom w:val="nil"/>
              <w:right w:val="nil"/>
            </w:tcBorders>
            <w:shd w:val="clear" w:color="auto" w:fill="auto"/>
            <w:noWrap/>
            <w:vAlign w:val="center"/>
            <w:hideMark/>
          </w:tcPr>
          <w:p w14:paraId="3352C9B1" w14:textId="77777777" w:rsidR="0005658E" w:rsidRDefault="0005658E" w:rsidP="004B4A7B">
            <w:pPr>
              <w:pStyle w:val="TableContent"/>
            </w:pPr>
            <w:r>
              <w:t>0.05</w:t>
            </w:r>
          </w:p>
        </w:tc>
        <w:tc>
          <w:tcPr>
            <w:tcW w:w="360" w:type="dxa"/>
            <w:tcBorders>
              <w:top w:val="single" w:sz="4" w:space="0" w:color="auto"/>
              <w:left w:val="nil"/>
              <w:bottom w:val="nil"/>
              <w:right w:val="nil"/>
            </w:tcBorders>
          </w:tcPr>
          <w:p w14:paraId="0A106884" w14:textId="77777777" w:rsidR="0005658E" w:rsidRPr="00943203" w:rsidRDefault="0005658E" w:rsidP="004B4A7B">
            <w:pPr>
              <w:pStyle w:val="TableContent"/>
              <w:rPr>
                <w:rFonts w:eastAsia="Times New Roman" w:cs="Times New Roman"/>
              </w:rPr>
            </w:pPr>
          </w:p>
        </w:tc>
        <w:tc>
          <w:tcPr>
            <w:tcW w:w="1008" w:type="dxa"/>
            <w:tcBorders>
              <w:top w:val="single" w:sz="4" w:space="0" w:color="auto"/>
              <w:left w:val="nil"/>
              <w:bottom w:val="nil"/>
              <w:right w:val="nil"/>
            </w:tcBorders>
            <w:shd w:val="clear" w:color="auto" w:fill="auto"/>
            <w:noWrap/>
            <w:hideMark/>
          </w:tcPr>
          <w:p w14:paraId="328641EE" w14:textId="77777777" w:rsidR="0005658E" w:rsidRPr="00016E37" w:rsidRDefault="0005658E" w:rsidP="004B4A7B">
            <w:pPr>
              <w:pStyle w:val="TableContent"/>
            </w:pPr>
            <w:r w:rsidRPr="00016E37">
              <w:t>-0.59†</w:t>
            </w:r>
          </w:p>
        </w:tc>
        <w:tc>
          <w:tcPr>
            <w:tcW w:w="236" w:type="dxa"/>
            <w:tcBorders>
              <w:top w:val="single" w:sz="4" w:space="0" w:color="auto"/>
              <w:left w:val="nil"/>
              <w:bottom w:val="nil"/>
              <w:right w:val="nil"/>
            </w:tcBorders>
          </w:tcPr>
          <w:p w14:paraId="639C2738" w14:textId="77777777" w:rsidR="0005658E" w:rsidRPr="00016E37" w:rsidRDefault="0005658E" w:rsidP="004B4A7B">
            <w:pPr>
              <w:pStyle w:val="TableContent"/>
            </w:pPr>
          </w:p>
        </w:tc>
        <w:tc>
          <w:tcPr>
            <w:tcW w:w="1008" w:type="dxa"/>
            <w:tcBorders>
              <w:top w:val="single" w:sz="4" w:space="0" w:color="auto"/>
              <w:left w:val="nil"/>
              <w:bottom w:val="nil"/>
              <w:right w:val="nil"/>
            </w:tcBorders>
            <w:shd w:val="clear" w:color="auto" w:fill="auto"/>
            <w:noWrap/>
            <w:hideMark/>
          </w:tcPr>
          <w:p w14:paraId="78996E6D" w14:textId="77777777" w:rsidR="0005658E" w:rsidRPr="00016E37" w:rsidRDefault="0005658E" w:rsidP="004B4A7B">
            <w:pPr>
              <w:pStyle w:val="TableContent"/>
            </w:pPr>
            <w:r w:rsidRPr="00016E37">
              <w:t>-0.97**</w:t>
            </w:r>
          </w:p>
        </w:tc>
      </w:tr>
      <w:tr w:rsidR="0005658E" w:rsidRPr="00943203" w14:paraId="3AC497E1" w14:textId="77777777" w:rsidTr="0005658E">
        <w:trPr>
          <w:trHeight w:val="300"/>
        </w:trPr>
        <w:tc>
          <w:tcPr>
            <w:tcW w:w="786" w:type="dxa"/>
            <w:tcBorders>
              <w:top w:val="nil"/>
              <w:left w:val="nil"/>
              <w:bottom w:val="nil"/>
              <w:right w:val="nil"/>
            </w:tcBorders>
            <w:shd w:val="clear" w:color="auto" w:fill="auto"/>
            <w:noWrap/>
            <w:vAlign w:val="center"/>
            <w:hideMark/>
          </w:tcPr>
          <w:p w14:paraId="5541CA1F" w14:textId="77777777" w:rsidR="0005658E" w:rsidRDefault="0005658E" w:rsidP="004B4A7B">
            <w:pPr>
              <w:pStyle w:val="TableContent"/>
            </w:pPr>
            <w:r>
              <w:t>0.10</w:t>
            </w:r>
          </w:p>
        </w:tc>
        <w:tc>
          <w:tcPr>
            <w:tcW w:w="360" w:type="dxa"/>
            <w:tcBorders>
              <w:top w:val="nil"/>
              <w:left w:val="nil"/>
              <w:bottom w:val="nil"/>
              <w:right w:val="nil"/>
            </w:tcBorders>
          </w:tcPr>
          <w:p w14:paraId="57F3EFB6"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443FFAE6" w14:textId="77777777" w:rsidR="0005658E" w:rsidRPr="00016E37" w:rsidRDefault="0005658E" w:rsidP="004B4A7B">
            <w:pPr>
              <w:pStyle w:val="TableContent"/>
            </w:pPr>
            <w:r w:rsidRPr="00016E37">
              <w:t>-0.86**</w:t>
            </w:r>
          </w:p>
        </w:tc>
        <w:tc>
          <w:tcPr>
            <w:tcW w:w="236" w:type="dxa"/>
            <w:tcBorders>
              <w:top w:val="nil"/>
              <w:left w:val="nil"/>
              <w:bottom w:val="nil"/>
              <w:right w:val="nil"/>
            </w:tcBorders>
          </w:tcPr>
          <w:p w14:paraId="658924F7"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595C08A5" w14:textId="77777777" w:rsidR="0005658E" w:rsidRPr="00016E37" w:rsidRDefault="0005658E" w:rsidP="004B4A7B">
            <w:pPr>
              <w:pStyle w:val="TableContent"/>
            </w:pPr>
            <w:r w:rsidRPr="00016E37">
              <w:t>-0.96**</w:t>
            </w:r>
          </w:p>
        </w:tc>
      </w:tr>
      <w:tr w:rsidR="0005658E" w:rsidRPr="00943203" w14:paraId="07E318C7" w14:textId="77777777" w:rsidTr="0005658E">
        <w:trPr>
          <w:trHeight w:val="300"/>
        </w:trPr>
        <w:tc>
          <w:tcPr>
            <w:tcW w:w="786" w:type="dxa"/>
            <w:tcBorders>
              <w:top w:val="nil"/>
              <w:left w:val="nil"/>
              <w:bottom w:val="nil"/>
              <w:right w:val="nil"/>
            </w:tcBorders>
            <w:shd w:val="clear" w:color="auto" w:fill="auto"/>
            <w:noWrap/>
            <w:vAlign w:val="center"/>
            <w:hideMark/>
          </w:tcPr>
          <w:p w14:paraId="230368D5" w14:textId="77777777" w:rsidR="0005658E" w:rsidRDefault="0005658E" w:rsidP="004B4A7B">
            <w:pPr>
              <w:pStyle w:val="TableContent"/>
            </w:pPr>
            <w:r>
              <w:t>0.15</w:t>
            </w:r>
          </w:p>
        </w:tc>
        <w:tc>
          <w:tcPr>
            <w:tcW w:w="360" w:type="dxa"/>
            <w:tcBorders>
              <w:top w:val="nil"/>
              <w:left w:val="nil"/>
              <w:bottom w:val="nil"/>
              <w:right w:val="nil"/>
            </w:tcBorders>
          </w:tcPr>
          <w:p w14:paraId="54D981E7"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3759628B" w14:textId="77777777" w:rsidR="0005658E" w:rsidRPr="00016E37" w:rsidRDefault="0005658E" w:rsidP="004B4A7B">
            <w:pPr>
              <w:pStyle w:val="TableContent"/>
            </w:pPr>
            <w:r w:rsidRPr="00016E37">
              <w:t>-0.70*</w:t>
            </w:r>
          </w:p>
        </w:tc>
        <w:tc>
          <w:tcPr>
            <w:tcW w:w="236" w:type="dxa"/>
            <w:tcBorders>
              <w:top w:val="nil"/>
              <w:left w:val="nil"/>
              <w:bottom w:val="nil"/>
              <w:right w:val="nil"/>
            </w:tcBorders>
          </w:tcPr>
          <w:p w14:paraId="7B265059"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07E56F14" w14:textId="77777777" w:rsidR="0005658E" w:rsidRPr="00016E37" w:rsidRDefault="0005658E" w:rsidP="004B4A7B">
            <w:pPr>
              <w:pStyle w:val="TableContent"/>
            </w:pPr>
            <w:r w:rsidRPr="00016E37">
              <w:t>-0.96**</w:t>
            </w:r>
          </w:p>
        </w:tc>
      </w:tr>
      <w:tr w:rsidR="0005658E" w:rsidRPr="00943203" w14:paraId="67F59F08" w14:textId="77777777" w:rsidTr="0005658E">
        <w:trPr>
          <w:trHeight w:val="300"/>
        </w:trPr>
        <w:tc>
          <w:tcPr>
            <w:tcW w:w="786" w:type="dxa"/>
            <w:tcBorders>
              <w:top w:val="nil"/>
              <w:left w:val="nil"/>
              <w:bottom w:val="nil"/>
              <w:right w:val="nil"/>
            </w:tcBorders>
            <w:shd w:val="clear" w:color="auto" w:fill="auto"/>
            <w:noWrap/>
            <w:vAlign w:val="center"/>
            <w:hideMark/>
          </w:tcPr>
          <w:p w14:paraId="2E3A3AD9" w14:textId="77777777" w:rsidR="0005658E" w:rsidRDefault="0005658E" w:rsidP="004B4A7B">
            <w:pPr>
              <w:pStyle w:val="TableContent"/>
            </w:pPr>
            <w:r>
              <w:t>0.20</w:t>
            </w:r>
          </w:p>
        </w:tc>
        <w:tc>
          <w:tcPr>
            <w:tcW w:w="360" w:type="dxa"/>
            <w:tcBorders>
              <w:top w:val="nil"/>
              <w:left w:val="nil"/>
              <w:bottom w:val="nil"/>
              <w:right w:val="nil"/>
            </w:tcBorders>
          </w:tcPr>
          <w:p w14:paraId="0AF06549"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436A5BD0" w14:textId="77777777" w:rsidR="0005658E" w:rsidRPr="00016E37" w:rsidRDefault="0005658E" w:rsidP="004B4A7B">
            <w:pPr>
              <w:pStyle w:val="TableContent"/>
            </w:pPr>
            <w:r w:rsidRPr="00016E37">
              <w:t>-0.65†</w:t>
            </w:r>
          </w:p>
        </w:tc>
        <w:tc>
          <w:tcPr>
            <w:tcW w:w="236" w:type="dxa"/>
            <w:tcBorders>
              <w:top w:val="nil"/>
              <w:left w:val="nil"/>
              <w:bottom w:val="nil"/>
              <w:right w:val="nil"/>
            </w:tcBorders>
          </w:tcPr>
          <w:p w14:paraId="6251208A"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5D5A3023" w14:textId="77777777" w:rsidR="0005658E" w:rsidRPr="00016E37" w:rsidRDefault="0005658E" w:rsidP="004B4A7B">
            <w:pPr>
              <w:pStyle w:val="TableContent"/>
            </w:pPr>
            <w:r w:rsidRPr="00016E37">
              <w:t>-0.96**</w:t>
            </w:r>
          </w:p>
        </w:tc>
      </w:tr>
      <w:tr w:rsidR="0005658E" w:rsidRPr="00943203" w14:paraId="27D7EC74" w14:textId="77777777" w:rsidTr="0005658E">
        <w:trPr>
          <w:trHeight w:val="300"/>
        </w:trPr>
        <w:tc>
          <w:tcPr>
            <w:tcW w:w="786" w:type="dxa"/>
            <w:tcBorders>
              <w:top w:val="nil"/>
              <w:left w:val="nil"/>
              <w:bottom w:val="nil"/>
              <w:right w:val="nil"/>
            </w:tcBorders>
            <w:shd w:val="clear" w:color="auto" w:fill="auto"/>
            <w:noWrap/>
            <w:vAlign w:val="center"/>
            <w:hideMark/>
          </w:tcPr>
          <w:p w14:paraId="54E2DA76" w14:textId="77777777" w:rsidR="0005658E" w:rsidRDefault="0005658E" w:rsidP="004B4A7B">
            <w:pPr>
              <w:pStyle w:val="TableContent"/>
            </w:pPr>
            <w:r>
              <w:t>0.25</w:t>
            </w:r>
          </w:p>
        </w:tc>
        <w:tc>
          <w:tcPr>
            <w:tcW w:w="360" w:type="dxa"/>
            <w:tcBorders>
              <w:top w:val="nil"/>
              <w:left w:val="nil"/>
              <w:bottom w:val="nil"/>
              <w:right w:val="nil"/>
            </w:tcBorders>
          </w:tcPr>
          <w:p w14:paraId="1DE3B191"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431FD334" w14:textId="77777777" w:rsidR="0005658E" w:rsidRPr="00016E37" w:rsidRDefault="0005658E" w:rsidP="004B4A7B">
            <w:pPr>
              <w:pStyle w:val="TableContent"/>
            </w:pPr>
            <w:r w:rsidRPr="00016E37">
              <w:t>-0.55‡</w:t>
            </w:r>
          </w:p>
        </w:tc>
        <w:tc>
          <w:tcPr>
            <w:tcW w:w="236" w:type="dxa"/>
            <w:tcBorders>
              <w:top w:val="nil"/>
              <w:left w:val="nil"/>
              <w:bottom w:val="nil"/>
              <w:right w:val="nil"/>
            </w:tcBorders>
          </w:tcPr>
          <w:p w14:paraId="36F64F54"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224E1066" w14:textId="77777777" w:rsidR="0005658E" w:rsidRPr="00016E37" w:rsidRDefault="0005658E" w:rsidP="004B4A7B">
            <w:pPr>
              <w:pStyle w:val="TableContent"/>
            </w:pPr>
            <w:r w:rsidRPr="00016E37">
              <w:t>-0.93**</w:t>
            </w:r>
          </w:p>
        </w:tc>
      </w:tr>
      <w:tr w:rsidR="0005658E" w:rsidRPr="00943203" w14:paraId="59444353" w14:textId="77777777" w:rsidTr="0005658E">
        <w:trPr>
          <w:trHeight w:val="300"/>
        </w:trPr>
        <w:tc>
          <w:tcPr>
            <w:tcW w:w="786" w:type="dxa"/>
            <w:tcBorders>
              <w:top w:val="nil"/>
              <w:left w:val="nil"/>
              <w:bottom w:val="nil"/>
              <w:right w:val="nil"/>
            </w:tcBorders>
            <w:shd w:val="clear" w:color="auto" w:fill="auto"/>
            <w:noWrap/>
            <w:vAlign w:val="center"/>
            <w:hideMark/>
          </w:tcPr>
          <w:p w14:paraId="2196D7FD" w14:textId="77777777" w:rsidR="0005658E" w:rsidRDefault="0005658E" w:rsidP="004B4A7B">
            <w:pPr>
              <w:pStyle w:val="TableContent"/>
            </w:pPr>
            <w:r>
              <w:t>0.30</w:t>
            </w:r>
          </w:p>
        </w:tc>
        <w:tc>
          <w:tcPr>
            <w:tcW w:w="360" w:type="dxa"/>
            <w:tcBorders>
              <w:top w:val="nil"/>
              <w:left w:val="nil"/>
              <w:bottom w:val="nil"/>
              <w:right w:val="nil"/>
            </w:tcBorders>
          </w:tcPr>
          <w:p w14:paraId="32E8C114"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2643F0A3" w14:textId="77777777" w:rsidR="0005658E" w:rsidRPr="00016E37" w:rsidRDefault="0005658E" w:rsidP="004B4A7B">
            <w:pPr>
              <w:pStyle w:val="TableContent"/>
            </w:pPr>
            <w:r w:rsidRPr="00016E37">
              <w:t>-0.39</w:t>
            </w:r>
          </w:p>
        </w:tc>
        <w:tc>
          <w:tcPr>
            <w:tcW w:w="236" w:type="dxa"/>
            <w:tcBorders>
              <w:top w:val="nil"/>
              <w:left w:val="nil"/>
              <w:bottom w:val="nil"/>
              <w:right w:val="nil"/>
            </w:tcBorders>
          </w:tcPr>
          <w:p w14:paraId="177364ED"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40F3850E" w14:textId="77777777" w:rsidR="0005658E" w:rsidRPr="00016E37" w:rsidRDefault="0005658E" w:rsidP="004B4A7B">
            <w:pPr>
              <w:pStyle w:val="TableContent"/>
            </w:pPr>
            <w:r w:rsidRPr="00016E37">
              <w:t>-0.89**</w:t>
            </w:r>
          </w:p>
        </w:tc>
      </w:tr>
      <w:tr w:rsidR="0005658E" w:rsidRPr="00943203" w14:paraId="2829394E" w14:textId="77777777" w:rsidTr="0005658E">
        <w:trPr>
          <w:trHeight w:val="300"/>
        </w:trPr>
        <w:tc>
          <w:tcPr>
            <w:tcW w:w="786" w:type="dxa"/>
            <w:tcBorders>
              <w:top w:val="nil"/>
              <w:left w:val="nil"/>
              <w:bottom w:val="nil"/>
              <w:right w:val="nil"/>
            </w:tcBorders>
            <w:shd w:val="clear" w:color="auto" w:fill="auto"/>
            <w:noWrap/>
            <w:vAlign w:val="center"/>
            <w:hideMark/>
          </w:tcPr>
          <w:p w14:paraId="2AD7ADCE" w14:textId="77777777" w:rsidR="0005658E" w:rsidRDefault="0005658E" w:rsidP="004B4A7B">
            <w:pPr>
              <w:pStyle w:val="TableContent"/>
            </w:pPr>
            <w:r>
              <w:t>0.35</w:t>
            </w:r>
          </w:p>
        </w:tc>
        <w:tc>
          <w:tcPr>
            <w:tcW w:w="360" w:type="dxa"/>
            <w:tcBorders>
              <w:top w:val="nil"/>
              <w:left w:val="nil"/>
              <w:bottom w:val="nil"/>
              <w:right w:val="nil"/>
            </w:tcBorders>
          </w:tcPr>
          <w:p w14:paraId="2F338BD5"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6788359B" w14:textId="77777777" w:rsidR="0005658E" w:rsidRPr="00016E37" w:rsidRDefault="0005658E" w:rsidP="004B4A7B">
            <w:pPr>
              <w:pStyle w:val="TableContent"/>
            </w:pPr>
            <w:r w:rsidRPr="00016E37">
              <w:t>-0.71*</w:t>
            </w:r>
          </w:p>
        </w:tc>
        <w:tc>
          <w:tcPr>
            <w:tcW w:w="236" w:type="dxa"/>
            <w:tcBorders>
              <w:top w:val="nil"/>
              <w:left w:val="nil"/>
              <w:bottom w:val="nil"/>
              <w:right w:val="nil"/>
            </w:tcBorders>
          </w:tcPr>
          <w:p w14:paraId="6F7D633B"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3854CC2A" w14:textId="77777777" w:rsidR="0005658E" w:rsidRPr="00016E37" w:rsidRDefault="0005658E" w:rsidP="004B4A7B">
            <w:pPr>
              <w:pStyle w:val="TableContent"/>
            </w:pPr>
            <w:r w:rsidRPr="00016E37">
              <w:t>-0.83**</w:t>
            </w:r>
          </w:p>
        </w:tc>
      </w:tr>
      <w:tr w:rsidR="0005658E" w:rsidRPr="00943203" w14:paraId="5A4DA39F" w14:textId="77777777" w:rsidTr="0005658E">
        <w:trPr>
          <w:trHeight w:val="300"/>
        </w:trPr>
        <w:tc>
          <w:tcPr>
            <w:tcW w:w="786" w:type="dxa"/>
            <w:tcBorders>
              <w:top w:val="nil"/>
              <w:left w:val="nil"/>
              <w:bottom w:val="nil"/>
              <w:right w:val="nil"/>
            </w:tcBorders>
            <w:shd w:val="clear" w:color="auto" w:fill="auto"/>
            <w:noWrap/>
            <w:vAlign w:val="center"/>
            <w:hideMark/>
          </w:tcPr>
          <w:p w14:paraId="50883B34" w14:textId="77777777" w:rsidR="0005658E" w:rsidRDefault="0005658E" w:rsidP="004B4A7B">
            <w:pPr>
              <w:pStyle w:val="TableContent"/>
            </w:pPr>
            <w:r>
              <w:t>0.40</w:t>
            </w:r>
          </w:p>
        </w:tc>
        <w:tc>
          <w:tcPr>
            <w:tcW w:w="360" w:type="dxa"/>
            <w:tcBorders>
              <w:top w:val="nil"/>
              <w:left w:val="nil"/>
              <w:bottom w:val="nil"/>
              <w:right w:val="nil"/>
            </w:tcBorders>
          </w:tcPr>
          <w:p w14:paraId="155419E0"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56717400" w14:textId="77777777" w:rsidR="0005658E" w:rsidRPr="00016E37" w:rsidRDefault="0005658E" w:rsidP="004B4A7B">
            <w:pPr>
              <w:pStyle w:val="TableContent"/>
            </w:pPr>
            <w:r w:rsidRPr="00016E37">
              <w:t>-0.62†</w:t>
            </w:r>
          </w:p>
        </w:tc>
        <w:tc>
          <w:tcPr>
            <w:tcW w:w="236" w:type="dxa"/>
            <w:tcBorders>
              <w:top w:val="nil"/>
              <w:left w:val="nil"/>
              <w:bottom w:val="nil"/>
              <w:right w:val="nil"/>
            </w:tcBorders>
          </w:tcPr>
          <w:p w14:paraId="597C04BB"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05CE66E2" w14:textId="77777777" w:rsidR="0005658E" w:rsidRPr="00016E37" w:rsidRDefault="0005658E" w:rsidP="004B4A7B">
            <w:pPr>
              <w:pStyle w:val="TableContent"/>
            </w:pPr>
            <w:r w:rsidRPr="00016E37">
              <w:t>-0.80**</w:t>
            </w:r>
          </w:p>
        </w:tc>
      </w:tr>
      <w:tr w:rsidR="0005658E" w:rsidRPr="00943203" w14:paraId="60A0B63E" w14:textId="77777777" w:rsidTr="0005658E">
        <w:trPr>
          <w:trHeight w:val="300"/>
        </w:trPr>
        <w:tc>
          <w:tcPr>
            <w:tcW w:w="786" w:type="dxa"/>
            <w:tcBorders>
              <w:top w:val="nil"/>
              <w:left w:val="nil"/>
              <w:bottom w:val="nil"/>
              <w:right w:val="nil"/>
            </w:tcBorders>
            <w:shd w:val="clear" w:color="auto" w:fill="auto"/>
            <w:noWrap/>
            <w:vAlign w:val="center"/>
            <w:hideMark/>
          </w:tcPr>
          <w:p w14:paraId="6F8AFB74" w14:textId="77777777" w:rsidR="0005658E" w:rsidRDefault="0005658E" w:rsidP="004B4A7B">
            <w:pPr>
              <w:pStyle w:val="TableContent"/>
            </w:pPr>
            <w:r>
              <w:t>0.45</w:t>
            </w:r>
          </w:p>
        </w:tc>
        <w:tc>
          <w:tcPr>
            <w:tcW w:w="360" w:type="dxa"/>
            <w:tcBorders>
              <w:top w:val="nil"/>
              <w:left w:val="nil"/>
              <w:bottom w:val="nil"/>
              <w:right w:val="nil"/>
            </w:tcBorders>
          </w:tcPr>
          <w:p w14:paraId="41DD722C"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6771E483" w14:textId="77777777" w:rsidR="0005658E" w:rsidRPr="00016E37" w:rsidRDefault="0005658E" w:rsidP="004B4A7B">
            <w:pPr>
              <w:pStyle w:val="TableContent"/>
            </w:pPr>
            <w:r w:rsidRPr="00016E37">
              <w:t>-0.69*</w:t>
            </w:r>
          </w:p>
        </w:tc>
        <w:tc>
          <w:tcPr>
            <w:tcW w:w="236" w:type="dxa"/>
            <w:tcBorders>
              <w:top w:val="nil"/>
              <w:left w:val="nil"/>
              <w:bottom w:val="nil"/>
              <w:right w:val="nil"/>
            </w:tcBorders>
          </w:tcPr>
          <w:p w14:paraId="17587053"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36D9E7DC" w14:textId="77777777" w:rsidR="0005658E" w:rsidRPr="00016E37" w:rsidRDefault="0005658E" w:rsidP="004B4A7B">
            <w:pPr>
              <w:pStyle w:val="TableContent"/>
            </w:pPr>
            <w:r w:rsidRPr="00016E37">
              <w:t>-0.80**</w:t>
            </w:r>
          </w:p>
        </w:tc>
      </w:tr>
      <w:tr w:rsidR="0005658E" w:rsidRPr="00943203" w14:paraId="562599DA" w14:textId="77777777" w:rsidTr="0005658E">
        <w:trPr>
          <w:trHeight w:val="300"/>
        </w:trPr>
        <w:tc>
          <w:tcPr>
            <w:tcW w:w="786" w:type="dxa"/>
            <w:tcBorders>
              <w:top w:val="nil"/>
              <w:left w:val="nil"/>
              <w:bottom w:val="nil"/>
              <w:right w:val="nil"/>
            </w:tcBorders>
            <w:shd w:val="clear" w:color="auto" w:fill="auto"/>
            <w:noWrap/>
            <w:vAlign w:val="center"/>
            <w:hideMark/>
          </w:tcPr>
          <w:p w14:paraId="107C41C4" w14:textId="77777777" w:rsidR="0005658E" w:rsidRDefault="0005658E" w:rsidP="004B4A7B">
            <w:pPr>
              <w:pStyle w:val="TableContent"/>
            </w:pPr>
            <w:r>
              <w:t>0.50</w:t>
            </w:r>
          </w:p>
        </w:tc>
        <w:tc>
          <w:tcPr>
            <w:tcW w:w="360" w:type="dxa"/>
            <w:tcBorders>
              <w:top w:val="nil"/>
              <w:left w:val="nil"/>
              <w:bottom w:val="nil"/>
              <w:right w:val="nil"/>
            </w:tcBorders>
          </w:tcPr>
          <w:p w14:paraId="09F3BC7F" w14:textId="77777777" w:rsidR="0005658E" w:rsidRPr="00943203" w:rsidRDefault="0005658E" w:rsidP="004B4A7B">
            <w:pPr>
              <w:pStyle w:val="TableContent"/>
              <w:rPr>
                <w:rFonts w:eastAsia="Times New Roman" w:cs="Times New Roman"/>
              </w:rPr>
            </w:pPr>
          </w:p>
        </w:tc>
        <w:tc>
          <w:tcPr>
            <w:tcW w:w="1008" w:type="dxa"/>
            <w:tcBorders>
              <w:top w:val="nil"/>
              <w:left w:val="nil"/>
              <w:bottom w:val="nil"/>
              <w:right w:val="nil"/>
            </w:tcBorders>
            <w:shd w:val="clear" w:color="auto" w:fill="auto"/>
            <w:noWrap/>
            <w:hideMark/>
          </w:tcPr>
          <w:p w14:paraId="669301C4" w14:textId="77777777" w:rsidR="0005658E" w:rsidRPr="00016E37" w:rsidRDefault="0005658E" w:rsidP="004B4A7B">
            <w:pPr>
              <w:pStyle w:val="TableContent"/>
            </w:pPr>
            <w:r w:rsidRPr="00016E37">
              <w:t>-0.81**</w:t>
            </w:r>
          </w:p>
        </w:tc>
        <w:tc>
          <w:tcPr>
            <w:tcW w:w="236" w:type="dxa"/>
            <w:tcBorders>
              <w:top w:val="nil"/>
              <w:left w:val="nil"/>
              <w:bottom w:val="nil"/>
              <w:right w:val="nil"/>
            </w:tcBorders>
          </w:tcPr>
          <w:p w14:paraId="30B7ADCC" w14:textId="77777777" w:rsidR="0005658E" w:rsidRPr="00016E37" w:rsidRDefault="0005658E" w:rsidP="004B4A7B">
            <w:pPr>
              <w:pStyle w:val="TableContent"/>
            </w:pPr>
          </w:p>
        </w:tc>
        <w:tc>
          <w:tcPr>
            <w:tcW w:w="1008" w:type="dxa"/>
            <w:tcBorders>
              <w:top w:val="nil"/>
              <w:left w:val="nil"/>
              <w:bottom w:val="nil"/>
              <w:right w:val="nil"/>
            </w:tcBorders>
            <w:shd w:val="clear" w:color="auto" w:fill="auto"/>
            <w:noWrap/>
            <w:hideMark/>
          </w:tcPr>
          <w:p w14:paraId="11932CAD" w14:textId="77777777" w:rsidR="0005658E" w:rsidRPr="00016E37" w:rsidRDefault="0005658E" w:rsidP="004B4A7B">
            <w:pPr>
              <w:pStyle w:val="TableContent"/>
            </w:pPr>
            <w:r w:rsidRPr="00016E37">
              <w:t>-0.83**</w:t>
            </w:r>
          </w:p>
        </w:tc>
      </w:tr>
      <w:tr w:rsidR="0005658E" w:rsidRPr="00943203" w14:paraId="21F4F742" w14:textId="77777777" w:rsidTr="00774995">
        <w:trPr>
          <w:trHeight w:val="300"/>
        </w:trPr>
        <w:tc>
          <w:tcPr>
            <w:tcW w:w="786" w:type="dxa"/>
            <w:tcBorders>
              <w:top w:val="nil"/>
              <w:left w:val="nil"/>
              <w:right w:val="nil"/>
            </w:tcBorders>
            <w:shd w:val="clear" w:color="auto" w:fill="auto"/>
            <w:noWrap/>
            <w:vAlign w:val="center"/>
            <w:hideMark/>
          </w:tcPr>
          <w:p w14:paraId="7B8C1217" w14:textId="77777777" w:rsidR="0005658E" w:rsidRDefault="0005658E" w:rsidP="004B4A7B">
            <w:pPr>
              <w:pStyle w:val="TableContent"/>
            </w:pPr>
            <w:r>
              <w:t>0.55</w:t>
            </w:r>
          </w:p>
        </w:tc>
        <w:tc>
          <w:tcPr>
            <w:tcW w:w="360" w:type="dxa"/>
            <w:tcBorders>
              <w:top w:val="nil"/>
              <w:left w:val="nil"/>
              <w:right w:val="nil"/>
            </w:tcBorders>
          </w:tcPr>
          <w:p w14:paraId="479EEAA6" w14:textId="77777777" w:rsidR="0005658E" w:rsidRPr="00943203" w:rsidRDefault="0005658E" w:rsidP="004B4A7B">
            <w:pPr>
              <w:pStyle w:val="TableContent"/>
              <w:rPr>
                <w:rFonts w:eastAsia="Times New Roman" w:cs="Times New Roman"/>
              </w:rPr>
            </w:pPr>
          </w:p>
        </w:tc>
        <w:tc>
          <w:tcPr>
            <w:tcW w:w="1008" w:type="dxa"/>
            <w:tcBorders>
              <w:top w:val="nil"/>
              <w:left w:val="nil"/>
              <w:right w:val="nil"/>
            </w:tcBorders>
            <w:shd w:val="clear" w:color="auto" w:fill="auto"/>
            <w:noWrap/>
            <w:hideMark/>
          </w:tcPr>
          <w:p w14:paraId="369CCA88" w14:textId="77777777" w:rsidR="0005658E" w:rsidRPr="00016E37" w:rsidRDefault="0005658E" w:rsidP="004B4A7B">
            <w:pPr>
              <w:pStyle w:val="TableContent"/>
            </w:pPr>
            <w:r w:rsidRPr="00016E37">
              <w:t>-0.89**</w:t>
            </w:r>
          </w:p>
        </w:tc>
        <w:tc>
          <w:tcPr>
            <w:tcW w:w="236" w:type="dxa"/>
            <w:tcBorders>
              <w:top w:val="nil"/>
              <w:left w:val="nil"/>
              <w:right w:val="nil"/>
            </w:tcBorders>
          </w:tcPr>
          <w:p w14:paraId="38129049" w14:textId="77777777" w:rsidR="0005658E" w:rsidRPr="00016E37" w:rsidRDefault="0005658E" w:rsidP="004B4A7B">
            <w:pPr>
              <w:pStyle w:val="TableContent"/>
            </w:pPr>
          </w:p>
        </w:tc>
        <w:tc>
          <w:tcPr>
            <w:tcW w:w="1008" w:type="dxa"/>
            <w:tcBorders>
              <w:top w:val="nil"/>
              <w:left w:val="nil"/>
              <w:right w:val="nil"/>
            </w:tcBorders>
            <w:shd w:val="clear" w:color="auto" w:fill="auto"/>
            <w:noWrap/>
            <w:hideMark/>
          </w:tcPr>
          <w:p w14:paraId="3B3601EF" w14:textId="77777777" w:rsidR="0005658E" w:rsidRPr="00016E37" w:rsidRDefault="0005658E" w:rsidP="004B4A7B">
            <w:pPr>
              <w:pStyle w:val="TableContent"/>
            </w:pPr>
            <w:r w:rsidRPr="00016E37">
              <w:t>-0.52‡</w:t>
            </w:r>
          </w:p>
        </w:tc>
      </w:tr>
      <w:tr w:rsidR="0005658E" w:rsidRPr="00943203" w14:paraId="3B8C8619" w14:textId="77777777" w:rsidTr="00774995">
        <w:trPr>
          <w:trHeight w:val="300"/>
        </w:trPr>
        <w:tc>
          <w:tcPr>
            <w:tcW w:w="786" w:type="dxa"/>
            <w:tcBorders>
              <w:top w:val="nil"/>
              <w:left w:val="nil"/>
              <w:bottom w:val="single" w:sz="12" w:space="0" w:color="auto"/>
              <w:right w:val="nil"/>
            </w:tcBorders>
            <w:shd w:val="clear" w:color="auto" w:fill="auto"/>
            <w:noWrap/>
            <w:vAlign w:val="center"/>
            <w:hideMark/>
          </w:tcPr>
          <w:p w14:paraId="4DBE52C0" w14:textId="77777777" w:rsidR="0005658E" w:rsidRDefault="0005658E" w:rsidP="004B4A7B">
            <w:pPr>
              <w:pStyle w:val="TableContent"/>
            </w:pPr>
            <w:r>
              <w:t>0.60</w:t>
            </w:r>
          </w:p>
        </w:tc>
        <w:tc>
          <w:tcPr>
            <w:tcW w:w="360" w:type="dxa"/>
            <w:tcBorders>
              <w:top w:val="nil"/>
              <w:left w:val="nil"/>
              <w:bottom w:val="single" w:sz="12" w:space="0" w:color="auto"/>
              <w:right w:val="nil"/>
            </w:tcBorders>
          </w:tcPr>
          <w:p w14:paraId="19797D4C" w14:textId="77777777" w:rsidR="0005658E" w:rsidRPr="00943203" w:rsidRDefault="0005658E" w:rsidP="004B4A7B">
            <w:pPr>
              <w:pStyle w:val="TableContent"/>
              <w:rPr>
                <w:rFonts w:eastAsia="Times New Roman" w:cs="Times New Roman"/>
              </w:rPr>
            </w:pPr>
          </w:p>
        </w:tc>
        <w:tc>
          <w:tcPr>
            <w:tcW w:w="1008" w:type="dxa"/>
            <w:tcBorders>
              <w:top w:val="nil"/>
              <w:left w:val="nil"/>
              <w:bottom w:val="single" w:sz="12" w:space="0" w:color="auto"/>
              <w:right w:val="nil"/>
            </w:tcBorders>
            <w:shd w:val="clear" w:color="auto" w:fill="auto"/>
            <w:noWrap/>
            <w:hideMark/>
          </w:tcPr>
          <w:p w14:paraId="64C89583" w14:textId="77777777" w:rsidR="0005658E" w:rsidRPr="00016E37" w:rsidRDefault="0005658E" w:rsidP="004B4A7B">
            <w:pPr>
              <w:pStyle w:val="TableContent"/>
            </w:pPr>
            <w:r w:rsidRPr="00016E37">
              <w:t>-0.46</w:t>
            </w:r>
          </w:p>
        </w:tc>
        <w:tc>
          <w:tcPr>
            <w:tcW w:w="236" w:type="dxa"/>
            <w:tcBorders>
              <w:top w:val="nil"/>
              <w:left w:val="nil"/>
              <w:bottom w:val="single" w:sz="12" w:space="0" w:color="auto"/>
              <w:right w:val="nil"/>
            </w:tcBorders>
          </w:tcPr>
          <w:p w14:paraId="7E1CB8AC" w14:textId="77777777" w:rsidR="0005658E" w:rsidRPr="00016E37" w:rsidRDefault="0005658E" w:rsidP="004B4A7B">
            <w:pPr>
              <w:pStyle w:val="TableContent"/>
            </w:pPr>
          </w:p>
        </w:tc>
        <w:tc>
          <w:tcPr>
            <w:tcW w:w="1008" w:type="dxa"/>
            <w:tcBorders>
              <w:top w:val="nil"/>
              <w:left w:val="nil"/>
              <w:bottom w:val="single" w:sz="12" w:space="0" w:color="auto"/>
              <w:right w:val="nil"/>
            </w:tcBorders>
            <w:shd w:val="clear" w:color="auto" w:fill="auto"/>
            <w:noWrap/>
            <w:hideMark/>
          </w:tcPr>
          <w:p w14:paraId="2EE5A8E1" w14:textId="77777777" w:rsidR="0005658E" w:rsidRDefault="0005658E" w:rsidP="004B4A7B">
            <w:pPr>
              <w:pStyle w:val="TableContent"/>
            </w:pPr>
            <w:r w:rsidRPr="00016E37">
              <w:t>-0.21</w:t>
            </w:r>
          </w:p>
        </w:tc>
      </w:tr>
    </w:tbl>
    <w:p w14:paraId="78B6CB66" w14:textId="23FFB3C8" w:rsidR="001B0691" w:rsidRPr="001B0691" w:rsidRDefault="0005658E" w:rsidP="008E7A0F">
      <w:pPr>
        <w:spacing w:after="0" w:line="240" w:lineRule="auto"/>
      </w:pPr>
      <w:r>
        <w:rPr>
          <w:sz w:val="20"/>
        </w:rPr>
        <w:t xml:space="preserve">Significance of correlation: </w:t>
      </w:r>
      <w:r w:rsidRPr="00E31646">
        <w:rPr>
          <w:sz w:val="20"/>
        </w:rPr>
        <w:t>**</w:t>
      </w:r>
      <w:r w:rsidRPr="002E540C">
        <w:rPr>
          <w:sz w:val="20"/>
        </w:rPr>
        <w:t>p</w:t>
      </w:r>
      <w:r w:rsidRPr="00E31646">
        <w:rPr>
          <w:sz w:val="20"/>
        </w:rPr>
        <w:t xml:space="preserve"> &lt; 0.01</w:t>
      </w:r>
      <w:r>
        <w:rPr>
          <w:sz w:val="20"/>
        </w:rPr>
        <w:t xml:space="preserve">, </w:t>
      </w:r>
      <w:r w:rsidRPr="00E31646">
        <w:rPr>
          <w:sz w:val="20"/>
        </w:rPr>
        <w:t>*</w:t>
      </w:r>
      <w:r w:rsidRPr="002E540C">
        <w:rPr>
          <w:sz w:val="20"/>
        </w:rPr>
        <w:t>p</w:t>
      </w:r>
      <w:r w:rsidRPr="00E31646">
        <w:rPr>
          <w:sz w:val="20"/>
        </w:rPr>
        <w:t xml:space="preserve"> &lt; 0.05</w:t>
      </w:r>
      <w:r>
        <w:rPr>
          <w:sz w:val="20"/>
        </w:rPr>
        <w:t xml:space="preserve">, </w:t>
      </w:r>
      <w:r w:rsidRPr="00E31646">
        <w:rPr>
          <w:sz w:val="20"/>
        </w:rPr>
        <w:t>†</w:t>
      </w:r>
      <w:r w:rsidRPr="002E540C">
        <w:rPr>
          <w:sz w:val="20"/>
        </w:rPr>
        <w:t>p</w:t>
      </w:r>
      <w:r w:rsidRPr="00E31646">
        <w:rPr>
          <w:sz w:val="20"/>
        </w:rPr>
        <w:t xml:space="preserve"> &lt; 0.10</w:t>
      </w:r>
      <w:r>
        <w:rPr>
          <w:sz w:val="20"/>
        </w:rPr>
        <w:t xml:space="preserve">, </w:t>
      </w:r>
      <w:r w:rsidRPr="00E31646">
        <w:rPr>
          <w:sz w:val="20"/>
        </w:rPr>
        <w:t>‡</w:t>
      </w:r>
      <w:r w:rsidRPr="002E540C">
        <w:rPr>
          <w:sz w:val="20"/>
        </w:rPr>
        <w:t>p</w:t>
      </w:r>
      <w:r w:rsidRPr="00E31646">
        <w:rPr>
          <w:i/>
          <w:sz w:val="20"/>
        </w:rPr>
        <w:t xml:space="preserve"> </w:t>
      </w:r>
      <w:r w:rsidRPr="00E31646">
        <w:rPr>
          <w:sz w:val="20"/>
        </w:rPr>
        <w:t>&lt; 0.20</w:t>
      </w:r>
    </w:p>
    <w:sectPr w:rsidR="001B0691" w:rsidRPr="001B0691" w:rsidSect="001F5FAF">
      <w:headerReference w:type="default" r:id="rId7"/>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8705" w14:textId="77777777" w:rsidR="000A3E50" w:rsidRDefault="000A3E50" w:rsidP="00774995">
      <w:pPr>
        <w:spacing w:after="0" w:line="240" w:lineRule="auto"/>
      </w:pPr>
      <w:r>
        <w:separator/>
      </w:r>
    </w:p>
  </w:endnote>
  <w:endnote w:type="continuationSeparator" w:id="0">
    <w:p w14:paraId="3CA1FE6A" w14:textId="77777777" w:rsidR="000A3E50" w:rsidRDefault="000A3E50" w:rsidP="00774995">
      <w:pPr>
        <w:spacing w:after="0" w:line="240" w:lineRule="auto"/>
      </w:pPr>
      <w:r>
        <w:continuationSeparator/>
      </w:r>
    </w:p>
  </w:endnote>
  <w:endnote w:type="continuationNotice" w:id="1">
    <w:p w14:paraId="6FDDCE58" w14:textId="77777777" w:rsidR="000A3E50" w:rsidRDefault="000A3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27040"/>
      <w:docPartObj>
        <w:docPartGallery w:val="Page Numbers (Bottom of Page)"/>
        <w:docPartUnique/>
      </w:docPartObj>
    </w:sdtPr>
    <w:sdtEndPr>
      <w:rPr>
        <w:noProof/>
      </w:rPr>
    </w:sdtEndPr>
    <w:sdtContent>
      <w:p w14:paraId="1A335E70" w14:textId="62157E00" w:rsidR="00CC6A6F" w:rsidRDefault="00CC6A6F">
        <w:pPr>
          <w:pStyle w:val="Footer"/>
          <w:jc w:val="right"/>
        </w:pPr>
        <w:r>
          <w:t>S</w:t>
        </w:r>
        <w:r w:rsidR="008E7A0F">
          <w:t>2</w:t>
        </w:r>
        <w:r>
          <w:t>-</w:t>
        </w:r>
        <w:r>
          <w:fldChar w:fldCharType="begin"/>
        </w:r>
        <w:r>
          <w:instrText xml:space="preserve"> PAGE   \* MERGEFORMAT </w:instrText>
        </w:r>
        <w:r>
          <w:fldChar w:fldCharType="separate"/>
        </w:r>
        <w:r w:rsidR="00E15FB1">
          <w:rPr>
            <w:noProof/>
          </w:rPr>
          <w:t>3</w:t>
        </w:r>
        <w:r>
          <w:rPr>
            <w:noProof/>
          </w:rPr>
          <w:fldChar w:fldCharType="end"/>
        </w:r>
      </w:p>
    </w:sdtContent>
  </w:sdt>
  <w:p w14:paraId="0D0C5350" w14:textId="77777777" w:rsidR="00CC6A6F" w:rsidRDefault="00CC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24F6" w14:textId="77777777" w:rsidR="000A3E50" w:rsidRDefault="000A3E50" w:rsidP="00774995">
      <w:pPr>
        <w:spacing w:after="0" w:line="240" w:lineRule="auto"/>
      </w:pPr>
      <w:r>
        <w:separator/>
      </w:r>
    </w:p>
  </w:footnote>
  <w:footnote w:type="continuationSeparator" w:id="0">
    <w:p w14:paraId="04F9AE79" w14:textId="77777777" w:rsidR="000A3E50" w:rsidRDefault="000A3E50" w:rsidP="00774995">
      <w:pPr>
        <w:spacing w:after="0" w:line="240" w:lineRule="auto"/>
      </w:pPr>
      <w:r>
        <w:continuationSeparator/>
      </w:r>
    </w:p>
  </w:footnote>
  <w:footnote w:type="continuationNotice" w:id="1">
    <w:p w14:paraId="1AC737F8" w14:textId="77777777" w:rsidR="000A3E50" w:rsidRDefault="000A3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7CF9" w14:textId="40A6C519" w:rsidR="00CC6A6F" w:rsidRPr="00774995" w:rsidRDefault="00CC6A6F" w:rsidP="00774995">
    <w:pPr>
      <w:tabs>
        <w:tab w:val="center" w:pos="4680"/>
        <w:tab w:val="right" w:pos="9360"/>
      </w:tabs>
      <w:spacing w:after="0" w:line="240" w:lineRule="auto"/>
      <w:contextualSpacing w:val="0"/>
      <w:jc w:val="center"/>
      <w:rPr>
        <w:rFonts w:ascii="Calibri" w:eastAsia="Calibri" w:hAnsi="Calibri" w:cs="Times New Roman"/>
        <w:sz w:val="24"/>
      </w:rPr>
    </w:pPr>
    <w:r w:rsidRPr="00774995">
      <w:rPr>
        <w:rFonts w:ascii="Calibri" w:eastAsia="Calibri" w:hAnsi="Calibri" w:cs="Times New Roman"/>
        <w:sz w:val="24"/>
        <w:szCs w:val="24"/>
      </w:rPr>
      <w:t xml:space="preserve">Love, et al. - Markov Networks of Collateral Resistance in </w:t>
    </w:r>
    <w:r w:rsidRPr="00774995">
      <w:rPr>
        <w:rFonts w:ascii="Calibri" w:eastAsia="Calibri" w:hAnsi="Calibri" w:cs="Times New Roman"/>
        <w:i/>
        <w:sz w:val="24"/>
        <w:szCs w:val="24"/>
      </w:rPr>
      <w:t>E. coli</w:t>
    </w:r>
    <w:r w:rsidR="00D45B27">
      <w:rPr>
        <w:rFonts w:ascii="Calibri" w:eastAsia="Calibri" w:hAnsi="Calibri" w:cs="Times New Roman"/>
        <w:i/>
        <w:sz w:val="24"/>
        <w:szCs w:val="24"/>
      </w:rPr>
      <w:t xml:space="preserve"> -</w:t>
    </w:r>
    <w:r>
      <w:rPr>
        <w:rFonts w:ascii="Calibri" w:eastAsia="Calibri" w:hAnsi="Calibri" w:cs="Times New Roman"/>
        <w:i/>
        <w:sz w:val="24"/>
        <w:szCs w:val="24"/>
      </w:rPr>
      <w:t xml:space="preserve"> </w:t>
    </w:r>
    <w:r>
      <w:rPr>
        <w:rFonts w:ascii="Calibri" w:eastAsia="Calibri" w:hAnsi="Calibri" w:cs="Times New Roman"/>
        <w:sz w:val="24"/>
        <w:szCs w:val="24"/>
      </w:rPr>
      <w:t>SUPPLEMENT</w:t>
    </w:r>
  </w:p>
  <w:p w14:paraId="38449722" w14:textId="77777777" w:rsidR="00CC6A6F" w:rsidRDefault="00CC6A6F" w:rsidP="007749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wpef2p92a028e5dp0p0wded95tpvxea9zv&quot;&gt;My EndNote Library&lt;record-ids&gt;&lt;item&gt;777&lt;/item&gt;&lt;item&gt;855&lt;/item&gt;&lt;/record-ids&gt;&lt;/item&gt;&lt;/Libraries&gt;"/>
  </w:docVars>
  <w:rsids>
    <w:rsidRoot w:val="009039E4"/>
    <w:rsid w:val="000211B1"/>
    <w:rsid w:val="0005658E"/>
    <w:rsid w:val="000A3E50"/>
    <w:rsid w:val="000D0990"/>
    <w:rsid w:val="001A0BF8"/>
    <w:rsid w:val="001A32C0"/>
    <w:rsid w:val="001B0691"/>
    <w:rsid w:val="001B5B44"/>
    <w:rsid w:val="001C0CB7"/>
    <w:rsid w:val="001F5FAF"/>
    <w:rsid w:val="0020629B"/>
    <w:rsid w:val="00212714"/>
    <w:rsid w:val="00212AED"/>
    <w:rsid w:val="00234DBA"/>
    <w:rsid w:val="00256D5E"/>
    <w:rsid w:val="00280AF9"/>
    <w:rsid w:val="002918CF"/>
    <w:rsid w:val="003225E0"/>
    <w:rsid w:val="00323363"/>
    <w:rsid w:val="003263F8"/>
    <w:rsid w:val="00393016"/>
    <w:rsid w:val="004A4E68"/>
    <w:rsid w:val="004B4A7B"/>
    <w:rsid w:val="004B7FAC"/>
    <w:rsid w:val="004C3577"/>
    <w:rsid w:val="005A5515"/>
    <w:rsid w:val="005B43E5"/>
    <w:rsid w:val="005C3C36"/>
    <w:rsid w:val="005C4E12"/>
    <w:rsid w:val="005D5AF4"/>
    <w:rsid w:val="00600EAF"/>
    <w:rsid w:val="00696794"/>
    <w:rsid w:val="00774995"/>
    <w:rsid w:val="00790948"/>
    <w:rsid w:val="007C514E"/>
    <w:rsid w:val="007D1B5F"/>
    <w:rsid w:val="007F4A64"/>
    <w:rsid w:val="00813FB2"/>
    <w:rsid w:val="00857826"/>
    <w:rsid w:val="00893C1F"/>
    <w:rsid w:val="008A34DB"/>
    <w:rsid w:val="008C3E8A"/>
    <w:rsid w:val="008E7A0F"/>
    <w:rsid w:val="009039E4"/>
    <w:rsid w:val="009B4281"/>
    <w:rsid w:val="009C41E9"/>
    <w:rsid w:val="00A03A3A"/>
    <w:rsid w:val="00A0498E"/>
    <w:rsid w:val="00A13508"/>
    <w:rsid w:val="00A256DA"/>
    <w:rsid w:val="00A91905"/>
    <w:rsid w:val="00AA6AC5"/>
    <w:rsid w:val="00AB3979"/>
    <w:rsid w:val="00AD5F9E"/>
    <w:rsid w:val="00AF119F"/>
    <w:rsid w:val="00AF3B92"/>
    <w:rsid w:val="00B210D6"/>
    <w:rsid w:val="00B45595"/>
    <w:rsid w:val="00B62099"/>
    <w:rsid w:val="00B659C3"/>
    <w:rsid w:val="00B70D05"/>
    <w:rsid w:val="00BD412C"/>
    <w:rsid w:val="00C74569"/>
    <w:rsid w:val="00C94EF6"/>
    <w:rsid w:val="00CA65B3"/>
    <w:rsid w:val="00CB6E00"/>
    <w:rsid w:val="00CC6A6F"/>
    <w:rsid w:val="00CC6AD2"/>
    <w:rsid w:val="00CD23D4"/>
    <w:rsid w:val="00CD2586"/>
    <w:rsid w:val="00D16112"/>
    <w:rsid w:val="00D23F17"/>
    <w:rsid w:val="00D37EF1"/>
    <w:rsid w:val="00D45B27"/>
    <w:rsid w:val="00D749D2"/>
    <w:rsid w:val="00DC0D3F"/>
    <w:rsid w:val="00E15FB1"/>
    <w:rsid w:val="00E47675"/>
    <w:rsid w:val="00EA2521"/>
    <w:rsid w:val="00EA79BF"/>
    <w:rsid w:val="00EC4A8A"/>
    <w:rsid w:val="00F10E63"/>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32006"/>
  <w15:chartTrackingRefBased/>
  <w15:docId w15:val="{2690C758-9A4F-43A7-BADF-3759ADD4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DBA"/>
    <w:pPr>
      <w:spacing w:after="120" w:line="48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515"/>
    <w:rPr>
      <w:sz w:val="18"/>
      <w:szCs w:val="18"/>
    </w:rPr>
  </w:style>
  <w:style w:type="paragraph" w:styleId="CommentText">
    <w:name w:val="annotation text"/>
    <w:basedOn w:val="Normal"/>
    <w:link w:val="CommentTextChar"/>
    <w:uiPriority w:val="99"/>
    <w:semiHidden/>
    <w:unhideWhenUsed/>
    <w:rsid w:val="005A5515"/>
    <w:pPr>
      <w:spacing w:after="240" w:line="240" w:lineRule="auto"/>
    </w:pPr>
    <w:rPr>
      <w:sz w:val="24"/>
      <w:szCs w:val="24"/>
    </w:rPr>
  </w:style>
  <w:style w:type="character" w:customStyle="1" w:styleId="CommentTextChar">
    <w:name w:val="Comment Text Char"/>
    <w:basedOn w:val="DefaultParagraphFont"/>
    <w:link w:val="CommentText"/>
    <w:uiPriority w:val="99"/>
    <w:semiHidden/>
    <w:rsid w:val="005A5515"/>
    <w:rPr>
      <w:sz w:val="24"/>
      <w:szCs w:val="24"/>
    </w:rPr>
  </w:style>
  <w:style w:type="paragraph" w:styleId="BalloonText">
    <w:name w:val="Balloon Text"/>
    <w:basedOn w:val="Normal"/>
    <w:link w:val="BalloonTextChar"/>
    <w:uiPriority w:val="99"/>
    <w:semiHidden/>
    <w:unhideWhenUsed/>
    <w:rsid w:val="005A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15"/>
    <w:rPr>
      <w:rFonts w:ascii="Segoe UI" w:hAnsi="Segoe UI" w:cs="Segoe UI"/>
      <w:sz w:val="18"/>
      <w:szCs w:val="18"/>
    </w:rPr>
  </w:style>
  <w:style w:type="table" w:styleId="TableGrid">
    <w:name w:val="Table Grid"/>
    <w:basedOn w:val="TableNormal"/>
    <w:uiPriority w:val="39"/>
    <w:rsid w:val="0005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link w:val="TableContentChar"/>
    <w:qFormat/>
    <w:rsid w:val="004B4A7B"/>
    <w:pPr>
      <w:spacing w:line="276" w:lineRule="auto"/>
      <w:jc w:val="center"/>
    </w:pPr>
    <w:rPr>
      <w:rFonts w:ascii="Calibri" w:hAnsi="Calibri"/>
      <w:color w:val="000000"/>
    </w:rPr>
  </w:style>
  <w:style w:type="paragraph" w:customStyle="1" w:styleId="Figureheader">
    <w:name w:val="Figure header"/>
    <w:basedOn w:val="Normal"/>
    <w:link w:val="FigureheaderChar"/>
    <w:qFormat/>
    <w:rsid w:val="004B4A7B"/>
    <w:pPr>
      <w:spacing w:before="120"/>
    </w:pPr>
    <w:rPr>
      <w:b/>
    </w:rPr>
  </w:style>
  <w:style w:type="character" w:customStyle="1" w:styleId="TableContentChar">
    <w:name w:val="Table Content Char"/>
    <w:basedOn w:val="DefaultParagraphFont"/>
    <w:link w:val="TableContent"/>
    <w:rsid w:val="004B4A7B"/>
    <w:rPr>
      <w:rFonts w:ascii="Calibri" w:hAnsi="Calibri"/>
      <w:color w:val="000000"/>
    </w:rPr>
  </w:style>
  <w:style w:type="paragraph" w:customStyle="1" w:styleId="Tablefooter">
    <w:name w:val="Table footer"/>
    <w:basedOn w:val="Normal"/>
    <w:link w:val="TablefooterChar"/>
    <w:qFormat/>
    <w:rsid w:val="00234DBA"/>
    <w:pPr>
      <w:spacing w:line="240" w:lineRule="auto"/>
    </w:pPr>
    <w:rPr>
      <w:sz w:val="20"/>
      <w:szCs w:val="20"/>
    </w:rPr>
  </w:style>
  <w:style w:type="character" w:customStyle="1" w:styleId="FigureheaderChar">
    <w:name w:val="Figure header Char"/>
    <w:basedOn w:val="DefaultParagraphFont"/>
    <w:link w:val="Figureheader"/>
    <w:rsid w:val="004B4A7B"/>
    <w:rPr>
      <w:b/>
    </w:rPr>
  </w:style>
  <w:style w:type="paragraph" w:customStyle="1" w:styleId="EndNoteBibliographyTitle">
    <w:name w:val="EndNote Bibliography Title"/>
    <w:basedOn w:val="Normal"/>
    <w:link w:val="EndNoteBibliographyTitleChar"/>
    <w:rsid w:val="00234DBA"/>
    <w:pPr>
      <w:spacing w:after="0"/>
      <w:jc w:val="center"/>
    </w:pPr>
    <w:rPr>
      <w:rFonts w:ascii="Calibri" w:hAnsi="Calibri" w:cs="Calibri"/>
      <w:noProof/>
    </w:rPr>
  </w:style>
  <w:style w:type="character" w:customStyle="1" w:styleId="TablefooterChar">
    <w:name w:val="Table footer Char"/>
    <w:basedOn w:val="DefaultParagraphFont"/>
    <w:link w:val="Tablefooter"/>
    <w:rsid w:val="00234DBA"/>
    <w:rPr>
      <w:sz w:val="20"/>
      <w:szCs w:val="20"/>
    </w:rPr>
  </w:style>
  <w:style w:type="character" w:customStyle="1" w:styleId="EndNoteBibliographyTitleChar">
    <w:name w:val="EndNote Bibliography Title Char"/>
    <w:basedOn w:val="DefaultParagraphFont"/>
    <w:link w:val="EndNoteBibliographyTitle"/>
    <w:rsid w:val="00234DBA"/>
    <w:rPr>
      <w:rFonts w:ascii="Calibri" w:hAnsi="Calibri" w:cs="Calibri"/>
      <w:noProof/>
    </w:rPr>
  </w:style>
  <w:style w:type="paragraph" w:customStyle="1" w:styleId="EndNoteBibliography">
    <w:name w:val="EndNote Bibliography"/>
    <w:basedOn w:val="Normal"/>
    <w:link w:val="EndNoteBibliographyChar"/>
    <w:rsid w:val="00234DB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34DBA"/>
    <w:rPr>
      <w:rFonts w:ascii="Calibri" w:hAnsi="Calibri" w:cs="Calibri"/>
      <w:noProof/>
    </w:rPr>
  </w:style>
  <w:style w:type="character" w:styleId="Hyperlink">
    <w:name w:val="Hyperlink"/>
    <w:basedOn w:val="DefaultParagraphFont"/>
    <w:uiPriority w:val="99"/>
    <w:unhideWhenUsed/>
    <w:rsid w:val="00234DBA"/>
    <w:rPr>
      <w:color w:val="0563C1" w:themeColor="hyperlink"/>
      <w:u w:val="single"/>
    </w:rPr>
  </w:style>
  <w:style w:type="paragraph" w:styleId="Header">
    <w:name w:val="header"/>
    <w:basedOn w:val="Normal"/>
    <w:link w:val="HeaderChar"/>
    <w:uiPriority w:val="99"/>
    <w:unhideWhenUsed/>
    <w:rsid w:val="0077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95"/>
  </w:style>
  <w:style w:type="paragraph" w:styleId="Footer">
    <w:name w:val="footer"/>
    <w:basedOn w:val="Normal"/>
    <w:link w:val="FooterChar"/>
    <w:uiPriority w:val="99"/>
    <w:unhideWhenUsed/>
    <w:rsid w:val="0077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95"/>
  </w:style>
  <w:style w:type="character" w:styleId="LineNumber">
    <w:name w:val="line number"/>
    <w:basedOn w:val="DefaultParagraphFont"/>
    <w:uiPriority w:val="99"/>
    <w:semiHidden/>
    <w:unhideWhenUsed/>
    <w:rsid w:val="001F5FAF"/>
  </w:style>
  <w:style w:type="paragraph" w:styleId="CommentSubject">
    <w:name w:val="annotation subject"/>
    <w:basedOn w:val="CommentText"/>
    <w:next w:val="CommentText"/>
    <w:link w:val="CommentSubjectChar"/>
    <w:uiPriority w:val="99"/>
    <w:semiHidden/>
    <w:unhideWhenUsed/>
    <w:rsid w:val="009B4281"/>
    <w:pPr>
      <w:spacing w:after="120"/>
    </w:pPr>
    <w:rPr>
      <w:b/>
      <w:bCs/>
      <w:sz w:val="20"/>
      <w:szCs w:val="20"/>
    </w:rPr>
  </w:style>
  <w:style w:type="character" w:customStyle="1" w:styleId="CommentSubjectChar">
    <w:name w:val="Comment Subject Char"/>
    <w:basedOn w:val="CommentTextChar"/>
    <w:link w:val="CommentSubject"/>
    <w:uiPriority w:val="99"/>
    <w:semiHidden/>
    <w:rsid w:val="009B4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9027">
      <w:bodyDiv w:val="1"/>
      <w:marLeft w:val="0"/>
      <w:marRight w:val="0"/>
      <w:marTop w:val="0"/>
      <w:marBottom w:val="0"/>
      <w:divBdr>
        <w:top w:val="none" w:sz="0" w:space="0" w:color="auto"/>
        <w:left w:val="none" w:sz="0" w:space="0" w:color="auto"/>
        <w:bottom w:val="none" w:sz="0" w:space="0" w:color="auto"/>
        <w:right w:val="none" w:sz="0" w:space="0" w:color="auto"/>
      </w:divBdr>
    </w:div>
    <w:div w:id="473376174">
      <w:bodyDiv w:val="1"/>
      <w:marLeft w:val="0"/>
      <w:marRight w:val="0"/>
      <w:marTop w:val="0"/>
      <w:marBottom w:val="0"/>
      <w:divBdr>
        <w:top w:val="none" w:sz="0" w:space="0" w:color="auto"/>
        <w:left w:val="none" w:sz="0" w:space="0" w:color="auto"/>
        <w:bottom w:val="none" w:sz="0" w:space="0" w:color="auto"/>
        <w:right w:val="none" w:sz="0" w:space="0" w:color="auto"/>
      </w:divBdr>
    </w:div>
    <w:div w:id="20440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D519-F26C-48E2-850A-3BEB6B25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Love</dc:creator>
  <cp:keywords/>
  <dc:description/>
  <cp:lastModifiedBy>William Love</cp:lastModifiedBy>
  <cp:revision>5</cp:revision>
  <dcterms:created xsi:type="dcterms:W3CDTF">2016-10-17T19:59:00Z</dcterms:created>
  <dcterms:modified xsi:type="dcterms:W3CDTF">2016-10-21T13:34:00Z</dcterms:modified>
</cp:coreProperties>
</file>