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4B" w:rsidRPr="00EA01DB" w:rsidRDefault="0091084B" w:rsidP="0091084B">
      <w:pPr>
        <w:pStyle w:val="Normal1"/>
      </w:pPr>
    </w:p>
    <w:tbl>
      <w:tblPr>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3805"/>
        <w:gridCol w:w="2135"/>
      </w:tblGrid>
      <w:tr w:rsidR="0091084B" w:rsidRPr="00EA01DB" w:rsidTr="00BE15E0">
        <w:tc>
          <w:tcPr>
            <w:tcW w:w="3045" w:type="dxa"/>
            <w:shd w:val="clear" w:color="auto" w:fill="B7B7B7"/>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rPr>
                <w:b/>
              </w:rPr>
              <w:t>Category</w:t>
            </w:r>
          </w:p>
        </w:tc>
        <w:tc>
          <w:tcPr>
            <w:tcW w:w="3805" w:type="dxa"/>
            <w:shd w:val="clear" w:color="auto" w:fill="B7B7B7"/>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rPr>
                <w:b/>
              </w:rPr>
              <w:t>Notes</w:t>
            </w:r>
          </w:p>
        </w:tc>
        <w:tc>
          <w:tcPr>
            <w:tcW w:w="2135" w:type="dxa"/>
            <w:shd w:val="clear" w:color="auto" w:fill="B7B7B7"/>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rPr>
                <w:b/>
              </w:rPr>
              <w:t xml:space="preserve">Importance </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Both mates mapped</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NOT USED</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NOT USED</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1. Discordant </w:t>
            </w:r>
          </w:p>
          <w:p w:rsidR="0091084B" w:rsidRPr="00EA01DB" w:rsidRDefault="0091084B" w:rsidP="00BE15E0">
            <w:pPr>
              <w:pStyle w:val="Normal1"/>
              <w:widowControl w:val="0"/>
              <w:spacing w:line="240" w:lineRule="auto"/>
            </w:pP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Not paired </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0.056</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2. Mate not mapped</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SAM bit flag 8</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0.0</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3. Mates mapped to same strand </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Mate pairs on same strand </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0.089</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4. Mates on different </w:t>
            </w:r>
            <w:proofErr w:type="spellStart"/>
            <w:r w:rsidRPr="00EA01DB">
              <w:t>seqids</w:t>
            </w:r>
            <w:proofErr w:type="spellEnd"/>
            <w:r w:rsidRPr="00EA01DB">
              <w:t xml:space="preserve"> </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proofErr w:type="spellStart"/>
            <w:proofErr w:type="gramStart"/>
            <w:r w:rsidRPr="00EA01DB">
              <w:t>RefID</w:t>
            </w:r>
            <w:proofErr w:type="spellEnd"/>
            <w:r w:rsidRPr="00EA01DB">
              <w:t xml:space="preserve"> !=</w:t>
            </w:r>
            <w:proofErr w:type="gramEnd"/>
            <w:r w:rsidRPr="00EA01DB">
              <w:t xml:space="preserve"> </w:t>
            </w:r>
            <w:proofErr w:type="spellStart"/>
            <w:r w:rsidRPr="00EA01DB">
              <w:t>MateRefID</w:t>
            </w:r>
            <w:proofErr w:type="spellEnd"/>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0.148</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5. Number of split reads </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Contains the ‘SA’ optional tag</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0.078</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6. Split read (fragment 1) on same strand as mate</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Combination of SAM flag and SA tag </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0.071</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7. Split read (fragment 2) on same strand as mate</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Combination of SAM flag and SA tag </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0.071</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8. Split read (fragment 1) and read two (</w:t>
            </w:r>
            <w:proofErr w:type="gramStart"/>
            <w:r w:rsidRPr="00EA01DB">
              <w:t>fragment  2</w:t>
            </w:r>
            <w:proofErr w:type="gramEnd"/>
            <w:r w:rsidRPr="00EA01DB">
              <w:t xml:space="preserve">) on same strand </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Combination of SAM flag and SA tag</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0.13</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9. Internal insertion</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Cigar string contains ‘I’ operation</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0.0002</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10. Internal deletion</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Cigar string contains ‘D’ operation</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0.0135</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11. Mates mapped too close </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Insert &lt; (2.5 * </w:t>
            </w:r>
            <w:proofErr w:type="spellStart"/>
            <w:r w:rsidRPr="00EA01DB">
              <w:t>sd</w:t>
            </w:r>
            <w:proofErr w:type="spellEnd"/>
            <w:r w:rsidRPr="00EA01DB">
              <w:t xml:space="preserve"> average insert size)</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0.024</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12. Mates mapped to far </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Insert &gt; (2.5 * </w:t>
            </w:r>
            <w:proofErr w:type="spellStart"/>
            <w:r w:rsidRPr="00EA01DB">
              <w:t>sd</w:t>
            </w:r>
            <w:proofErr w:type="spellEnd"/>
            <w:r w:rsidRPr="00EA01DB">
              <w:t xml:space="preserve"> average insert size)</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0.101</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 xml:space="preserve">13. </w:t>
            </w:r>
            <w:proofErr w:type="spellStart"/>
            <w:r w:rsidRPr="00EA01DB">
              <w:t>Everted</w:t>
            </w:r>
            <w:proofErr w:type="spellEnd"/>
            <w:r w:rsidRPr="00EA01DB">
              <w:t xml:space="preserve"> pairs</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Position and orientation of mate pairs</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0.075</w:t>
            </w:r>
          </w:p>
        </w:tc>
      </w:tr>
      <w:tr w:rsidR="0091084B" w:rsidRPr="00EA01DB" w:rsidTr="00BE15E0">
        <w:tc>
          <w:tcPr>
            <w:tcW w:w="304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14. Relative depth</w:t>
            </w:r>
          </w:p>
        </w:tc>
        <w:tc>
          <w:tcPr>
            <w:tcW w:w="380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Depth at position for each sample relative to their mean depth</w:t>
            </w:r>
          </w:p>
        </w:tc>
        <w:tc>
          <w:tcPr>
            <w:tcW w:w="2135" w:type="dxa"/>
            <w:tcMar>
              <w:top w:w="100" w:type="dxa"/>
              <w:left w:w="100" w:type="dxa"/>
              <w:bottom w:w="100" w:type="dxa"/>
              <w:right w:w="100" w:type="dxa"/>
            </w:tcMar>
          </w:tcPr>
          <w:p w:rsidR="0091084B" w:rsidRPr="00EA01DB" w:rsidRDefault="0091084B" w:rsidP="00BE15E0">
            <w:pPr>
              <w:pStyle w:val="Normal1"/>
              <w:widowControl w:val="0"/>
              <w:spacing w:line="240" w:lineRule="auto"/>
            </w:pPr>
            <w:r w:rsidRPr="00EA01DB">
              <w:t>0.137</w:t>
            </w:r>
          </w:p>
        </w:tc>
      </w:tr>
    </w:tbl>
    <w:p w:rsidR="0091084B" w:rsidRPr="00EA01DB" w:rsidRDefault="0091084B" w:rsidP="0091084B">
      <w:pPr>
        <w:pStyle w:val="Heading3"/>
        <w:contextualSpacing w:val="0"/>
        <w:jc w:val="both"/>
        <w:rPr>
          <w:rFonts w:ascii="Arial" w:hAnsi="Arial"/>
          <w:color w:val="000000" w:themeColor="text1"/>
          <w:sz w:val="22"/>
          <w:szCs w:val="22"/>
        </w:rPr>
      </w:pPr>
      <w:r w:rsidRPr="00EA01DB">
        <w:rPr>
          <w:rFonts w:ascii="Arial" w:hAnsi="Arial"/>
          <w:color w:val="000000" w:themeColor="text1"/>
          <w:sz w:val="22"/>
          <w:szCs w:val="22"/>
        </w:rPr>
        <w:t xml:space="preserve">Table S1.  The factors used to classify the SV type. </w:t>
      </w:r>
    </w:p>
    <w:p w:rsidR="0091084B" w:rsidRPr="00EA01DB" w:rsidRDefault="0091084B" w:rsidP="0091084B">
      <w:pPr>
        <w:pStyle w:val="Normal1"/>
        <w:jc w:val="both"/>
        <w:rPr>
          <w:szCs w:val="22"/>
        </w:rPr>
      </w:pPr>
      <w:r w:rsidRPr="00EA01DB">
        <w:rPr>
          <w:szCs w:val="22"/>
        </w:rPr>
        <w:t xml:space="preserve">All factors reported in the VCF “AT” info field are the fraction of the reads in the pileup falling into one or more of the 14 categories described above.  During the training step, the importance of each factor is reported as shown above.  The importance is the relative weight each attribute contributes to the classification. </w:t>
      </w:r>
    </w:p>
    <w:p w:rsidR="006C107D" w:rsidRDefault="006C107D">
      <w:bookmarkStart w:id="0" w:name="_GoBack"/>
      <w:bookmarkEnd w:id="0"/>
    </w:p>
    <w:sectPr w:rsidR="006C107D" w:rsidSect="009C03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4B"/>
    <w:rsid w:val="006C107D"/>
    <w:rsid w:val="0091084B"/>
    <w:rsid w:val="009C0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9C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4B"/>
    <w:pPr>
      <w:spacing w:line="276" w:lineRule="auto"/>
    </w:pPr>
    <w:rPr>
      <w:rFonts w:ascii="Arial" w:eastAsia="Arial" w:hAnsi="Arial" w:cs="Arial"/>
      <w:color w:val="000000"/>
      <w:sz w:val="22"/>
      <w:szCs w:val="20"/>
    </w:rPr>
  </w:style>
  <w:style w:type="paragraph" w:styleId="Heading3">
    <w:name w:val="heading 3"/>
    <w:basedOn w:val="Normal1"/>
    <w:next w:val="Normal1"/>
    <w:link w:val="Heading3Char"/>
    <w:rsid w:val="0091084B"/>
    <w:pPr>
      <w:keepNext/>
      <w:keepLines/>
      <w:spacing w:before="160"/>
      <w:contextualSpacing/>
      <w:outlineLvl w:val="2"/>
    </w:pPr>
    <w:rPr>
      <w:rFonts w:ascii="Trebuchet MS" w:eastAsia="Trebuchet MS" w:hAnsi="Trebuchet MS" w:cs="Trebuchet MS"/>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084B"/>
    <w:rPr>
      <w:rFonts w:ascii="Trebuchet MS" w:eastAsia="Trebuchet MS" w:hAnsi="Trebuchet MS" w:cs="Trebuchet MS"/>
      <w:b/>
      <w:color w:val="666666"/>
      <w:szCs w:val="20"/>
    </w:rPr>
  </w:style>
  <w:style w:type="paragraph" w:customStyle="1" w:styleId="Normal1">
    <w:name w:val="Normal1"/>
    <w:rsid w:val="0091084B"/>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4B"/>
    <w:pPr>
      <w:spacing w:line="276" w:lineRule="auto"/>
    </w:pPr>
    <w:rPr>
      <w:rFonts w:ascii="Arial" w:eastAsia="Arial" w:hAnsi="Arial" w:cs="Arial"/>
      <w:color w:val="000000"/>
      <w:sz w:val="22"/>
      <w:szCs w:val="20"/>
    </w:rPr>
  </w:style>
  <w:style w:type="paragraph" w:styleId="Heading3">
    <w:name w:val="heading 3"/>
    <w:basedOn w:val="Normal1"/>
    <w:next w:val="Normal1"/>
    <w:link w:val="Heading3Char"/>
    <w:rsid w:val="0091084B"/>
    <w:pPr>
      <w:keepNext/>
      <w:keepLines/>
      <w:spacing w:before="160"/>
      <w:contextualSpacing/>
      <w:outlineLvl w:val="2"/>
    </w:pPr>
    <w:rPr>
      <w:rFonts w:ascii="Trebuchet MS" w:eastAsia="Trebuchet MS" w:hAnsi="Trebuchet MS" w:cs="Trebuchet MS"/>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084B"/>
    <w:rPr>
      <w:rFonts w:ascii="Trebuchet MS" w:eastAsia="Trebuchet MS" w:hAnsi="Trebuchet MS" w:cs="Trebuchet MS"/>
      <w:b/>
      <w:color w:val="666666"/>
      <w:szCs w:val="20"/>
    </w:rPr>
  </w:style>
  <w:style w:type="paragraph" w:customStyle="1" w:styleId="Normal1">
    <w:name w:val="Normal1"/>
    <w:rsid w:val="0091084B"/>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Macintosh Word</Application>
  <DocSecurity>0</DocSecurity>
  <Lines>10</Lines>
  <Paragraphs>2</Paragraphs>
  <ScaleCrop>false</ScaleCrop>
  <Company>University of Utah</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 Kronenberg</dc:creator>
  <cp:keywords/>
  <dc:description/>
  <cp:lastModifiedBy>Zev Kronenberg</cp:lastModifiedBy>
  <cp:revision>1</cp:revision>
  <dcterms:created xsi:type="dcterms:W3CDTF">2015-09-30T20:20:00Z</dcterms:created>
  <dcterms:modified xsi:type="dcterms:W3CDTF">2015-09-30T20:20:00Z</dcterms:modified>
</cp:coreProperties>
</file>