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625"/>
        <w:gridCol w:w="1701"/>
        <w:gridCol w:w="1985"/>
        <w:gridCol w:w="1417"/>
      </w:tblGrid>
      <w:tr w:rsidR="002C0AB2" w:rsidRPr="00E20C12" w:rsidTr="005930F3">
        <w:trPr>
          <w:trHeight w:hRule="exact" w:val="438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i/>
                <w:lang w:val="en-US"/>
              </w:rPr>
            </w:pPr>
            <w:r w:rsidRPr="00E20C12">
              <w:rPr>
                <w:i/>
                <w:lang w:val="en-US"/>
              </w:rPr>
              <w:t>Models</w:t>
            </w:r>
          </w:p>
        </w:tc>
        <w:tc>
          <w:tcPr>
            <w:tcW w:w="3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before="40" w:line="360" w:lineRule="auto"/>
              <w:jc w:val="center"/>
              <w:rPr>
                <w:i/>
                <w:lang w:val="en-US"/>
              </w:rPr>
            </w:pPr>
            <w:proofErr w:type="spellStart"/>
            <w:r w:rsidRPr="00E20C12">
              <w:rPr>
                <w:i/>
                <w:lang w:val="en-US"/>
              </w:rPr>
              <w:t>iBIC</w:t>
            </w:r>
            <w:proofErr w:type="spellEnd"/>
            <w:r w:rsidRPr="00E20C12">
              <w:rPr>
                <w:i/>
                <w:lang w:val="en-US"/>
              </w:rPr>
              <w:t xml:space="preserve"> </w:t>
            </w:r>
            <w:r w:rsidR="00202EF6">
              <w:rPr>
                <w:i/>
                <w:color w:val="C00000"/>
                <w:lang w:val="en-US"/>
              </w:rPr>
              <w:t>single-task</w:t>
            </w:r>
            <w:r w:rsidRPr="00202EF6">
              <w:rPr>
                <w:i/>
                <w:color w:val="C00000"/>
                <w:lang w:val="en-US"/>
              </w:rPr>
              <w:t xml:space="preserve"> </w:t>
            </w:r>
            <w:r w:rsidRPr="00E20C12">
              <w:rPr>
                <w:i/>
                <w:lang w:val="en-US"/>
              </w:rPr>
              <w:t>(x 10</w:t>
            </w:r>
            <w:r w:rsidRPr="00E20C12">
              <w:rPr>
                <w:i/>
                <w:vertAlign w:val="superscript"/>
                <w:lang w:val="en-US"/>
              </w:rPr>
              <w:t>4</w:t>
            </w:r>
            <w:r w:rsidRPr="00E20C12">
              <w:rPr>
                <w:i/>
                <w:lang w:val="en-US"/>
              </w:rPr>
              <w:t>)</w:t>
            </w:r>
          </w:p>
          <w:p w:rsidR="002C0AB2" w:rsidRPr="00E20C12" w:rsidRDefault="002C0AB2" w:rsidP="005930F3">
            <w:pPr>
              <w:spacing w:line="36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EF6" w:rsidRDefault="002C0AB2" w:rsidP="00202EF6">
            <w:pPr>
              <w:spacing w:line="360" w:lineRule="auto"/>
              <w:jc w:val="center"/>
              <w:rPr>
                <w:i/>
                <w:color w:val="C00000"/>
                <w:lang w:val="en-US"/>
              </w:rPr>
            </w:pPr>
            <w:proofErr w:type="spellStart"/>
            <w:r w:rsidRPr="00E20C12">
              <w:rPr>
                <w:i/>
                <w:lang w:val="en-US"/>
              </w:rPr>
              <w:t>iBIC</w:t>
            </w:r>
            <w:proofErr w:type="spellEnd"/>
            <w:r w:rsidRPr="00E20C12">
              <w:rPr>
                <w:i/>
                <w:lang w:val="en-US"/>
              </w:rPr>
              <w:t xml:space="preserve"> </w:t>
            </w:r>
            <w:r w:rsidR="00202EF6">
              <w:rPr>
                <w:i/>
                <w:color w:val="C00000"/>
                <w:lang w:val="en-US"/>
              </w:rPr>
              <w:t>dual-task</w:t>
            </w:r>
          </w:p>
          <w:p w:rsidR="002C0AB2" w:rsidRPr="00E20C12" w:rsidRDefault="002C0AB2" w:rsidP="00202EF6">
            <w:pPr>
              <w:spacing w:line="360" w:lineRule="auto"/>
              <w:jc w:val="center"/>
              <w:rPr>
                <w:i/>
                <w:lang w:val="en-US"/>
              </w:rPr>
            </w:pPr>
            <w:r w:rsidRPr="00E20C12">
              <w:rPr>
                <w:i/>
                <w:lang w:val="en-US"/>
              </w:rPr>
              <w:t xml:space="preserve"> (x 10</w:t>
            </w:r>
            <w:r w:rsidRPr="00E20C12">
              <w:rPr>
                <w:i/>
                <w:vertAlign w:val="superscript"/>
                <w:lang w:val="en-US"/>
              </w:rPr>
              <w:t>4</w:t>
            </w:r>
            <w:r w:rsidRPr="00E20C12">
              <w:rPr>
                <w:i/>
                <w:lang w:val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i/>
                <w:lang w:val="en-US"/>
              </w:rPr>
            </w:pPr>
            <w:r w:rsidRPr="00E20C12">
              <w:rPr>
                <w:i/>
                <w:lang w:val="en-US"/>
              </w:rPr>
              <w:t>No. Parameters</w:t>
            </w:r>
          </w:p>
        </w:tc>
      </w:tr>
      <w:tr w:rsidR="002C0AB2" w:rsidRPr="00E20C12" w:rsidTr="005930F3">
        <w:trPr>
          <w:trHeight w:hRule="exact" w:val="574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jc w:val="center"/>
              <w:rPr>
                <w:i/>
                <w:lang w:val="en-US"/>
              </w:rPr>
            </w:pPr>
            <w:r w:rsidRPr="00E20C12">
              <w:rPr>
                <w:i/>
                <w:lang w:val="en-US"/>
              </w:rPr>
              <w:t xml:space="preserve">High load group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jc w:val="center"/>
              <w:rPr>
                <w:i/>
                <w:lang w:val="en-US"/>
              </w:rPr>
            </w:pPr>
            <w:r w:rsidRPr="00E20C12">
              <w:rPr>
                <w:i/>
                <w:lang w:val="en-US"/>
              </w:rPr>
              <w:t xml:space="preserve">Low load group 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 β ε w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3.9598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4.2879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2.1602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 β ε w λ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3.9544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4.2880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2.1598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5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 β ε w σ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3.9703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4.2917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2.1598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5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 β ε w λ σ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3.9563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4.2912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2.1608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6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α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β ε w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3.9592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4.2877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2.1498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5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α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β ε w λ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3.9494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4.2887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2.1507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6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α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β ε w σ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3.9612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4.2907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2.1490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6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α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β ε w λ σ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3.9459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4.2906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2.1494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7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 β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ε w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3.9153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4.2556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2.1494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5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 β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ε w λ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i/>
                <w:lang w:val="en-US"/>
              </w:rPr>
            </w:pPr>
            <w:r w:rsidRPr="00E20C12">
              <w:rPr>
                <w:i/>
                <w:lang w:val="en-US"/>
              </w:rPr>
              <w:t>3.9072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C12">
              <w:rPr>
                <w:b/>
                <w:lang w:val="en-US"/>
              </w:rPr>
              <w:t>4.2494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2.1472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6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 β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ε w σ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3.9214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4.2612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2.1476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6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 β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ε w λ σ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3.9120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4.2541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2.1476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7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α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ε w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3.9134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4.2586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2.1449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6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α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ε w σ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3.9196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4.2632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C12">
              <w:rPr>
                <w:b/>
                <w:lang w:val="en-US"/>
              </w:rPr>
              <w:t>2.1433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7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α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ε w λ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b/>
                <w:lang w:val="en-US"/>
              </w:rPr>
            </w:pPr>
            <w:r w:rsidRPr="00E20C12">
              <w:rPr>
                <w:b/>
                <w:lang w:val="en-US"/>
              </w:rPr>
              <w:t>3.9055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i/>
                <w:lang w:val="en-US"/>
              </w:rPr>
            </w:pPr>
            <w:r w:rsidRPr="00E20C12">
              <w:rPr>
                <w:i/>
                <w:lang w:val="en-US"/>
              </w:rPr>
              <w:t>4.2501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i/>
                <w:lang w:val="en-US"/>
              </w:rPr>
            </w:pPr>
            <w:r w:rsidRPr="00E20C12">
              <w:rPr>
                <w:i/>
                <w:lang w:val="en-US"/>
              </w:rPr>
              <w:t>2.1442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7</w:t>
            </w:r>
          </w:p>
        </w:tc>
      </w:tr>
      <w:tr w:rsidR="002C0AB2" w:rsidRPr="00E20C12" w:rsidTr="005930F3">
        <w:trPr>
          <w:trHeight w:hRule="exact" w:val="340"/>
        </w:trPr>
        <w:tc>
          <w:tcPr>
            <w:tcW w:w="2027" w:type="dxa"/>
            <w:tcBorders>
              <w:top w:val="single" w:sz="2" w:space="0" w:color="BFBFBF" w:themeColor="background1" w:themeShade="BF"/>
              <w:left w:val="single" w:sz="12" w:space="0" w:color="auto"/>
              <w:bottom w:val="single" w:sz="12" w:space="0" w:color="auto"/>
              <w:right w:val="single" w:sz="2" w:space="0" w:color="BFBFBF" w:themeColor="background1" w:themeShade="BF"/>
            </w:tcBorders>
          </w:tcPr>
          <w:p w:rsidR="002C0AB2" w:rsidRPr="00E20C12" w:rsidRDefault="002C0AB2" w:rsidP="005930F3">
            <w:pPr>
              <w:spacing w:line="360" w:lineRule="auto"/>
              <w:rPr>
                <w:lang w:val="en-US"/>
              </w:rPr>
            </w:pPr>
            <w:r w:rsidRPr="00E20C12">
              <w:rPr>
                <w:lang w:val="en-US"/>
              </w:rPr>
              <w:t>α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α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1</w:t>
            </w:r>
            <w:r w:rsidRPr="00E20C12">
              <w:rPr>
                <w:lang w:val="en-US"/>
              </w:rPr>
              <w:t xml:space="preserve"> β</w:t>
            </w:r>
            <w:r w:rsidRPr="00E20C12">
              <w:rPr>
                <w:vertAlign w:val="superscript"/>
                <w:lang w:val="en-US"/>
              </w:rPr>
              <w:t>2</w:t>
            </w:r>
            <w:r w:rsidRPr="00E20C12">
              <w:rPr>
                <w:lang w:val="en-US"/>
              </w:rPr>
              <w:t xml:space="preserve"> ε w λ σ</w:t>
            </w:r>
          </w:p>
        </w:tc>
        <w:tc>
          <w:tcPr>
            <w:tcW w:w="162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3.9111</w:t>
            </w:r>
          </w:p>
        </w:tc>
        <w:tc>
          <w:tcPr>
            <w:tcW w:w="1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4.2569</w:t>
            </w:r>
          </w:p>
        </w:tc>
        <w:tc>
          <w:tcPr>
            <w:tcW w:w="198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  <w:right w:val="single" w:sz="2" w:space="0" w:color="BFBFBF" w:themeColor="background1" w:themeShade="BF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2.1462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auto"/>
              <w:right w:val="single" w:sz="12" w:space="0" w:color="auto"/>
            </w:tcBorders>
            <w:vAlign w:val="center"/>
          </w:tcPr>
          <w:p w:rsidR="002C0AB2" w:rsidRPr="00E20C12" w:rsidRDefault="002C0AB2" w:rsidP="005930F3">
            <w:pPr>
              <w:spacing w:line="360" w:lineRule="auto"/>
              <w:jc w:val="center"/>
              <w:rPr>
                <w:lang w:val="en-US"/>
              </w:rPr>
            </w:pPr>
            <w:r w:rsidRPr="00E20C12">
              <w:rPr>
                <w:lang w:val="en-US"/>
              </w:rPr>
              <w:t>8</w:t>
            </w:r>
          </w:p>
        </w:tc>
      </w:tr>
    </w:tbl>
    <w:p w:rsidR="00904696" w:rsidRPr="007B4E20" w:rsidRDefault="00904696" w:rsidP="00904696">
      <w:pPr>
        <w:spacing w:before="100" w:beforeAutospacing="1" w:after="100" w:afterAutospacing="1" w:line="360" w:lineRule="auto"/>
        <w:jc w:val="both"/>
        <w:rPr>
          <w:color w:val="C00000"/>
          <w:lang w:val="en-US"/>
        </w:rPr>
      </w:pPr>
      <w:bookmarkStart w:id="0" w:name="_GoBack"/>
      <w:bookmarkEnd w:id="0"/>
      <w:r w:rsidRPr="007B4E20">
        <w:rPr>
          <w:b/>
          <w:color w:val="C00000"/>
          <w:lang w:val="en-US"/>
        </w:rPr>
        <w:t xml:space="preserve">Table S2: Bayesian model comparison: multiple days. </w:t>
      </w:r>
      <w:r w:rsidRPr="007B4E20">
        <w:rPr>
          <w:color w:val="C00000"/>
          <w:lang w:val="en-US"/>
        </w:rPr>
        <w:t>Results of a Bayesian model comparison that accounts for differences in model complexity. More complex model variants include those that have separate parameters for first and second stage choices, an eligibility trace, and a parameter for capturing shifts in model-free versus model-based control across days (</w:t>
      </w:r>
      <w:r w:rsidRPr="007B4E20">
        <w:rPr>
          <w:rFonts w:ascii="Gulim" w:eastAsia="Gulim" w:hAnsi="Gulim" w:hint="eastAsia"/>
          <w:color w:val="C00000"/>
          <w:lang w:val="en-US"/>
        </w:rPr>
        <w:t>σ</w:t>
      </w:r>
      <w:r w:rsidRPr="007B4E20">
        <w:rPr>
          <w:color w:val="C00000"/>
          <w:lang w:val="en-US"/>
        </w:rPr>
        <w:t xml:space="preserve">). In simpler models, RL parameters were fixed between first and second stage choices, the eligibility trace was fixed at 1, and </w:t>
      </w:r>
      <w:r w:rsidRPr="007B4E20">
        <w:rPr>
          <w:rFonts w:ascii="Gulim" w:eastAsia="Gulim" w:hAnsi="Gulim" w:hint="eastAsia"/>
          <w:color w:val="C00000"/>
          <w:lang w:val="en-US"/>
        </w:rPr>
        <w:t>σ</w:t>
      </w:r>
      <w:r w:rsidRPr="007B4E20">
        <w:rPr>
          <w:color w:val="C00000"/>
          <w:lang w:val="en-US"/>
        </w:rPr>
        <w:t xml:space="preserve"> was set to 0. Bold-face denotes the winning model (lowest </w:t>
      </w:r>
      <w:proofErr w:type="spellStart"/>
      <w:r w:rsidRPr="007B4E20">
        <w:rPr>
          <w:color w:val="C00000"/>
          <w:lang w:val="en-US"/>
        </w:rPr>
        <w:t>iBIC</w:t>
      </w:r>
      <w:proofErr w:type="spellEnd"/>
      <w:r w:rsidRPr="007B4E20">
        <w:rPr>
          <w:color w:val="C00000"/>
          <w:lang w:val="en-US"/>
        </w:rPr>
        <w:t xml:space="preserve"> score) for each condition. Parameters followed by a superscript of 1 or 2 correspond to first-stage or second-stage choices respectively. α = learning rate; β = softmax inverse temperature; ε = lapse rate; w = model-free/model-based weight; λ = eligibility trace; </w:t>
      </w:r>
      <w:r w:rsidRPr="007B4E20">
        <w:rPr>
          <w:rFonts w:ascii="Gulim" w:eastAsia="Gulim" w:hAnsi="Gulim" w:hint="eastAsia"/>
          <w:color w:val="C00000"/>
          <w:lang w:val="en-US"/>
        </w:rPr>
        <w:t>σ</w:t>
      </w:r>
      <w:r w:rsidRPr="007B4E20">
        <w:rPr>
          <w:color w:val="C00000"/>
          <w:lang w:val="en-US"/>
        </w:rPr>
        <w:t xml:space="preserve"> = slope governing a shift in model-free/model-based weight (w) across days.  </w:t>
      </w:r>
    </w:p>
    <w:p w:rsidR="002B680B" w:rsidRDefault="00904696"/>
    <w:sectPr w:rsidR="002B6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A9"/>
    <w:rsid w:val="00144C80"/>
    <w:rsid w:val="00202EF6"/>
    <w:rsid w:val="002C0AB2"/>
    <w:rsid w:val="003618B7"/>
    <w:rsid w:val="006975A9"/>
    <w:rsid w:val="00732666"/>
    <w:rsid w:val="00883775"/>
    <w:rsid w:val="00904696"/>
    <w:rsid w:val="00915356"/>
    <w:rsid w:val="00C95BCB"/>
    <w:rsid w:val="00E0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D38E4-E0F4-4F50-9A40-28F01417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7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Economides</dc:creator>
  <cp:keywords/>
  <dc:description/>
  <cp:lastModifiedBy>Marcos Economides</cp:lastModifiedBy>
  <cp:revision>9</cp:revision>
  <dcterms:created xsi:type="dcterms:W3CDTF">2015-03-06T17:22:00Z</dcterms:created>
  <dcterms:modified xsi:type="dcterms:W3CDTF">2015-06-02T11:02:00Z</dcterms:modified>
</cp:coreProperties>
</file>