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121" w:rsidRPr="001E0706" w:rsidRDefault="00943121" w:rsidP="00943121">
      <w:pPr>
        <w:jc w:val="center"/>
        <w:rPr>
          <w:rFonts w:ascii="Arial" w:hAnsi="Arial"/>
          <w:sz w:val="18"/>
        </w:rPr>
      </w:pPr>
      <w:r>
        <w:rPr>
          <w:rFonts w:ascii="Arial" w:hAnsi="Arial"/>
          <w:noProof/>
          <w:sz w:val="18"/>
          <w:lang w:eastAsia="en-US"/>
        </w:rPr>
        <w:drawing>
          <wp:inline distT="0" distB="0" distL="0" distR="0">
            <wp:extent cx="4665980" cy="6173470"/>
            <wp:effectExtent l="25400" t="0" r="7620" b="0"/>
            <wp:docPr id="1" name="Picture 1" descr="Fig_3_t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3_t3-new"/>
                    <pic:cNvPicPr>
                      <a:picLocks noChangeAspect="1" noChangeArrowheads="1"/>
                    </pic:cNvPicPr>
                  </pic:nvPicPr>
                  <pic:blipFill>
                    <a:blip r:embed="rId4"/>
                    <a:srcRect/>
                    <a:stretch>
                      <a:fillRect/>
                    </a:stretch>
                  </pic:blipFill>
                  <pic:spPr bwMode="auto">
                    <a:xfrm>
                      <a:off x="0" y="0"/>
                      <a:ext cx="4665980" cy="6173470"/>
                    </a:xfrm>
                    <a:prstGeom prst="rect">
                      <a:avLst/>
                    </a:prstGeom>
                    <a:noFill/>
                    <a:ln w="9525">
                      <a:noFill/>
                      <a:miter lim="800000"/>
                      <a:headEnd/>
                      <a:tailEnd/>
                    </a:ln>
                  </pic:spPr>
                </pic:pic>
              </a:graphicData>
            </a:graphic>
          </wp:inline>
        </w:drawing>
      </w:r>
    </w:p>
    <w:p w:rsidR="00536B48" w:rsidRPr="00D66D60" w:rsidRDefault="00536B48" w:rsidP="00536B48">
      <w:pPr>
        <w:spacing w:line="480" w:lineRule="auto"/>
        <w:jc w:val="both"/>
        <w:rPr>
          <w:rFonts w:ascii="Arial" w:hAnsi="Arial"/>
          <w:color w:val="000000" w:themeColor="text1"/>
          <w:sz w:val="20"/>
        </w:rPr>
      </w:pPr>
      <w:r w:rsidRPr="00D66D60">
        <w:rPr>
          <w:rFonts w:ascii="Arial" w:hAnsi="Arial"/>
          <w:b/>
          <w:color w:val="000000" w:themeColor="text1"/>
          <w:sz w:val="20"/>
        </w:rPr>
        <w:t>Figure S7. 0.035 ms long independent MD simulations in the gas phase of [hIns</w:t>
      </w:r>
      <w:r w:rsidRPr="00D66D60">
        <w:rPr>
          <w:rFonts w:ascii="Arial" w:hAnsi="Arial"/>
          <w:b/>
          <w:color w:val="000000" w:themeColor="text1"/>
          <w:sz w:val="20"/>
          <w:vertAlign w:val="subscript"/>
        </w:rPr>
        <w:t>2</w:t>
      </w:r>
      <w:r w:rsidRPr="00D66D60">
        <w:rPr>
          <w:rFonts w:ascii="Arial" w:hAnsi="Arial"/>
          <w:b/>
          <w:color w:val="000000" w:themeColor="text1"/>
          <w:sz w:val="20"/>
        </w:rPr>
        <w:t>]</w:t>
      </w:r>
      <w:r w:rsidRPr="00D66D60">
        <w:rPr>
          <w:rFonts w:ascii="Arial" w:hAnsi="Arial"/>
          <w:b/>
          <w:color w:val="000000" w:themeColor="text1"/>
          <w:sz w:val="20"/>
          <w:vertAlign w:val="superscript"/>
        </w:rPr>
        <w:t>6+</w:t>
      </w:r>
      <w:r w:rsidRPr="00D66D60">
        <w:rPr>
          <w:rFonts w:ascii="Arial" w:hAnsi="Arial" w:cs="CMTI10"/>
          <w:b/>
          <w:i/>
          <w:color w:val="000000" w:themeColor="text1"/>
          <w:sz w:val="20"/>
        </w:rPr>
        <w:t>.</w:t>
      </w:r>
      <w:r w:rsidRPr="00D66D60">
        <w:rPr>
          <w:rFonts w:ascii="Arial" w:hAnsi="Arial"/>
          <w:b/>
          <w:color w:val="000000" w:themeColor="text1"/>
          <w:sz w:val="20"/>
        </w:rPr>
        <w:t xml:space="preserve"> </w:t>
      </w:r>
      <w:r w:rsidRPr="00D66D60">
        <w:rPr>
          <w:rFonts w:ascii="Arial" w:hAnsi="Arial"/>
          <w:color w:val="000000" w:themeColor="text1"/>
          <w:sz w:val="20"/>
        </w:rPr>
        <w:t>(A) Models of [hIns</w:t>
      </w:r>
      <w:r w:rsidRPr="00D66D60">
        <w:rPr>
          <w:rFonts w:ascii="Arial" w:hAnsi="Arial"/>
          <w:color w:val="000000" w:themeColor="text1"/>
          <w:sz w:val="20"/>
          <w:vertAlign w:val="subscript"/>
        </w:rPr>
        <w:t>2</w:t>
      </w:r>
      <w:r w:rsidRPr="00D66D60">
        <w:rPr>
          <w:rFonts w:ascii="Arial" w:hAnsi="Arial"/>
          <w:color w:val="000000" w:themeColor="text1"/>
          <w:sz w:val="20"/>
        </w:rPr>
        <w:t>]</w:t>
      </w:r>
      <w:r w:rsidRPr="00D66D60">
        <w:rPr>
          <w:rFonts w:ascii="Arial" w:hAnsi="Arial"/>
          <w:color w:val="000000" w:themeColor="text1"/>
          <w:sz w:val="20"/>
          <w:vertAlign w:val="superscript"/>
        </w:rPr>
        <w:t>6+</w:t>
      </w:r>
      <w:r w:rsidRPr="00D66D60">
        <w:rPr>
          <w:rFonts w:ascii="Arial" w:hAnsi="Arial"/>
          <w:color w:val="000000" w:themeColor="text1"/>
          <w:sz w:val="20"/>
        </w:rPr>
        <w:t xml:space="preserve"> obtained from MD simulations in the gas phase (from left to right, at 0 </w:t>
      </w:r>
      <w:r w:rsidRPr="00D66D60">
        <w:rPr>
          <w:rFonts w:ascii="Arial" w:hAnsi="Arial" w:cs="CMR10"/>
          <w:color w:val="000000" w:themeColor="text1"/>
          <w:sz w:val="20"/>
        </w:rPr>
        <w:sym w:font="Symbol" w:char="F06D"/>
      </w:r>
      <w:r w:rsidRPr="00D66D60">
        <w:rPr>
          <w:rFonts w:ascii="Arial" w:hAnsi="Arial" w:cs="CMR10"/>
          <w:color w:val="000000" w:themeColor="text1"/>
          <w:sz w:val="20"/>
        </w:rPr>
        <w:t xml:space="preserve">s, </w:t>
      </w:r>
      <w:r w:rsidRPr="00D66D60">
        <w:rPr>
          <w:rFonts w:ascii="Arial" w:hAnsi="Arial"/>
          <w:color w:val="000000" w:themeColor="text1"/>
          <w:sz w:val="20"/>
        </w:rPr>
        <w:t xml:space="preserve">5.31 </w:t>
      </w:r>
      <w:r w:rsidRPr="00D66D60">
        <w:rPr>
          <w:rFonts w:ascii="Arial" w:hAnsi="Arial" w:cs="CMR10"/>
          <w:color w:val="000000" w:themeColor="text1"/>
          <w:sz w:val="20"/>
        </w:rPr>
        <w:sym w:font="Symbol" w:char="F06D"/>
      </w:r>
      <w:r w:rsidRPr="00D66D60">
        <w:rPr>
          <w:rFonts w:ascii="Arial" w:hAnsi="Arial" w:cs="CMR10"/>
          <w:color w:val="000000" w:themeColor="text1"/>
          <w:sz w:val="20"/>
        </w:rPr>
        <w:t xml:space="preserve">s, 20.52 </w:t>
      </w:r>
      <w:r w:rsidRPr="00D66D60">
        <w:rPr>
          <w:rFonts w:ascii="Arial" w:hAnsi="Arial" w:cs="CMR10"/>
          <w:color w:val="000000" w:themeColor="text1"/>
          <w:sz w:val="20"/>
        </w:rPr>
        <w:sym w:font="Symbol" w:char="F06D"/>
      </w:r>
      <w:r w:rsidRPr="00D66D60">
        <w:rPr>
          <w:rFonts w:ascii="Arial" w:hAnsi="Arial" w:cs="CMR10"/>
          <w:color w:val="000000" w:themeColor="text1"/>
          <w:sz w:val="20"/>
        </w:rPr>
        <w:t xml:space="preserve">s and 34.2 </w:t>
      </w:r>
      <w:r w:rsidRPr="00D66D60">
        <w:rPr>
          <w:rFonts w:ascii="Arial" w:hAnsi="Arial" w:cs="CMR10"/>
          <w:color w:val="000000" w:themeColor="text1"/>
          <w:sz w:val="20"/>
        </w:rPr>
        <w:sym w:font="Symbol" w:char="F06D"/>
      </w:r>
      <w:r w:rsidRPr="00D66D60">
        <w:rPr>
          <w:rFonts w:ascii="Arial" w:hAnsi="Arial" w:cs="CMR10"/>
          <w:color w:val="000000" w:themeColor="text1"/>
          <w:sz w:val="20"/>
        </w:rPr>
        <w:t>s</w:t>
      </w:r>
      <w:r w:rsidRPr="00D66D60">
        <w:rPr>
          <w:rFonts w:ascii="Arial" w:hAnsi="Arial"/>
          <w:color w:val="000000" w:themeColor="text1"/>
          <w:sz w:val="20"/>
        </w:rPr>
        <w:t>). (B) Secondary structure analysis for [hIns</w:t>
      </w:r>
      <w:r w:rsidRPr="00D66D60">
        <w:rPr>
          <w:rFonts w:ascii="Arial" w:hAnsi="Arial"/>
          <w:color w:val="000000" w:themeColor="text1"/>
          <w:sz w:val="20"/>
          <w:vertAlign w:val="subscript"/>
        </w:rPr>
        <w:t>2</w:t>
      </w:r>
      <w:r w:rsidRPr="00D66D60">
        <w:rPr>
          <w:rFonts w:ascii="Arial" w:hAnsi="Arial"/>
          <w:color w:val="000000" w:themeColor="text1"/>
          <w:sz w:val="20"/>
        </w:rPr>
        <w:t>]</w:t>
      </w:r>
      <w:r w:rsidRPr="00D66D60">
        <w:rPr>
          <w:rFonts w:ascii="Arial" w:hAnsi="Arial"/>
          <w:color w:val="000000" w:themeColor="text1"/>
          <w:sz w:val="20"/>
          <w:vertAlign w:val="superscript"/>
        </w:rPr>
        <w:t>6+</w:t>
      </w:r>
      <w:r w:rsidRPr="00D66D60">
        <w:rPr>
          <w:rFonts w:ascii="Arial" w:hAnsi="Arial"/>
          <w:color w:val="000000" w:themeColor="text1"/>
          <w:sz w:val="20"/>
        </w:rPr>
        <w:t xml:space="preserve">. (C) The angle between the </w:t>
      </w:r>
      <w:r>
        <w:rPr>
          <w:rFonts w:ascii="Arial" w:hAnsi="Arial"/>
          <w:color w:val="000000" w:themeColor="text1"/>
          <w:sz w:val="20"/>
        </w:rPr>
        <w:t>COM</w:t>
      </w:r>
      <w:r w:rsidRPr="00D66D60">
        <w:rPr>
          <w:rFonts w:ascii="Arial" w:hAnsi="Arial"/>
          <w:color w:val="000000" w:themeColor="text1"/>
          <w:sz w:val="20"/>
        </w:rPr>
        <w:t xml:space="preserve"> of monomer I – </w:t>
      </w:r>
      <w:r w:rsidRPr="00D66D60">
        <w:rPr>
          <w:rFonts w:ascii="Arial" w:hAnsi="Arial"/>
          <w:color w:val="000000" w:themeColor="text1"/>
          <w:sz w:val="20"/>
        </w:rPr>
        <w:sym w:font="Symbol" w:char="F062"/>
      </w:r>
      <w:r w:rsidRPr="00D66D60">
        <w:rPr>
          <w:rFonts w:ascii="Arial" w:hAnsi="Arial"/>
          <w:color w:val="000000" w:themeColor="text1"/>
          <w:sz w:val="20"/>
        </w:rPr>
        <w:t xml:space="preserve">-sheet region – monomer II. (D) CCS values. (E) Number of contact pairs between the carbon atoms of the monomers within 0.60 nm. The figure captions are same with the ones used in Figure 3. </w:t>
      </w:r>
    </w:p>
    <w:p w:rsidR="00A76E4A" w:rsidRDefault="00536B48" w:rsidP="00536B48">
      <w:pPr>
        <w:jc w:val="both"/>
      </w:pPr>
    </w:p>
    <w:sectPr w:rsidR="00A76E4A" w:rsidSect="00A76E4A">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MTI10">
    <w:altName w:val="Cambria"/>
    <w:panose1 w:val="00000000000000000000"/>
    <w:charset w:val="4D"/>
    <w:family w:val="auto"/>
    <w:notTrueType/>
    <w:pitch w:val="default"/>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3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D5C0C"/>
    <w:rsid w:val="000D5C0C"/>
    <w:rsid w:val="001F393D"/>
    <w:rsid w:val="003B330B"/>
    <w:rsid w:val="004B7B08"/>
    <w:rsid w:val="0053393A"/>
    <w:rsid w:val="00536B48"/>
    <w:rsid w:val="006A44DA"/>
    <w:rsid w:val="00943121"/>
    <w:rsid w:val="00D94071"/>
  </w:rsids>
  <m:mathPr>
    <m:mathFont m:val="Myriad Pro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C0C"/>
    <w:rPr>
      <w:rFonts w:ascii="Cambria" w:eastAsia="ＭＳ 明朝" w:hAnsi="Cambria" w:cs="Times New Roman"/>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9A1C5B"/>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C5B"/>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Words>
  <Characters>428</Characters>
  <Application>Microsoft Macintosh Word</Application>
  <DocSecurity>0</DocSecurity>
  <Lines>3</Lines>
  <Paragraphs>1</Paragraphs>
  <ScaleCrop>false</ScaleCrop>
  <Company>GRS</Company>
  <LinksUpToDate>false</LinksUpToDate>
  <CharactersWithSpaces>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Jinyu Li</dc:creator>
  <cp:keywords/>
  <cp:lastModifiedBy>Jinyu Li</cp:lastModifiedBy>
  <cp:revision>5</cp:revision>
  <dcterms:created xsi:type="dcterms:W3CDTF">2014-01-18T10:44:00Z</dcterms:created>
  <dcterms:modified xsi:type="dcterms:W3CDTF">2014-08-12T06:33:00Z</dcterms:modified>
</cp:coreProperties>
</file>