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F2" w:rsidRPr="00AC77F2" w:rsidRDefault="00AC77F2" w:rsidP="00666FCE">
      <w:pPr>
        <w:spacing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Text S3: Probability of extinction</w:t>
      </w:r>
    </w:p>
    <w:p w:rsidR="00AC77F2" w:rsidRPr="005A373C" w:rsidRDefault="00AC77F2" w:rsidP="00666FCE">
      <w:pPr>
        <w:pStyle w:val="ListParagraph"/>
        <w:spacing w:line="480" w:lineRule="auto"/>
        <w:ind w:left="0" w:firstLine="708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>Our results show that long-term (10 or 15 days at time, initiated before inoculation) prophylaxis is very effective (</w:t>
      </w:r>
      <w:proofErr w:type="spellStart"/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>virological</w:t>
      </w:r>
      <w:proofErr w:type="spellEnd"/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and symptom efficacy &gt; 99.9%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 (</w: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see Figure S2). The </w:t>
      </w:r>
      <w:proofErr w:type="spellStart"/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>virological</w:t>
      </w:r>
      <w:proofErr w:type="spellEnd"/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efficacy is not quite perfect however, because of a small fraction of patients who shed resistant virus (proportion of subject shedding resistant virus and proportion of virus shed that is resistant &lt;2.5%, see Figure S3). Taken together we conclude that any symptomatic influenza cases in patients on long-term prophylaxis are likely resistant cases, either through direct transmission or </w:t>
      </w:r>
      <w:r w:rsidRPr="00666FCE">
        <w:rPr>
          <w:rFonts w:ascii="Arial" w:eastAsia="Times New Roman" w:hAnsi="Arial" w:cs="Arial"/>
          <w:i/>
          <w:sz w:val="24"/>
          <w:szCs w:val="24"/>
          <w:lang w:val="en-GB" w:eastAsia="fr-FR"/>
        </w:rPr>
        <w:t>de novo</w: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mutation. Increased dosing in these patients may more rapidly eliminate the circulating sensitive virus, but would be ineffective against the resistant infection.</w:t>
      </w:r>
    </w:p>
    <w:p w:rsidR="00AC77F2" w:rsidRPr="005A373C" w:rsidRDefault="00AC77F2" w:rsidP="00666FCE">
      <w:pPr>
        <w:pStyle w:val="ListParagraph"/>
        <w:spacing w:line="480" w:lineRule="auto"/>
        <w:ind w:left="0" w:firstLine="708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CA4FEF">
        <w:rPr>
          <w:rFonts w:ascii="Arial" w:eastAsia="Times New Roman" w:hAnsi="Arial" w:cs="Arial"/>
          <w:sz w:val="24"/>
          <w:szCs w:val="24"/>
          <w:lang w:val="en-GB" w:eastAsia="fr-FR"/>
        </w:rPr>
        <w:t xml:space="preserve">These observations are supported by mathematical predictions as discussed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b</w:t>
      </w:r>
      <w:r w:rsidRPr="00CA4FEF">
        <w:rPr>
          <w:rFonts w:ascii="Arial" w:eastAsia="Times New Roman" w:hAnsi="Arial" w:cs="Arial"/>
          <w:sz w:val="24"/>
          <w:szCs w:val="24"/>
          <w:lang w:val="en-GB" w:eastAsia="fr-FR"/>
        </w:rPr>
        <w:t>elow.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 w:rsidRPr="00CA4FEF">
        <w:rPr>
          <w:rFonts w:ascii="Arial" w:eastAsia="Times New Roman" w:hAnsi="Arial" w:cs="Arial"/>
          <w:sz w:val="24"/>
          <w:szCs w:val="24"/>
          <w:lang w:val="en-GB" w:eastAsia="fr-FR"/>
        </w:rPr>
        <w:t xml:space="preserve">Near the time of exposure it is reasonable to assume (1) that the innate </w: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immune responses are negligible and (2) the number of susceptible cells is approximately constant.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Under these conditions, t</w: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he probability that the infection goes extinct is </w:t>
      </w:r>
      <w:r w:rsidR="00531C4E">
        <w:rPr>
          <w:rFonts w:ascii="Arial" w:eastAsia="Times New Roman" w:hAnsi="Arial" w:cs="Arial"/>
          <w:sz w:val="24"/>
          <w:szCs w:val="24"/>
          <w:lang w:val="en-GB" w:eastAsia="fr-FR"/>
        </w:rPr>
        <w:fldChar w:fldCharType="begin"/>
      </w:r>
      <w:r w:rsidR="00E72FE9">
        <w:rPr>
          <w:rFonts w:ascii="Arial" w:eastAsia="Times New Roman" w:hAnsi="Arial" w:cs="Arial"/>
          <w:sz w:val="24"/>
          <w:szCs w:val="24"/>
          <w:lang w:val="en-GB" w:eastAsia="fr-FR"/>
        </w:rPr>
        <w:instrText xml:space="preserve"> ADDIN EN.CITE &lt;EndNote&gt;&lt;Cite&gt;&lt;Author&gt;Conway&lt;/Author&gt;&lt;Year&gt;2013&lt;/Year&gt;&lt;RecNum&gt;9232&lt;/RecNum&gt;&lt;DisplayText&gt;[1,2]&lt;/DisplayText&gt;&lt;record&gt;&lt;rec-number&gt;9232&lt;/rec-number&gt;&lt;foreign-keys&gt;&lt;key app="EN" db-id="dsdpp5vztxx255e0ff3prtpu9rrpr0dezzdf"&gt;9232&lt;/key&gt;&lt;/foreign-keys&gt;&lt;ref-type name="Journal Article"&gt;17&lt;/ref-type&gt;&lt;contributors&gt;&lt;authors&gt;&lt;author&gt;Conway, Jessica M&lt;/author&gt;&lt;author&gt;Konrad, Bernhard P&lt;/author&gt;&lt;author&gt;Coombs, Daniel&lt;/author&gt;&lt;/authors&gt;&lt;/contributors&gt;&lt;titles&gt;&lt;title&gt;Stochastic Analysis of Pre-and Postexposure Prophylaxis against HIV Infection&lt;/title&gt;&lt;secondary-title&gt;SIAM Journal on Applied Mathematics&lt;/secondary-title&gt;&lt;/titles&gt;&lt;periodical&gt;&lt;full-title&gt;SIAM Journal on Applied Mathematics&lt;/full-title&gt;&lt;/periodical&gt;&lt;pages&gt;904-928&lt;/pages&gt;&lt;volume&gt;73&lt;/volume&gt;&lt;number&gt;2&lt;/number&gt;&lt;dates&gt;&lt;year&gt;2013&lt;/year&gt;&lt;/dates&gt;&lt;isbn&gt;0036-1399&lt;/isbn&gt;&lt;urls&gt;&lt;/urls&gt;&lt;/record&gt;&lt;/Cite&gt;&lt;Cite&gt;&lt;Author&gt;Pearson&lt;/Author&gt;&lt;Year&gt;2011&lt;/Year&gt;&lt;RecNum&gt;9233&lt;/RecNum&gt;&lt;record&gt;&lt;rec-number&gt;9233&lt;/rec-number&gt;&lt;foreign-keys&gt;&lt;key app="EN" db-id="dsdpp5vztxx255e0ff3prtpu9rrpr0dezzdf"&gt;9233&lt;/key&gt;&lt;/foreign-keys&gt;&lt;ref-type name="Journal Article"&gt;17&lt;/ref-type&gt;&lt;contributors&gt;&lt;authors&gt;&lt;author&gt;Pearson, John E&lt;/author&gt;&lt;author&gt;Krapivsky, Paul&lt;/author&gt;&lt;author&gt;Perelson, Alan S&lt;/author&gt;&lt;/authors&gt;&lt;/contributors&gt;&lt;titles&gt;&lt;title&gt;Stochastic theory of early viral infection: Continuous versus burst production of virions&lt;/title&gt;&lt;secondary-title&gt;PLoS computational biology&lt;/secondary-title&gt;&lt;/titles&gt;&lt;periodical&gt;&lt;full-title&gt;PLoS computational biology&lt;/full-title&gt;&lt;/periodical&gt;&lt;pages&gt;e1001058&lt;/pages&gt;&lt;volume&gt;7&lt;/volume&gt;&lt;number&gt;2&lt;/number&gt;&lt;dates&gt;&lt;year&gt;2011&lt;/year&gt;&lt;/dates&gt;&lt;isbn&gt;1553-7358&lt;/isbn&gt;&lt;urls&gt;&lt;/urls&gt;&lt;/record&gt;&lt;/Cite&gt;&lt;/EndNote&gt;</w:instrText>
      </w:r>
      <w:r w:rsidR="00531C4E">
        <w:rPr>
          <w:rFonts w:ascii="Arial" w:eastAsia="Times New Roman" w:hAnsi="Arial" w:cs="Arial"/>
          <w:sz w:val="24"/>
          <w:szCs w:val="24"/>
          <w:lang w:val="en-GB" w:eastAsia="fr-FR"/>
        </w:rPr>
        <w:fldChar w:fldCharType="separate"/>
      </w:r>
      <w:r w:rsidR="00E72FE9">
        <w:rPr>
          <w:rFonts w:ascii="Arial" w:eastAsia="Times New Roman" w:hAnsi="Arial" w:cs="Arial"/>
          <w:noProof/>
          <w:sz w:val="24"/>
          <w:szCs w:val="24"/>
          <w:lang w:val="en-GB" w:eastAsia="fr-FR"/>
        </w:rPr>
        <w:t>[</w:t>
      </w:r>
      <w:hyperlink w:anchor="_ENREF_1" w:tooltip="Conway, 2013 #9232" w:history="1">
        <w:r w:rsidR="00E72FE9">
          <w:rPr>
            <w:rFonts w:ascii="Arial" w:eastAsia="Times New Roman" w:hAnsi="Arial" w:cs="Arial"/>
            <w:noProof/>
            <w:sz w:val="24"/>
            <w:szCs w:val="24"/>
            <w:lang w:val="en-GB" w:eastAsia="fr-FR"/>
          </w:rPr>
          <w:t>1</w:t>
        </w:r>
      </w:hyperlink>
      <w:r w:rsidR="00E72FE9">
        <w:rPr>
          <w:rFonts w:ascii="Arial" w:eastAsia="Times New Roman" w:hAnsi="Arial" w:cs="Arial"/>
          <w:noProof/>
          <w:sz w:val="24"/>
          <w:szCs w:val="24"/>
          <w:lang w:val="en-GB" w:eastAsia="fr-FR"/>
        </w:rPr>
        <w:t>,</w:t>
      </w:r>
      <w:hyperlink w:anchor="_ENREF_2" w:tooltip="Pearson, 2011 #9233" w:history="1">
        <w:r w:rsidR="00E72FE9">
          <w:rPr>
            <w:rFonts w:ascii="Arial" w:eastAsia="Times New Roman" w:hAnsi="Arial" w:cs="Arial"/>
            <w:noProof/>
            <w:sz w:val="24"/>
            <w:szCs w:val="24"/>
            <w:lang w:val="en-GB" w:eastAsia="fr-FR"/>
          </w:rPr>
          <w:t>2</w:t>
        </w:r>
      </w:hyperlink>
      <w:r w:rsidR="00E72FE9">
        <w:rPr>
          <w:rFonts w:ascii="Arial" w:eastAsia="Times New Roman" w:hAnsi="Arial" w:cs="Arial"/>
          <w:noProof/>
          <w:sz w:val="24"/>
          <w:szCs w:val="24"/>
          <w:lang w:val="en-GB" w:eastAsia="fr-FR"/>
        </w:rPr>
        <w:t>]</w:t>
      </w:r>
      <w:r w:rsidR="00531C4E">
        <w:rPr>
          <w:rFonts w:ascii="Arial" w:eastAsia="Times New Roman" w:hAnsi="Arial" w:cs="Arial"/>
          <w:sz w:val="24"/>
          <w:szCs w:val="24"/>
          <w:lang w:val="en-GB" w:eastAsia="fr-FR"/>
        </w:rPr>
        <w:fldChar w:fldCharType="end"/>
      </w:r>
    </w:p>
    <w:p w:rsidR="00AC77F2" w:rsidRPr="005A373C" w:rsidRDefault="00AC77F2" w:rsidP="00666FCE">
      <w:pPr>
        <w:spacing w:line="480" w:lineRule="auto"/>
        <w:jc w:val="center"/>
        <w:rPr>
          <w:rFonts w:ascii="Arial" w:hAnsi="Arial" w:cs="Arial"/>
          <w:lang w:val="en-GB"/>
        </w:rPr>
      </w:pPr>
      <w:r w:rsidRPr="005A373C">
        <w:rPr>
          <w:rFonts w:ascii="Arial" w:hAnsi="Arial" w:cs="Arial"/>
          <w:lang w:val="en-GB"/>
        </w:rPr>
        <w:object w:dxaOrig="35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9pt" o:ole="">
            <v:imagedata r:id="rId5" o:title=""/>
          </v:shape>
          <o:OLEObject Type="Embed" ProgID="Equation.3" ShapeID="_x0000_i1025" DrawAspect="Content" ObjectID="_1455959310" r:id="rId6"/>
        </w:object>
      </w:r>
    </w:p>
    <w:p w:rsidR="00AC77F2" w:rsidRPr="005A373C" w:rsidRDefault="00AC77F2" w:rsidP="00666FCE">
      <w:pPr>
        <w:pStyle w:val="ListParagraph"/>
        <w:spacing w:line="480" w:lineRule="auto"/>
        <w:ind w:left="0"/>
        <w:rPr>
          <w:rFonts w:ascii="Arial" w:eastAsia="Times New Roman" w:hAnsi="Arial" w:cs="Arial"/>
          <w:sz w:val="24"/>
          <w:szCs w:val="24"/>
          <w:lang w:val="en-GB" w:eastAsia="fr-FR"/>
        </w:rPr>
      </w:pPr>
      <w:proofErr w:type="gramStart"/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>where</w:t>
      </w:r>
      <w:proofErr w:type="gramEnd"/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 w:rsidR="00666FCE" w:rsidRPr="00666FCE">
        <w:rPr>
          <w:rFonts w:ascii="Arial" w:eastAsia="Times New Roman" w:hAnsi="Arial" w:cs="Arial"/>
          <w:position w:val="-12"/>
          <w:sz w:val="24"/>
          <w:szCs w:val="24"/>
          <w:lang w:val="en-GB" w:eastAsia="fr-FR"/>
        </w:rPr>
        <w:object w:dxaOrig="279" w:dyaOrig="360">
          <v:shape id="_x0000_i1028" type="#_x0000_t75" style="width:14.25pt;height:18pt" o:ole="">
            <v:imagedata r:id="rId7" o:title=""/>
          </v:shape>
          <o:OLEObject Type="Embed" ProgID="Equation.3" ShapeID="_x0000_i1028" DrawAspect="Content" ObjectID="_1455959311" r:id="rId8"/>
        </w:objec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is the size of the drug-sensitive </w:t>
      </w:r>
      <w:proofErr w:type="spellStart"/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>inoculum</w:t>
      </w:r>
      <w:proofErr w:type="spellEnd"/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>, with TCID the conversion factor from TCID</w:t>
      </w:r>
      <w:r w:rsidRPr="00666FCE">
        <w:rPr>
          <w:rFonts w:ascii="Arial" w:eastAsia="Times New Roman" w:hAnsi="Arial" w:cs="Arial"/>
          <w:sz w:val="24"/>
          <w:szCs w:val="24"/>
          <w:vertAlign w:val="subscript"/>
          <w:lang w:val="en-GB" w:eastAsia="fr-FR"/>
        </w:rPr>
        <w:t>50</w: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/mL to number of virions and </w:t>
      </w:r>
      <w:r w:rsidR="00666FCE" w:rsidRPr="00666FCE">
        <w:rPr>
          <w:rFonts w:ascii="Arial" w:eastAsia="Times New Roman" w:hAnsi="Arial" w:cs="Arial"/>
          <w:position w:val="-12"/>
          <w:sz w:val="24"/>
          <w:szCs w:val="24"/>
          <w:lang w:val="en-GB" w:eastAsia="fr-FR"/>
        </w:rPr>
        <w:object w:dxaOrig="320" w:dyaOrig="360">
          <v:shape id="_x0000_i1031" type="#_x0000_t75" style="width:15.75pt;height:18pt" o:ole="">
            <v:imagedata r:id="rId9" o:title=""/>
          </v:shape>
          <o:OLEObject Type="Embed" ProgID="Equation.3" ShapeID="_x0000_i1031" DrawAspect="Content" ObjectID="_1455959312" r:id="rId10"/>
        </w:objec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the average drug efficacy. Given our population parameters, th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e </w: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>probability of stochastic die-out</w:t>
      </w:r>
      <w:proofErr w:type="gramStart"/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, </w:t>
      </w:r>
      <w:proofErr w:type="gramEnd"/>
      <w:r w:rsidR="00666FCE" w:rsidRPr="00666FCE">
        <w:rPr>
          <w:rFonts w:ascii="Arial" w:eastAsia="Times New Roman" w:hAnsi="Arial" w:cs="Arial"/>
          <w:position w:val="-12"/>
          <w:sz w:val="24"/>
          <w:szCs w:val="24"/>
          <w:lang w:val="en-GB" w:eastAsia="fr-FR"/>
        </w:rPr>
        <w:object w:dxaOrig="380" w:dyaOrig="360">
          <v:shape id="_x0000_i1044" type="#_x0000_t75" style="width:18.75pt;height:18pt" o:ole="">
            <v:imagedata r:id="rId11" o:title=""/>
          </v:shape>
          <o:OLEObject Type="Embed" ProgID="Equation.3" ShapeID="_x0000_i1044" DrawAspect="Content" ObjectID="_1455959313" r:id="rId12"/>
        </w:objec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, i</w: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s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1.0 (IQR: 1.0-1.0) </w: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for </w:t>
      </w:r>
      <w:r w:rsidR="00666FCE" w:rsidRPr="00666FCE">
        <w:rPr>
          <w:rFonts w:ascii="Arial" w:eastAsia="Times New Roman" w:hAnsi="Arial" w:cs="Arial"/>
          <w:position w:val="-12"/>
          <w:sz w:val="24"/>
          <w:szCs w:val="24"/>
          <w:lang w:val="en-GB" w:eastAsia="fr-FR"/>
        </w:rPr>
        <w:object w:dxaOrig="279" w:dyaOrig="360">
          <v:shape id="_x0000_i1035" type="#_x0000_t75" style="width:14.25pt;height:18pt" o:ole="">
            <v:imagedata r:id="rId7" o:title=""/>
          </v:shape>
          <o:OLEObject Type="Embed" ProgID="Equation.3" ShapeID="_x0000_i1035" DrawAspect="Content" ObjectID="_1455959314" r:id="rId13"/>
        </w:objec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>=(0.5*TCID</w:t>
      </w:r>
      <w:r w:rsidRPr="00666FCE">
        <w:rPr>
          <w:rFonts w:ascii="Arial" w:eastAsia="Times New Roman" w:hAnsi="Arial" w:cs="Arial"/>
          <w:sz w:val="24"/>
          <w:szCs w:val="24"/>
          <w:vertAlign w:val="subscript"/>
          <w:lang w:val="en-GB" w:eastAsia="fr-FR"/>
        </w:rPr>
        <w:t>50</w: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>/mL,1*TCID</w:t>
      </w:r>
      <w:r w:rsidRPr="00666FCE">
        <w:rPr>
          <w:rFonts w:ascii="Arial" w:eastAsia="Times New Roman" w:hAnsi="Arial" w:cs="Arial"/>
          <w:sz w:val="24"/>
          <w:szCs w:val="24"/>
          <w:vertAlign w:val="subscript"/>
          <w:lang w:val="en-GB" w:eastAsia="fr-FR"/>
        </w:rPr>
        <w:t>50</w: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>/mL,10*TCID</w:t>
      </w:r>
      <w:r w:rsidRPr="00666FCE">
        <w:rPr>
          <w:rFonts w:ascii="Arial" w:eastAsia="Times New Roman" w:hAnsi="Arial" w:cs="Arial"/>
          <w:sz w:val="24"/>
          <w:szCs w:val="24"/>
          <w:vertAlign w:val="subscript"/>
          <w:lang w:val="en-GB" w:eastAsia="fr-FR"/>
        </w:rPr>
        <w:t>50</w: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/mL). Our model predicts that it is very unlikely that an individual on long-term prophylaxis will become infected by a drug-sensitive strain. However if the </w:t>
      </w:r>
      <w:proofErr w:type="spellStart"/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>inoculum</w:t>
      </w:r>
      <w:proofErr w:type="spellEnd"/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is drug resistant, the probabilities of stochastic die out are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0.48 (IQR: 0.31 – 0.68), 0.11 (IQR: 0.03-0.32) and 0.00061 (IQR: 8.1 10</w:t>
      </w:r>
      <w:r w:rsidRPr="00CA6149">
        <w:rPr>
          <w:rFonts w:ascii="Arial" w:eastAsia="Times New Roman" w:hAnsi="Arial" w:cs="Arial"/>
          <w:sz w:val="24"/>
          <w:szCs w:val="24"/>
          <w:vertAlign w:val="superscript"/>
          <w:lang w:val="en-GB" w:eastAsia="fr-FR"/>
        </w:rPr>
        <w:t>-6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-0.022)</w: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for </w: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 xml:space="preserve">drug-resistant </w:t>
      </w:r>
      <w:r w:rsidR="00666FCE" w:rsidRPr="00666FCE">
        <w:rPr>
          <w:rFonts w:ascii="Arial" w:eastAsia="Times New Roman" w:hAnsi="Arial" w:cs="Arial"/>
          <w:position w:val="-12"/>
          <w:sz w:val="24"/>
          <w:szCs w:val="24"/>
          <w:lang w:val="en-GB" w:eastAsia="fr-FR"/>
        </w:rPr>
        <w:object w:dxaOrig="279" w:dyaOrig="360">
          <v:shape id="_x0000_i1036" type="#_x0000_t75" style="width:14.25pt;height:18pt" o:ole="">
            <v:imagedata r:id="rId7" o:title=""/>
          </v:shape>
          <o:OLEObject Type="Embed" ProgID="Equation.3" ShapeID="_x0000_i1036" DrawAspect="Content" ObjectID="_1455959315" r:id="rId14"/>
        </w:object>
      </w:r>
      <w:proofErr w:type="gramStart"/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>=(</w:t>
      </w:r>
      <w:proofErr w:type="gramEnd"/>
      <w:r>
        <w:rPr>
          <w:rFonts w:ascii="Arial" w:eastAsia="Times New Roman" w:hAnsi="Arial" w:cs="Arial"/>
          <w:sz w:val="24"/>
          <w:szCs w:val="24"/>
          <w:lang w:val="en-GB" w:eastAsia="fr-FR"/>
        </w:rPr>
        <w:t>1, 3 and 10 virions</w:t>
      </w:r>
      <w:r w:rsidRPr="005A373C">
        <w:rPr>
          <w:rFonts w:ascii="Arial" w:eastAsia="Times New Roman" w:hAnsi="Arial" w:cs="Arial"/>
          <w:sz w:val="24"/>
          <w:szCs w:val="24"/>
          <w:lang w:val="en-GB" w:eastAsia="fr-FR"/>
        </w:rPr>
        <w:t>). Taken together our model predicts that, should an individual on long-term prophylaxis develop a symptomatic infection, that infection arose with high probability from transmission of a drug-resistant strain.</w:t>
      </w:r>
    </w:p>
    <w:p w:rsidR="00E72FE9" w:rsidRPr="00E72FE9" w:rsidRDefault="00E72FE9" w:rsidP="00666FCE">
      <w:pPr>
        <w:spacing w:line="480" w:lineRule="auto"/>
        <w:rPr>
          <w:rFonts w:ascii="Arial" w:hAnsi="Arial" w:cs="Arial"/>
          <w:lang w:val="en-GB"/>
        </w:rPr>
      </w:pPr>
    </w:p>
    <w:p w:rsidR="00E72FE9" w:rsidRPr="00E72FE9" w:rsidRDefault="00E72FE9" w:rsidP="00666FCE">
      <w:pPr>
        <w:spacing w:line="480" w:lineRule="auto"/>
        <w:rPr>
          <w:rFonts w:ascii="Arial" w:hAnsi="Arial" w:cs="Arial"/>
          <w:lang w:val="en-GB"/>
        </w:rPr>
      </w:pPr>
    </w:p>
    <w:p w:rsidR="00E72FE9" w:rsidRPr="00E72FE9" w:rsidRDefault="00E72FE9" w:rsidP="00666FCE">
      <w:pPr>
        <w:spacing w:line="480" w:lineRule="auto"/>
        <w:rPr>
          <w:rFonts w:ascii="Arial" w:hAnsi="Arial" w:cs="Arial"/>
          <w:b/>
          <w:lang w:val="en-GB"/>
        </w:rPr>
      </w:pPr>
      <w:r w:rsidRPr="00E72FE9">
        <w:rPr>
          <w:rFonts w:ascii="Arial" w:hAnsi="Arial" w:cs="Arial"/>
          <w:b/>
          <w:lang w:val="en-GB"/>
        </w:rPr>
        <w:t>References</w:t>
      </w:r>
    </w:p>
    <w:p w:rsidR="00E72FE9" w:rsidRPr="00E72FE9" w:rsidRDefault="00531C4E" w:rsidP="00666FCE">
      <w:pPr>
        <w:spacing w:line="480" w:lineRule="auto"/>
        <w:ind w:left="720" w:hanging="720"/>
        <w:rPr>
          <w:rFonts w:ascii="Arial" w:hAnsi="Arial" w:cs="Arial"/>
          <w:noProof/>
          <w:lang w:val="en-GB"/>
        </w:rPr>
      </w:pPr>
      <w:r w:rsidRPr="00E72FE9">
        <w:rPr>
          <w:rFonts w:ascii="Arial" w:hAnsi="Arial" w:cs="Arial"/>
          <w:lang w:val="en-GB"/>
        </w:rPr>
        <w:fldChar w:fldCharType="begin"/>
      </w:r>
      <w:r w:rsidR="00E72FE9" w:rsidRPr="00E72FE9">
        <w:rPr>
          <w:rFonts w:ascii="Arial" w:hAnsi="Arial" w:cs="Arial"/>
          <w:lang w:val="en-GB"/>
        </w:rPr>
        <w:instrText xml:space="preserve"> ADDIN EN.REFLIST </w:instrText>
      </w:r>
      <w:r w:rsidRPr="00E72FE9">
        <w:rPr>
          <w:rFonts w:ascii="Arial" w:hAnsi="Arial" w:cs="Arial"/>
          <w:lang w:val="en-GB"/>
        </w:rPr>
        <w:fldChar w:fldCharType="separate"/>
      </w:r>
      <w:bookmarkStart w:id="0" w:name="_ENREF_1"/>
      <w:r w:rsidR="00E72FE9" w:rsidRPr="00E72FE9">
        <w:rPr>
          <w:rFonts w:ascii="Arial" w:hAnsi="Arial" w:cs="Arial"/>
          <w:noProof/>
          <w:lang w:val="en-GB"/>
        </w:rPr>
        <w:t>1. Conway JM, Konrad BP, Coombs D (2013) Stochastic Analysis of Pre-and Postexposure Prophylaxis against HIV Infection. SIAM Journal on Applied Mathematics 73: 904-928.</w:t>
      </w:r>
      <w:bookmarkEnd w:id="0"/>
    </w:p>
    <w:p w:rsidR="00E72FE9" w:rsidRPr="00E72FE9" w:rsidRDefault="00E72FE9" w:rsidP="00666FCE">
      <w:pPr>
        <w:spacing w:line="480" w:lineRule="auto"/>
        <w:ind w:left="720" w:hanging="720"/>
        <w:rPr>
          <w:rFonts w:ascii="Arial" w:hAnsi="Arial" w:cs="Arial"/>
          <w:noProof/>
          <w:lang w:val="en-GB"/>
        </w:rPr>
      </w:pPr>
      <w:bookmarkStart w:id="1" w:name="_ENREF_2"/>
      <w:r w:rsidRPr="00E72FE9">
        <w:rPr>
          <w:rFonts w:ascii="Arial" w:hAnsi="Arial" w:cs="Arial"/>
          <w:noProof/>
          <w:lang w:val="en-GB"/>
        </w:rPr>
        <w:t>2. Pearson JE, Krapivsky P, Perelson AS (2011) Stochastic theory of early viral infection: Continuous versus burst production of virions. PLoS computational biology 7: e1001058.</w:t>
      </w:r>
      <w:bookmarkEnd w:id="1"/>
    </w:p>
    <w:p w:rsidR="00E72FE9" w:rsidRPr="00E72FE9" w:rsidRDefault="00E72FE9" w:rsidP="00666FCE">
      <w:pPr>
        <w:spacing w:line="480" w:lineRule="auto"/>
        <w:rPr>
          <w:rFonts w:ascii="Arial" w:hAnsi="Arial" w:cs="Arial"/>
          <w:noProof/>
          <w:lang w:val="en-GB"/>
        </w:rPr>
      </w:pPr>
    </w:p>
    <w:p w:rsidR="008C3713" w:rsidRPr="00AC77F2" w:rsidRDefault="00531C4E" w:rsidP="00666FCE">
      <w:pPr>
        <w:spacing w:line="480" w:lineRule="auto"/>
        <w:rPr>
          <w:lang w:val="en-GB"/>
        </w:rPr>
      </w:pPr>
      <w:r w:rsidRPr="00E72FE9">
        <w:rPr>
          <w:rFonts w:ascii="Arial" w:hAnsi="Arial" w:cs="Arial"/>
          <w:lang w:val="en-GB"/>
        </w:rPr>
        <w:fldChar w:fldCharType="end"/>
      </w:r>
    </w:p>
    <w:sectPr w:rsidR="008C3713" w:rsidRPr="00AC77F2" w:rsidSect="008C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AC77F2"/>
    <w:rsid w:val="00531C4E"/>
    <w:rsid w:val="00666FCE"/>
    <w:rsid w:val="008C3713"/>
    <w:rsid w:val="00AC77F2"/>
    <w:rsid w:val="00E7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72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D1E29-625F-4A2C-88D8-60A537AA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Company>LANL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 User</dc:creator>
  <cp:lastModifiedBy>DDS User</cp:lastModifiedBy>
  <cp:revision>2</cp:revision>
  <dcterms:created xsi:type="dcterms:W3CDTF">2014-03-10T18:16:00Z</dcterms:created>
  <dcterms:modified xsi:type="dcterms:W3CDTF">2014-03-10T18:16:00Z</dcterms:modified>
</cp:coreProperties>
</file>