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10" w:rsidRDefault="00C80E10" w:rsidP="00C80E10">
      <w:pPr>
        <w:rPr>
          <w:rFonts w:ascii="Arial" w:hAnsi="Arial" w:cs="Arial"/>
          <w:sz w:val="22"/>
          <w:szCs w:val="22"/>
          <w:lang w:val="en-GB"/>
        </w:rPr>
      </w:pPr>
      <w:r w:rsidRPr="001D3502">
        <w:rPr>
          <w:rFonts w:ascii="Arial" w:hAnsi="Arial" w:cs="Arial"/>
          <w:sz w:val="22"/>
          <w:szCs w:val="22"/>
          <w:lang w:val="en-GB"/>
        </w:rPr>
        <w:t xml:space="preserve">Supplementary Table </w:t>
      </w:r>
      <w:r>
        <w:rPr>
          <w:rFonts w:ascii="Arial" w:hAnsi="Arial" w:cs="Arial"/>
          <w:sz w:val="22"/>
          <w:szCs w:val="22"/>
          <w:lang w:val="en-GB"/>
        </w:rPr>
        <w:t>S8</w:t>
      </w:r>
      <w:r w:rsidRPr="001D3502">
        <w:rPr>
          <w:rFonts w:ascii="Arial" w:hAnsi="Arial" w:cs="Arial"/>
          <w:sz w:val="22"/>
          <w:szCs w:val="22"/>
          <w:lang w:val="en-GB"/>
        </w:rPr>
        <w:t>:</w:t>
      </w:r>
    </w:p>
    <w:p w:rsidR="00C80E10" w:rsidRPr="001D3502" w:rsidRDefault="00C80E10" w:rsidP="00C80E10">
      <w:pPr>
        <w:rPr>
          <w:rFonts w:ascii="Arial" w:hAnsi="Arial" w:cs="Arial"/>
          <w:sz w:val="22"/>
          <w:szCs w:val="22"/>
          <w:lang w:val="en-GB"/>
        </w:rPr>
      </w:pPr>
      <w:bookmarkStart w:id="0" w:name="_GoBack"/>
      <w:bookmarkEnd w:id="0"/>
    </w:p>
    <w:p w:rsidR="00C80E10" w:rsidRPr="001D3502" w:rsidRDefault="00C80E10" w:rsidP="00C80E10">
      <w:pPr>
        <w:rPr>
          <w:rFonts w:ascii="Arial" w:hAnsi="Arial" w:cs="Arial"/>
          <w:sz w:val="22"/>
          <w:szCs w:val="22"/>
          <w:lang w:val="en-GB"/>
        </w:rPr>
      </w:pPr>
    </w:p>
    <w:tbl>
      <w:tblPr>
        <w:tblW w:w="0" w:type="auto"/>
        <w:tblBorders>
          <w:bottom w:val="single" w:sz="4" w:space="0" w:color="auto"/>
        </w:tblBorders>
        <w:tblLook w:val="04A0" w:firstRow="1" w:lastRow="0" w:firstColumn="1" w:lastColumn="0" w:noHBand="0" w:noVBand="1"/>
      </w:tblPr>
      <w:tblGrid>
        <w:gridCol w:w="1668"/>
        <w:gridCol w:w="1559"/>
        <w:gridCol w:w="2268"/>
        <w:gridCol w:w="3717"/>
      </w:tblGrid>
      <w:tr w:rsidR="00C80E10" w:rsidRPr="001D3502" w:rsidTr="00AA3783">
        <w:tc>
          <w:tcPr>
            <w:tcW w:w="9212" w:type="dxa"/>
            <w:gridSpan w:val="4"/>
            <w:tcBorders>
              <w:bottom w:val="single" w:sz="4" w:space="0" w:color="auto"/>
            </w:tcBorders>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b/>
                <w:sz w:val="20"/>
                <w:szCs w:val="20"/>
                <w:lang w:val="en-GB"/>
              </w:rPr>
              <w:t xml:space="preserve">Parameters of the kinetic model of the PYK from </w:t>
            </w:r>
            <w:proofErr w:type="spellStart"/>
            <w:r w:rsidRPr="00D71DAC">
              <w:rPr>
                <w:rFonts w:ascii="Arial" w:hAnsi="Arial" w:cs="Arial"/>
                <w:b/>
                <w:i/>
                <w:sz w:val="20"/>
                <w:szCs w:val="20"/>
                <w:lang w:val="en-GB"/>
              </w:rPr>
              <w:t>Lactococcus</w:t>
            </w:r>
            <w:proofErr w:type="spellEnd"/>
            <w:r w:rsidRPr="00D71DAC">
              <w:rPr>
                <w:rFonts w:ascii="Arial" w:hAnsi="Arial" w:cs="Arial"/>
                <w:b/>
                <w:i/>
                <w:sz w:val="20"/>
                <w:szCs w:val="20"/>
                <w:lang w:val="en-GB"/>
              </w:rPr>
              <w:t xml:space="preserve"> </w:t>
            </w:r>
            <w:proofErr w:type="spellStart"/>
            <w:r w:rsidRPr="00D71DAC">
              <w:rPr>
                <w:rFonts w:ascii="Arial" w:hAnsi="Arial" w:cs="Arial"/>
                <w:b/>
                <w:i/>
                <w:sz w:val="20"/>
                <w:szCs w:val="20"/>
                <w:lang w:val="en-GB"/>
              </w:rPr>
              <w:t>lactis</w:t>
            </w:r>
            <w:proofErr w:type="spellEnd"/>
          </w:p>
        </w:tc>
      </w:tr>
      <w:tr w:rsidR="00C80E10" w:rsidRPr="001D3502" w:rsidTr="00AA3783">
        <w:tc>
          <w:tcPr>
            <w:tcW w:w="1668" w:type="dxa"/>
            <w:tcBorders>
              <w:top w:val="single" w:sz="4" w:space="0" w:color="auto"/>
              <w:bottom w:val="single" w:sz="4" w:space="0" w:color="auto"/>
            </w:tcBorders>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Parameter</w:t>
            </w:r>
          </w:p>
        </w:tc>
        <w:tc>
          <w:tcPr>
            <w:tcW w:w="1559" w:type="dxa"/>
            <w:tcBorders>
              <w:top w:val="single" w:sz="4" w:space="0" w:color="auto"/>
              <w:bottom w:val="single" w:sz="4" w:space="0" w:color="auto"/>
            </w:tcBorders>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Model parameter value</w:t>
            </w:r>
          </w:p>
        </w:tc>
        <w:tc>
          <w:tcPr>
            <w:tcW w:w="2268" w:type="dxa"/>
            <w:tcBorders>
              <w:top w:val="single" w:sz="4" w:space="0" w:color="auto"/>
              <w:bottom w:val="single" w:sz="4" w:space="0" w:color="auto"/>
            </w:tcBorders>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Experimentally determined value</w:t>
            </w:r>
          </w:p>
        </w:tc>
        <w:tc>
          <w:tcPr>
            <w:tcW w:w="3717" w:type="dxa"/>
            <w:tcBorders>
              <w:top w:val="single" w:sz="4" w:space="0" w:color="auto"/>
              <w:bottom w:val="single" w:sz="4" w:space="0" w:color="auto"/>
            </w:tcBorders>
            <w:shd w:val="clear" w:color="auto" w:fill="auto"/>
          </w:tcPr>
          <w:p w:rsidR="00C80E10" w:rsidRPr="00D71DAC" w:rsidRDefault="00C80E10" w:rsidP="00AA3783">
            <w:pPr>
              <w:rPr>
                <w:rFonts w:ascii="Arial" w:hAnsi="Arial" w:cs="Arial"/>
                <w:sz w:val="20"/>
                <w:szCs w:val="20"/>
                <w:lang w:val="en-GB"/>
              </w:rPr>
            </w:pPr>
            <w:r w:rsidRPr="00D71DAC">
              <w:rPr>
                <w:rFonts w:ascii="Arial" w:hAnsi="Arial" w:cs="Arial"/>
                <w:sz w:val="20"/>
                <w:szCs w:val="20"/>
                <w:lang w:val="en-GB"/>
              </w:rPr>
              <w:t>Reference</w:t>
            </w:r>
          </w:p>
        </w:tc>
      </w:tr>
      <w:tr w:rsidR="00C80E10" w:rsidRPr="001D3502" w:rsidTr="00AA3783">
        <w:tc>
          <w:tcPr>
            <w:tcW w:w="1668" w:type="dxa"/>
            <w:tcBorders>
              <w:top w:val="single" w:sz="4" w:space="0" w:color="auto"/>
            </w:tcBorders>
            <w:shd w:val="clear" w:color="auto" w:fill="auto"/>
          </w:tcPr>
          <w:p w:rsidR="00C80E10" w:rsidRPr="00D71DAC" w:rsidRDefault="00C80E10" w:rsidP="00AA3783">
            <w:pPr>
              <w:rPr>
                <w:rFonts w:ascii="Arial" w:hAnsi="Arial" w:cs="Arial"/>
                <w:sz w:val="20"/>
                <w:szCs w:val="20"/>
                <w:lang w:val="en-GB"/>
              </w:rPr>
            </w:pPr>
            <w:r w:rsidRPr="00D71DAC">
              <w:rPr>
                <w:rFonts w:ascii="Arial" w:hAnsi="Arial" w:cs="Arial"/>
                <w:i/>
                <w:sz w:val="20"/>
                <w:szCs w:val="20"/>
                <w:lang w:val="en-GB"/>
              </w:rPr>
              <w:t>K</w:t>
            </w:r>
            <w:r w:rsidRPr="00D71DAC">
              <w:rPr>
                <w:rFonts w:ascii="Arial" w:hAnsi="Arial" w:cs="Arial"/>
                <w:i/>
                <w:sz w:val="20"/>
                <w:szCs w:val="20"/>
                <w:vertAlign w:val="subscript"/>
                <w:lang w:val="en-GB"/>
              </w:rPr>
              <w:t>m</w:t>
            </w:r>
            <w:r w:rsidRPr="00D71DAC">
              <w:rPr>
                <w:rFonts w:ascii="Arial" w:hAnsi="Arial" w:cs="Arial"/>
                <w:sz w:val="20"/>
                <w:szCs w:val="20"/>
                <w:lang w:val="en-GB"/>
              </w:rPr>
              <w:t>(PEP) [</w:t>
            </w:r>
            <w:proofErr w:type="spellStart"/>
            <w:r w:rsidRPr="00D71DAC">
              <w:rPr>
                <w:rFonts w:ascii="Arial" w:hAnsi="Arial" w:cs="Arial"/>
                <w:sz w:val="20"/>
                <w:szCs w:val="20"/>
                <w:lang w:val="en-GB"/>
              </w:rPr>
              <w:t>mM</w:t>
            </w:r>
            <w:proofErr w:type="spellEnd"/>
            <w:r w:rsidRPr="00D71DAC">
              <w:rPr>
                <w:rFonts w:ascii="Arial" w:hAnsi="Arial" w:cs="Arial"/>
                <w:sz w:val="20"/>
                <w:szCs w:val="20"/>
                <w:lang w:val="en-GB"/>
              </w:rPr>
              <w:t>]</w:t>
            </w:r>
          </w:p>
        </w:tc>
        <w:tc>
          <w:tcPr>
            <w:tcW w:w="1559" w:type="dxa"/>
            <w:tcBorders>
              <w:top w:val="single" w:sz="4" w:space="0" w:color="auto"/>
            </w:tcBorders>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6.432</w:t>
            </w:r>
          </w:p>
        </w:tc>
        <w:tc>
          <w:tcPr>
            <w:tcW w:w="2268" w:type="dxa"/>
            <w:tcBorders>
              <w:top w:val="single" w:sz="4" w:space="0" w:color="auto"/>
            </w:tcBorders>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4</w:t>
            </w:r>
          </w:p>
        </w:tc>
        <w:tc>
          <w:tcPr>
            <w:tcW w:w="3717" w:type="dxa"/>
            <w:tcBorders>
              <w:top w:val="single" w:sz="4" w:space="0" w:color="auto"/>
            </w:tcBorders>
            <w:shd w:val="clear" w:color="auto" w:fill="auto"/>
          </w:tcPr>
          <w:p w:rsidR="00C80E10" w:rsidRPr="00D71DAC" w:rsidRDefault="00C80E10" w:rsidP="00AA3783">
            <w:pPr>
              <w:rPr>
                <w:rFonts w:ascii="Arial" w:hAnsi="Arial" w:cs="Arial"/>
                <w:sz w:val="20"/>
                <w:szCs w:val="20"/>
                <w:lang w:val="en-GB"/>
              </w:rPr>
            </w:pPr>
            <w:r w:rsidRPr="00D71DAC">
              <w:rPr>
                <w:rFonts w:ascii="Arial" w:hAnsi="Arial" w:cs="Arial"/>
                <w:sz w:val="20"/>
                <w:szCs w:val="20"/>
                <w:lang w:val="en-GB"/>
              </w:rPr>
              <w:fldChar w:fldCharType="begin" w:fldLock="1"/>
            </w:r>
            <w:r>
              <w:rPr>
                <w:rFonts w:ascii="Arial" w:hAnsi="Arial" w:cs="Arial"/>
                <w:sz w:val="20"/>
                <w:szCs w:val="20"/>
                <w:lang w:val="en-GB"/>
              </w:rPr>
              <w:instrText>ADDIN CSL_CITATION { "citationItems" : [ { "id" : "ITEM-1", "itemData" : { "abstract" : "The kinetic properties of pyruvate kinase (ATP:pyruvate-phosphotransferase, EC 2.7.1.40) from Streptococcus lactis have been investigated. Positive homotropic kinetics were observed with phosphoenolpyruvate and adenosine 5'-diphosphate, resulting in a sigmoid relationship between reaction velocity and substrate concentrations. This relationship was abolished with an excess of the heterotropic effector fructose-1,6-diphosphate, giving a typical Michaelis-Menten relationship. Increasing the concentration of fructose-1,6-diphosphate increased the apparent V(max) values and decreased the K(m) values for both substrates. Catalysis by pyruvate kinase proceeded optimally at pH 6.9 to 7.5 and was markedly inhibited by inorganic phosphate and sulfate ions. Under certain conditions adenosine 5'-triphosphate also caused inhibition. The K(m) values for phosphoenolpyruvate and adenosine 5'-diphosphate in the presence of 2 mM fructose-1,6-diphosphate were 0.17 mM and 1 mM, respectively. The concentration of fructose-1,6-diphosphate giving one-half maximal velocity with 2 mM phosphoenolpyruvate and 5 mM adenosine 5'-diphosphate was 0.07 mM. The intracellular concentrations of these metabolites (0.8 mM phosphoenolpyruvate, 2.4 mM adenosine 5'-diphosphate, and 18 mM fructose-1,6-diphosphate) suggest that the pyruvate kinase in S. lactis approaches maximal activity in exponentially growing cells. The role of pyruvate kinase in the regulation of the glycolytic pathway in lactic streptococci is discussed.", "author" : [ { "family" : "Collins", "given" : "L B" }, { "family" : "Thomas", "given" : "T D" } ], "container-title" : "J. Bacteriol.", "id" : "ITEM-1", "issue" : "1", "issued" : { "date-parts" : [ [ "1974", "10" ] ] }, "page" : "52-8", "title" : "Pyruvate kinase of Streptococcus lactis.", "type" : "article-journal", "volume" : "120" }, "uris" : [ "http://www.mendeley.com/documents/?uuid=f7f8c634-7cde-4c29-988c-341f1d8ea01a" ] } ], "mendeley" : { "previouslyFormattedCitation" : "[32]" }, "properties" : { "noteIndex" : 0 }, "schema" : "https://github.com/citation-style-language/schema/raw/master/csl-citation.json" }</w:instrText>
            </w:r>
            <w:r w:rsidRPr="00D71DAC">
              <w:rPr>
                <w:rFonts w:ascii="Arial" w:hAnsi="Arial" w:cs="Arial"/>
                <w:sz w:val="20"/>
                <w:szCs w:val="20"/>
                <w:lang w:val="en-GB"/>
              </w:rPr>
              <w:fldChar w:fldCharType="separate"/>
            </w:r>
            <w:r w:rsidRPr="00250CFE">
              <w:rPr>
                <w:rFonts w:ascii="Arial" w:hAnsi="Arial" w:cs="Arial"/>
                <w:noProof/>
                <w:sz w:val="20"/>
                <w:szCs w:val="20"/>
                <w:lang w:val="en-GB"/>
              </w:rPr>
              <w:t>[32]</w:t>
            </w:r>
            <w:r w:rsidRPr="00D71DAC">
              <w:rPr>
                <w:rFonts w:ascii="Arial" w:hAnsi="Arial" w:cs="Arial"/>
                <w:sz w:val="20"/>
                <w:szCs w:val="20"/>
                <w:lang w:val="en-GB"/>
              </w:rPr>
              <w:fldChar w:fldCharType="end"/>
            </w:r>
          </w:p>
        </w:tc>
      </w:tr>
      <w:tr w:rsidR="00C80E10" w:rsidRPr="001D3502" w:rsidTr="00AA3783">
        <w:tc>
          <w:tcPr>
            <w:tcW w:w="1668" w:type="dxa"/>
            <w:shd w:val="clear" w:color="auto" w:fill="auto"/>
          </w:tcPr>
          <w:p w:rsidR="00C80E10" w:rsidRPr="00D71DAC" w:rsidRDefault="00C80E10" w:rsidP="00AA3783">
            <w:pPr>
              <w:rPr>
                <w:rFonts w:ascii="Arial" w:hAnsi="Arial" w:cs="Arial"/>
                <w:sz w:val="20"/>
                <w:szCs w:val="20"/>
                <w:lang w:val="en-GB"/>
              </w:rPr>
            </w:pPr>
            <w:r w:rsidRPr="00D71DAC">
              <w:rPr>
                <w:rFonts w:ascii="Arial" w:hAnsi="Arial" w:cs="Arial"/>
                <w:i/>
                <w:sz w:val="20"/>
                <w:szCs w:val="20"/>
                <w:lang w:val="en-GB"/>
              </w:rPr>
              <w:t>K</w:t>
            </w:r>
            <w:r w:rsidRPr="00D71DAC">
              <w:rPr>
                <w:rFonts w:ascii="Arial" w:hAnsi="Arial" w:cs="Arial"/>
                <w:i/>
                <w:sz w:val="20"/>
                <w:szCs w:val="20"/>
                <w:vertAlign w:val="subscript"/>
                <w:lang w:val="en-GB"/>
              </w:rPr>
              <w:t>m</w:t>
            </w:r>
            <w:r w:rsidRPr="00D71DAC">
              <w:rPr>
                <w:rFonts w:ascii="Arial" w:hAnsi="Arial" w:cs="Arial"/>
                <w:sz w:val="20"/>
                <w:szCs w:val="20"/>
                <w:lang w:val="en-GB"/>
              </w:rPr>
              <w:t>(ADP) [</w:t>
            </w:r>
            <w:proofErr w:type="spellStart"/>
            <w:r w:rsidRPr="00D71DAC">
              <w:rPr>
                <w:rFonts w:ascii="Arial" w:hAnsi="Arial" w:cs="Arial"/>
                <w:sz w:val="20"/>
                <w:szCs w:val="20"/>
                <w:lang w:val="en-GB"/>
              </w:rPr>
              <w:t>mM</w:t>
            </w:r>
            <w:proofErr w:type="spellEnd"/>
            <w:r w:rsidRPr="00D71DAC">
              <w:rPr>
                <w:rFonts w:ascii="Arial" w:hAnsi="Arial" w:cs="Arial"/>
                <w:sz w:val="20"/>
                <w:szCs w:val="20"/>
                <w:lang w:val="en-GB"/>
              </w:rPr>
              <w:t>]</w:t>
            </w:r>
          </w:p>
        </w:tc>
        <w:tc>
          <w:tcPr>
            <w:tcW w:w="1559"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0.022</w:t>
            </w:r>
          </w:p>
        </w:tc>
        <w:tc>
          <w:tcPr>
            <w:tcW w:w="2268"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2.1 *</w:t>
            </w:r>
          </w:p>
        </w:tc>
        <w:tc>
          <w:tcPr>
            <w:tcW w:w="3717" w:type="dxa"/>
            <w:shd w:val="clear" w:color="auto" w:fill="auto"/>
          </w:tcPr>
          <w:p w:rsidR="00C80E10" w:rsidRPr="00D71DAC" w:rsidRDefault="00C80E10" w:rsidP="00AA3783">
            <w:pPr>
              <w:rPr>
                <w:rFonts w:ascii="Arial" w:hAnsi="Arial" w:cs="Arial"/>
                <w:sz w:val="20"/>
                <w:szCs w:val="20"/>
                <w:lang w:val="en-GB"/>
              </w:rPr>
            </w:pPr>
            <w:r w:rsidRPr="00D71DAC">
              <w:rPr>
                <w:rFonts w:ascii="Arial" w:hAnsi="Arial" w:cs="Arial"/>
                <w:sz w:val="20"/>
                <w:szCs w:val="20"/>
                <w:lang w:val="en-GB"/>
              </w:rPr>
              <w:fldChar w:fldCharType="begin" w:fldLock="1"/>
            </w:r>
            <w:r>
              <w:rPr>
                <w:rFonts w:ascii="Arial" w:hAnsi="Arial" w:cs="Arial"/>
                <w:sz w:val="20"/>
                <w:szCs w:val="20"/>
                <w:lang w:val="en-GB"/>
              </w:rPr>
              <w:instrText>ADDIN CSL_CITATION { "citationItems" : [ { "id" : "ITEM-1", "itemData" : { "author" : [ { "family" : "Crow", "given" : "Vaughan L" }, { "family" : "Pritchard", "given" : "Graham G" } ], "container-title" : "Biochim. Biophys. Acta", "id" : "ITEM-1", "issued" : { "date-parts" : [ [ "1976" ] ] }, "page" : "90-101", "title" : "Purification And Properties Of Pyruvate Kinase From Streptococcus lactis", "type" : "article-journal", "volume" : "438" }, "uris" : [ "http://www.mendeley.com/documents/?uuid=db673bea-33a8-4c69-b746-ad51d24a79f3" ] } ], "mendeley" : { "previouslyFormattedCitation" : "[10]" }, "properties" : { "noteIndex" : 0 }, "schema" : "https://github.com/citation-style-language/schema/raw/master/csl-citation.json" }</w:instrText>
            </w:r>
            <w:r w:rsidRPr="00D71DAC">
              <w:rPr>
                <w:rFonts w:ascii="Arial" w:hAnsi="Arial" w:cs="Arial"/>
                <w:sz w:val="20"/>
                <w:szCs w:val="20"/>
                <w:lang w:val="en-GB"/>
              </w:rPr>
              <w:fldChar w:fldCharType="separate"/>
            </w:r>
            <w:r w:rsidRPr="00250CFE">
              <w:rPr>
                <w:rFonts w:ascii="Arial" w:hAnsi="Arial" w:cs="Arial"/>
                <w:noProof/>
                <w:sz w:val="20"/>
                <w:szCs w:val="20"/>
                <w:lang w:val="en-GB"/>
              </w:rPr>
              <w:t>[10]</w:t>
            </w:r>
            <w:r w:rsidRPr="00D71DAC">
              <w:rPr>
                <w:rFonts w:ascii="Arial" w:hAnsi="Arial" w:cs="Arial"/>
                <w:sz w:val="20"/>
                <w:szCs w:val="20"/>
                <w:lang w:val="en-GB"/>
              </w:rPr>
              <w:fldChar w:fldCharType="end"/>
            </w:r>
          </w:p>
        </w:tc>
      </w:tr>
      <w:tr w:rsidR="00C80E10" w:rsidRPr="001D3502" w:rsidTr="00AA3783">
        <w:tc>
          <w:tcPr>
            <w:tcW w:w="1668" w:type="dxa"/>
            <w:shd w:val="clear" w:color="auto" w:fill="auto"/>
          </w:tcPr>
          <w:p w:rsidR="00C80E10" w:rsidRPr="00D71DAC" w:rsidRDefault="00C80E10" w:rsidP="00AA3783">
            <w:pPr>
              <w:rPr>
                <w:rFonts w:ascii="Arial" w:hAnsi="Arial" w:cs="Arial"/>
                <w:sz w:val="20"/>
                <w:szCs w:val="20"/>
                <w:lang w:val="en-GB"/>
              </w:rPr>
            </w:pPr>
            <w:r w:rsidRPr="00D71DAC">
              <w:rPr>
                <w:rFonts w:ascii="Arial" w:hAnsi="Arial" w:cs="Arial"/>
                <w:i/>
                <w:sz w:val="20"/>
                <w:szCs w:val="20"/>
                <w:lang w:val="en-GB"/>
              </w:rPr>
              <w:t>K</w:t>
            </w:r>
            <w:r w:rsidRPr="00D71DAC">
              <w:rPr>
                <w:rFonts w:ascii="Arial" w:hAnsi="Arial" w:cs="Arial"/>
                <w:i/>
                <w:sz w:val="20"/>
                <w:szCs w:val="20"/>
                <w:vertAlign w:val="subscript"/>
                <w:lang w:val="en-GB"/>
              </w:rPr>
              <w:t>m</w:t>
            </w:r>
            <w:r w:rsidRPr="00D71DAC">
              <w:rPr>
                <w:rFonts w:ascii="Arial" w:hAnsi="Arial" w:cs="Arial"/>
                <w:sz w:val="20"/>
                <w:szCs w:val="20"/>
                <w:lang w:val="en-GB"/>
              </w:rPr>
              <w:t>(PYR) [</w:t>
            </w:r>
            <w:proofErr w:type="spellStart"/>
            <w:r w:rsidRPr="00D71DAC">
              <w:rPr>
                <w:rFonts w:ascii="Arial" w:hAnsi="Arial" w:cs="Arial"/>
                <w:sz w:val="20"/>
                <w:szCs w:val="20"/>
                <w:lang w:val="en-GB"/>
              </w:rPr>
              <w:t>mM</w:t>
            </w:r>
            <w:proofErr w:type="spellEnd"/>
            <w:r w:rsidRPr="00D71DAC">
              <w:rPr>
                <w:rFonts w:ascii="Arial" w:hAnsi="Arial" w:cs="Arial"/>
                <w:sz w:val="20"/>
                <w:szCs w:val="20"/>
                <w:lang w:val="en-GB"/>
              </w:rPr>
              <w:t>]</w:t>
            </w:r>
          </w:p>
        </w:tc>
        <w:tc>
          <w:tcPr>
            <w:tcW w:w="1559"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0.593</w:t>
            </w:r>
          </w:p>
        </w:tc>
        <w:tc>
          <w:tcPr>
            <w:tcW w:w="2268" w:type="dxa"/>
            <w:shd w:val="clear" w:color="auto" w:fill="auto"/>
          </w:tcPr>
          <w:p w:rsidR="00C80E10" w:rsidRPr="00D71DAC" w:rsidRDefault="00C80E10" w:rsidP="00AA3783">
            <w:pPr>
              <w:jc w:val="center"/>
              <w:rPr>
                <w:rFonts w:ascii="Arial" w:hAnsi="Arial" w:cs="Arial"/>
                <w:sz w:val="20"/>
                <w:szCs w:val="20"/>
                <w:lang w:val="en-GB"/>
              </w:rPr>
            </w:pPr>
            <w:proofErr w:type="spellStart"/>
            <w:r w:rsidRPr="00D71DAC">
              <w:rPr>
                <w:rFonts w:ascii="Arial" w:hAnsi="Arial" w:cs="Arial"/>
                <w:sz w:val="20"/>
                <w:szCs w:val="20"/>
                <w:lang w:val="en-GB"/>
              </w:rPr>
              <w:t>n.d.</w:t>
            </w:r>
            <w:proofErr w:type="spellEnd"/>
          </w:p>
        </w:tc>
        <w:tc>
          <w:tcPr>
            <w:tcW w:w="3717" w:type="dxa"/>
            <w:shd w:val="clear" w:color="auto" w:fill="auto"/>
          </w:tcPr>
          <w:p w:rsidR="00C80E10" w:rsidRPr="00D71DAC" w:rsidRDefault="00C80E10" w:rsidP="00AA3783">
            <w:pPr>
              <w:rPr>
                <w:rFonts w:ascii="Arial" w:hAnsi="Arial" w:cs="Arial"/>
                <w:sz w:val="20"/>
                <w:szCs w:val="20"/>
                <w:lang w:val="en-GB"/>
              </w:rPr>
            </w:pPr>
          </w:p>
        </w:tc>
      </w:tr>
      <w:tr w:rsidR="00C80E10" w:rsidRPr="001D3502" w:rsidTr="00AA3783">
        <w:tc>
          <w:tcPr>
            <w:tcW w:w="1668" w:type="dxa"/>
            <w:shd w:val="clear" w:color="auto" w:fill="auto"/>
          </w:tcPr>
          <w:p w:rsidR="00C80E10" w:rsidRPr="00D71DAC" w:rsidRDefault="00C80E10" w:rsidP="00AA3783">
            <w:pPr>
              <w:rPr>
                <w:rFonts w:ascii="Arial" w:hAnsi="Arial" w:cs="Arial"/>
                <w:sz w:val="20"/>
                <w:szCs w:val="20"/>
                <w:lang w:val="en-GB"/>
              </w:rPr>
            </w:pPr>
            <w:r w:rsidRPr="00D71DAC">
              <w:rPr>
                <w:rFonts w:ascii="Arial" w:hAnsi="Arial" w:cs="Arial"/>
                <w:i/>
                <w:sz w:val="20"/>
                <w:szCs w:val="20"/>
                <w:lang w:val="en-GB"/>
              </w:rPr>
              <w:t>K</w:t>
            </w:r>
            <w:r w:rsidRPr="00D71DAC">
              <w:rPr>
                <w:rFonts w:ascii="Arial" w:hAnsi="Arial" w:cs="Arial"/>
                <w:i/>
                <w:sz w:val="20"/>
                <w:szCs w:val="20"/>
                <w:vertAlign w:val="subscript"/>
                <w:lang w:val="en-GB"/>
              </w:rPr>
              <w:t>m</w:t>
            </w:r>
            <w:r w:rsidRPr="00D71DAC">
              <w:rPr>
                <w:rFonts w:ascii="Arial" w:hAnsi="Arial" w:cs="Arial"/>
                <w:sz w:val="20"/>
                <w:szCs w:val="20"/>
                <w:lang w:val="en-GB"/>
              </w:rPr>
              <w:t>(ATP) [</w:t>
            </w:r>
            <w:proofErr w:type="spellStart"/>
            <w:r w:rsidRPr="00D71DAC">
              <w:rPr>
                <w:rFonts w:ascii="Arial" w:hAnsi="Arial" w:cs="Arial"/>
                <w:sz w:val="20"/>
                <w:szCs w:val="20"/>
                <w:lang w:val="en-GB"/>
              </w:rPr>
              <w:t>mM</w:t>
            </w:r>
            <w:proofErr w:type="spellEnd"/>
            <w:r w:rsidRPr="00D71DAC">
              <w:rPr>
                <w:rFonts w:ascii="Arial" w:hAnsi="Arial" w:cs="Arial"/>
                <w:sz w:val="20"/>
                <w:szCs w:val="20"/>
                <w:lang w:val="en-GB"/>
              </w:rPr>
              <w:t>]</w:t>
            </w:r>
          </w:p>
        </w:tc>
        <w:tc>
          <w:tcPr>
            <w:tcW w:w="1559"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7.105</w:t>
            </w:r>
          </w:p>
        </w:tc>
        <w:tc>
          <w:tcPr>
            <w:tcW w:w="2268" w:type="dxa"/>
            <w:shd w:val="clear" w:color="auto" w:fill="auto"/>
          </w:tcPr>
          <w:p w:rsidR="00C80E10" w:rsidRPr="00D71DAC" w:rsidRDefault="00C80E10" w:rsidP="00AA3783">
            <w:pPr>
              <w:jc w:val="center"/>
              <w:rPr>
                <w:rFonts w:ascii="Arial" w:hAnsi="Arial" w:cs="Arial"/>
                <w:sz w:val="20"/>
                <w:szCs w:val="20"/>
                <w:lang w:val="en-GB"/>
              </w:rPr>
            </w:pPr>
            <w:proofErr w:type="spellStart"/>
            <w:r w:rsidRPr="00D71DAC">
              <w:rPr>
                <w:rFonts w:ascii="Arial" w:hAnsi="Arial" w:cs="Arial"/>
                <w:sz w:val="20"/>
                <w:szCs w:val="20"/>
                <w:lang w:val="en-GB"/>
              </w:rPr>
              <w:t>n.d.</w:t>
            </w:r>
            <w:proofErr w:type="spellEnd"/>
          </w:p>
        </w:tc>
        <w:tc>
          <w:tcPr>
            <w:tcW w:w="3717" w:type="dxa"/>
            <w:shd w:val="clear" w:color="auto" w:fill="auto"/>
          </w:tcPr>
          <w:p w:rsidR="00C80E10" w:rsidRPr="00D71DAC" w:rsidRDefault="00C80E10" w:rsidP="00AA3783">
            <w:pPr>
              <w:rPr>
                <w:rFonts w:ascii="Arial" w:hAnsi="Arial" w:cs="Arial"/>
                <w:sz w:val="20"/>
                <w:szCs w:val="20"/>
                <w:lang w:val="en-GB"/>
              </w:rPr>
            </w:pPr>
          </w:p>
        </w:tc>
      </w:tr>
      <w:tr w:rsidR="00C80E10" w:rsidRPr="001D3502" w:rsidTr="00AA3783">
        <w:tc>
          <w:tcPr>
            <w:tcW w:w="1668" w:type="dxa"/>
            <w:shd w:val="clear" w:color="auto" w:fill="auto"/>
          </w:tcPr>
          <w:p w:rsidR="00C80E10" w:rsidRPr="00D71DAC" w:rsidRDefault="00C80E10" w:rsidP="00AA3783">
            <w:pPr>
              <w:rPr>
                <w:rFonts w:ascii="Arial" w:hAnsi="Arial" w:cs="Arial"/>
                <w:i/>
                <w:sz w:val="20"/>
                <w:szCs w:val="20"/>
                <w:lang w:val="en-GB"/>
              </w:rPr>
            </w:pPr>
            <w:r w:rsidRPr="00D71DAC">
              <w:rPr>
                <w:rFonts w:ascii="Arial" w:hAnsi="Arial" w:cs="Arial"/>
                <w:i/>
                <w:sz w:val="20"/>
                <w:szCs w:val="20"/>
                <w:lang w:val="en-GB"/>
              </w:rPr>
              <w:t xml:space="preserve">V </w:t>
            </w:r>
            <w:r w:rsidRPr="00D71DAC">
              <w:rPr>
                <w:rFonts w:ascii="Arial" w:hAnsi="Arial" w:cs="Arial"/>
                <w:sz w:val="20"/>
                <w:szCs w:val="20"/>
                <w:lang w:val="en-GB"/>
              </w:rPr>
              <w:t>[U/mg]</w:t>
            </w:r>
          </w:p>
        </w:tc>
        <w:tc>
          <w:tcPr>
            <w:tcW w:w="1559"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0.403</w:t>
            </w:r>
          </w:p>
        </w:tc>
        <w:tc>
          <w:tcPr>
            <w:tcW w:w="2268" w:type="dxa"/>
            <w:shd w:val="clear" w:color="auto" w:fill="auto"/>
          </w:tcPr>
          <w:p w:rsidR="00C80E10" w:rsidRPr="00D71DAC" w:rsidRDefault="00C80E10" w:rsidP="00AA3783">
            <w:pPr>
              <w:jc w:val="center"/>
              <w:rPr>
                <w:rFonts w:ascii="Arial" w:hAnsi="Arial" w:cs="Arial"/>
                <w:sz w:val="20"/>
                <w:szCs w:val="20"/>
                <w:lang w:val="en-GB"/>
              </w:rPr>
            </w:pPr>
            <w:proofErr w:type="spellStart"/>
            <w:r w:rsidRPr="00D71DAC">
              <w:rPr>
                <w:rFonts w:ascii="Arial" w:hAnsi="Arial" w:cs="Arial"/>
                <w:sz w:val="20"/>
                <w:szCs w:val="20"/>
                <w:lang w:val="en-GB"/>
              </w:rPr>
              <w:t>n.d.</w:t>
            </w:r>
            <w:proofErr w:type="spellEnd"/>
          </w:p>
        </w:tc>
        <w:tc>
          <w:tcPr>
            <w:tcW w:w="3717" w:type="dxa"/>
            <w:shd w:val="clear" w:color="auto" w:fill="auto"/>
          </w:tcPr>
          <w:p w:rsidR="00C80E10" w:rsidRPr="00D71DAC" w:rsidRDefault="00C80E10" w:rsidP="00AA3783">
            <w:pPr>
              <w:rPr>
                <w:rFonts w:ascii="Arial" w:hAnsi="Arial" w:cs="Arial"/>
                <w:sz w:val="20"/>
                <w:szCs w:val="20"/>
                <w:lang w:val="en-GB"/>
              </w:rPr>
            </w:pPr>
          </w:p>
        </w:tc>
      </w:tr>
      <w:tr w:rsidR="00C80E10" w:rsidRPr="001D3502" w:rsidTr="00AA3783">
        <w:tc>
          <w:tcPr>
            <w:tcW w:w="1668" w:type="dxa"/>
            <w:shd w:val="clear" w:color="auto" w:fill="auto"/>
          </w:tcPr>
          <w:p w:rsidR="00C80E10" w:rsidRPr="00D71DAC" w:rsidRDefault="00C80E10" w:rsidP="00AA3783">
            <w:pPr>
              <w:rPr>
                <w:rFonts w:ascii="Arial" w:hAnsi="Arial" w:cs="Arial"/>
                <w:i/>
                <w:sz w:val="20"/>
                <w:szCs w:val="20"/>
                <w:lang w:val="en-GB"/>
              </w:rPr>
            </w:pPr>
            <w:r w:rsidRPr="00D71DAC">
              <w:rPr>
                <w:rFonts w:ascii="Arial" w:hAnsi="Arial" w:cs="Arial"/>
                <w:i/>
                <w:sz w:val="20"/>
                <w:szCs w:val="20"/>
                <w:lang w:val="en-GB"/>
              </w:rPr>
              <w:t>n</w:t>
            </w:r>
          </w:p>
        </w:tc>
        <w:tc>
          <w:tcPr>
            <w:tcW w:w="1559"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2.173</w:t>
            </w:r>
          </w:p>
        </w:tc>
        <w:tc>
          <w:tcPr>
            <w:tcW w:w="2268"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3.3 (PEP) 2.1 (ADP)</w:t>
            </w:r>
          </w:p>
        </w:tc>
        <w:tc>
          <w:tcPr>
            <w:tcW w:w="3717" w:type="dxa"/>
            <w:shd w:val="clear" w:color="auto" w:fill="auto"/>
          </w:tcPr>
          <w:p w:rsidR="00C80E10" w:rsidRPr="00D71DAC" w:rsidRDefault="00C80E10" w:rsidP="00AA3783">
            <w:pPr>
              <w:rPr>
                <w:rFonts w:ascii="Arial" w:hAnsi="Arial" w:cs="Arial"/>
                <w:sz w:val="20"/>
                <w:szCs w:val="20"/>
                <w:lang w:val="en-GB"/>
              </w:rPr>
            </w:pPr>
            <w:r w:rsidRPr="00D71DAC">
              <w:rPr>
                <w:rFonts w:ascii="Arial" w:hAnsi="Arial" w:cs="Arial"/>
                <w:sz w:val="20"/>
                <w:szCs w:val="20"/>
                <w:lang w:val="en-GB"/>
              </w:rPr>
              <w:fldChar w:fldCharType="begin" w:fldLock="1"/>
            </w:r>
            <w:r>
              <w:rPr>
                <w:rFonts w:ascii="Arial" w:hAnsi="Arial" w:cs="Arial"/>
                <w:sz w:val="20"/>
                <w:szCs w:val="20"/>
                <w:lang w:val="en-GB"/>
              </w:rPr>
              <w:instrText>ADDIN CSL_CITATION { "citationItems" : [ { "id" : "ITEM-1", "itemData" : { "abstract" : "The kinetic properties of pyruvate kinase (ATP:pyruvate-phosphotransferase, EC 2.7.1.40) from Streptococcus lactis have been investigated. Positive homotropic kinetics were observed with phosphoenolpyruvate and adenosine 5'-diphosphate, resulting in a sigmoid relationship between reaction velocity and substrate concentrations. This relationship was abolished with an excess of the heterotropic effector fructose-1,6-diphosphate, giving a typical Michaelis-Menten relationship. Increasing the concentration of fructose-1,6-diphosphate increased the apparent V(max) values and decreased the K(m) values for both substrates. Catalysis by pyruvate kinase proceeded optimally at pH 6.9 to 7.5 and was markedly inhibited by inorganic phosphate and sulfate ions. Under certain conditions adenosine 5'-triphosphate also caused inhibition. The K(m) values for phosphoenolpyruvate and adenosine 5'-diphosphate in the presence of 2 mM fructose-1,6-diphosphate were 0.17 mM and 1 mM, respectively. The concentration of fructose-1,6-diphosphate giving one-half maximal velocity with 2 mM phosphoenolpyruvate and 5 mM adenosine 5'-diphosphate was 0.07 mM. The intracellular concentrations of these metabolites (0.8 mM phosphoenolpyruvate, 2.4 mM adenosine 5'-diphosphate, and 18 mM fructose-1,6-diphosphate) suggest that the pyruvate kinase in S. lactis approaches maximal activity in exponentially growing cells. The role of pyruvate kinase in the regulation of the glycolytic pathway in lactic streptococci is discussed.", "author" : [ { "family" : "Collins", "given" : "L B" }, { "family" : "Thomas", "given" : "T D" } ], "container-title" : "J. Bacteriol.", "id" : "ITEM-1", "issue" : "1", "issued" : { "date-parts" : [ [ "1974", "10" ] ] }, "page" : "52-8", "title" : "Pyruvate kinase of Streptococcus lactis.", "type" : "article-journal", "volume" : "120" }, "uris" : [ "http://www.mendeley.com/documents/?uuid=f7f8c634-7cde-4c29-988c-341f1d8ea01a" ] } ], "mendeley" : { "previouslyFormattedCitation" : "[32]" }, "properties" : { "noteIndex" : 0 }, "schema" : "https://github.com/citation-style-language/schema/raw/master/csl-citation.json" }</w:instrText>
            </w:r>
            <w:r w:rsidRPr="00D71DAC">
              <w:rPr>
                <w:rFonts w:ascii="Arial" w:hAnsi="Arial" w:cs="Arial"/>
                <w:sz w:val="20"/>
                <w:szCs w:val="20"/>
                <w:lang w:val="en-GB"/>
              </w:rPr>
              <w:fldChar w:fldCharType="separate"/>
            </w:r>
            <w:r w:rsidRPr="00250CFE">
              <w:rPr>
                <w:rFonts w:ascii="Arial" w:hAnsi="Arial" w:cs="Arial"/>
                <w:noProof/>
                <w:sz w:val="20"/>
                <w:szCs w:val="20"/>
                <w:lang w:val="en-GB"/>
              </w:rPr>
              <w:t>[32]</w:t>
            </w:r>
            <w:r w:rsidRPr="00D71DAC">
              <w:rPr>
                <w:rFonts w:ascii="Arial" w:hAnsi="Arial" w:cs="Arial"/>
                <w:sz w:val="20"/>
                <w:szCs w:val="20"/>
                <w:lang w:val="en-GB"/>
              </w:rPr>
              <w:fldChar w:fldCharType="end"/>
            </w:r>
          </w:p>
        </w:tc>
      </w:tr>
      <w:tr w:rsidR="00C80E10" w:rsidRPr="001D3502" w:rsidTr="00AA3783">
        <w:tc>
          <w:tcPr>
            <w:tcW w:w="1668" w:type="dxa"/>
            <w:shd w:val="clear" w:color="auto" w:fill="auto"/>
          </w:tcPr>
          <w:p w:rsidR="00C80E10" w:rsidRPr="00D71DAC" w:rsidRDefault="00C80E10" w:rsidP="00AA3783">
            <w:pPr>
              <w:rPr>
                <w:rFonts w:ascii="Arial" w:hAnsi="Arial" w:cs="Arial"/>
                <w:sz w:val="20"/>
                <w:szCs w:val="20"/>
                <w:lang w:val="en-GB"/>
              </w:rPr>
            </w:pPr>
            <w:proofErr w:type="spellStart"/>
            <w:r w:rsidRPr="00D71DAC">
              <w:rPr>
                <w:rFonts w:ascii="Arial" w:hAnsi="Arial" w:cs="Arial"/>
                <w:i/>
                <w:sz w:val="20"/>
                <w:szCs w:val="20"/>
                <w:lang w:val="en-GB"/>
              </w:rPr>
              <w:t>k</w:t>
            </w:r>
            <w:r w:rsidRPr="00D71DAC">
              <w:rPr>
                <w:rFonts w:ascii="Arial" w:hAnsi="Arial" w:cs="Arial"/>
                <w:i/>
                <w:sz w:val="20"/>
                <w:szCs w:val="20"/>
                <w:vertAlign w:val="subscript"/>
                <w:lang w:val="en-GB"/>
              </w:rPr>
              <w:t>a</w:t>
            </w:r>
            <w:proofErr w:type="spellEnd"/>
            <w:r w:rsidRPr="00D71DAC">
              <w:rPr>
                <w:rFonts w:ascii="Arial" w:hAnsi="Arial" w:cs="Arial"/>
                <w:sz w:val="20"/>
                <w:szCs w:val="20"/>
                <w:vertAlign w:val="superscript"/>
                <w:lang w:val="en-GB"/>
              </w:rPr>
              <w:t>$</w:t>
            </w:r>
            <w:r w:rsidRPr="00D71DAC">
              <w:rPr>
                <w:rFonts w:ascii="Arial" w:hAnsi="Arial" w:cs="Arial"/>
                <w:sz w:val="20"/>
                <w:szCs w:val="20"/>
                <w:lang w:val="en-GB"/>
              </w:rPr>
              <w:t xml:space="preserve"> [</w:t>
            </w:r>
            <w:proofErr w:type="spellStart"/>
            <w:r w:rsidRPr="00D71DAC">
              <w:rPr>
                <w:rFonts w:ascii="Arial" w:hAnsi="Arial" w:cs="Arial"/>
                <w:sz w:val="20"/>
                <w:szCs w:val="20"/>
                <w:lang w:val="en-GB"/>
              </w:rPr>
              <w:t>mM</w:t>
            </w:r>
            <w:proofErr w:type="spellEnd"/>
            <w:r w:rsidRPr="00D71DAC">
              <w:rPr>
                <w:rFonts w:ascii="Arial" w:hAnsi="Arial" w:cs="Arial"/>
                <w:sz w:val="20"/>
                <w:szCs w:val="20"/>
                <w:lang w:val="en-GB"/>
              </w:rPr>
              <w:t>]</w:t>
            </w:r>
          </w:p>
        </w:tc>
        <w:tc>
          <w:tcPr>
            <w:tcW w:w="1559"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1.707</w:t>
            </w:r>
          </w:p>
        </w:tc>
        <w:tc>
          <w:tcPr>
            <w:tcW w:w="2268"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(0.07- 0.2)</w:t>
            </w:r>
          </w:p>
        </w:tc>
        <w:tc>
          <w:tcPr>
            <w:tcW w:w="3717" w:type="dxa"/>
            <w:shd w:val="clear" w:color="auto" w:fill="auto"/>
          </w:tcPr>
          <w:p w:rsidR="00C80E10" w:rsidRPr="00D71DAC" w:rsidRDefault="00C80E10" w:rsidP="00AA3783">
            <w:pPr>
              <w:rPr>
                <w:rFonts w:ascii="Arial" w:hAnsi="Arial" w:cs="Arial"/>
                <w:sz w:val="20"/>
                <w:szCs w:val="20"/>
                <w:lang w:val="en-GB"/>
              </w:rPr>
            </w:pPr>
            <w:r w:rsidRPr="00D71DAC">
              <w:rPr>
                <w:rFonts w:ascii="Arial" w:hAnsi="Arial" w:cs="Arial"/>
                <w:sz w:val="20"/>
                <w:szCs w:val="20"/>
                <w:lang w:val="en-GB"/>
              </w:rPr>
              <w:fldChar w:fldCharType="begin" w:fldLock="1"/>
            </w:r>
            <w:r>
              <w:rPr>
                <w:rFonts w:ascii="Arial" w:hAnsi="Arial" w:cs="Arial"/>
                <w:sz w:val="20"/>
                <w:szCs w:val="20"/>
                <w:lang w:val="en-GB"/>
              </w:rPr>
              <w:instrText>ADDIN CSL_CITATION { "citationItems" : [ { "id" : "ITEM-1", "itemData" : { "abstract" : "The kinetic properties of pyruvate kinase (ATP:pyruvate-phosphotransferase, EC 2.7.1.40) from Streptococcus lactis have been investigated. Positive homotropic kinetics were observed with phosphoenolpyruvate and adenosine 5'-diphosphate, resulting in a sigmoid relationship between reaction velocity and substrate concentrations. This relationship was abolished with an excess of the heterotropic effector fructose-1,6-diphosphate, giving a typical Michaelis-Menten relationship. Increasing the concentration of fructose-1,6-diphosphate increased the apparent V(max) values and decreased the K(m) values for both substrates. Catalysis by pyruvate kinase proceeded optimally at pH 6.9 to 7.5 and was markedly inhibited by inorganic phosphate and sulfate ions. Under certain conditions adenosine 5'-triphosphate also caused inhibition. The K(m) values for phosphoenolpyruvate and adenosine 5'-diphosphate in the presence of 2 mM fructose-1,6-diphosphate were 0.17 mM and 1 mM, respectively. The concentration of fructose-1,6-diphosphate giving one-half maximal velocity with 2 mM phosphoenolpyruvate and 5 mM adenosine 5'-diphosphate was 0.07 mM. The intracellular concentrations of these metabolites (0.8 mM phosphoenolpyruvate, 2.4 mM adenosine 5'-diphosphate, and 18 mM fructose-1,6-diphosphate) suggest that the pyruvate kinase in S. lactis approaches maximal activity in exponentially growing cells. The role of pyruvate kinase in the regulation of the glycolytic pathway in lactic streptococci is discussed.", "author" : [ { "family" : "Collins", "given" : "L B" }, { "family" : "Thomas", "given" : "T D" } ], "container-title" : "J. Bacteriol.", "id" : "ITEM-1", "issue" : "1", "issued" : { "date-parts" : [ [ "1974", "10" ] ] }, "page" : "52-8", "title" : "Pyruvate kinase of Streptococcus lactis.", "type" : "article-journal", "volume" : "120" }, "uris" : [ "http://www.mendeley.com/documents/?uuid=f7f8c634-7cde-4c29-988c-341f1d8ea01a" ] }, { "id" : "ITEM-2", "itemData" : { "author" : [ { "family" : "Crow", "given" : "Vaughan L" }, { "family" : "Pritchard", "given" : "Graham G" } ], "container-title" : "Biochim. Biophys. Acta", "id" : "ITEM-2", "issued" : { "date-parts" : [ [ "1976" ] ] }, "page" : "90-101", "title" : "Purification And Properties Of Pyruvate Kinase From Streptococcus lactis", "type" : "article-journal", "volume" : "438" }, "uris" : [ "http://www.mendeley.com/documents/?uuid=db673bea-33a8-4c69-b746-ad51d24a79f3" ] } ], "mendeley" : { "previouslyFormattedCitation" : "[10,32]" }, "properties" : { "noteIndex" : 0 }, "schema" : "https://github.com/citation-style-language/schema/raw/master/csl-citation.json" }</w:instrText>
            </w:r>
            <w:r w:rsidRPr="00D71DAC">
              <w:rPr>
                <w:rFonts w:ascii="Arial" w:hAnsi="Arial" w:cs="Arial"/>
                <w:sz w:val="20"/>
                <w:szCs w:val="20"/>
                <w:lang w:val="en-GB"/>
              </w:rPr>
              <w:fldChar w:fldCharType="separate"/>
            </w:r>
            <w:r w:rsidRPr="00250CFE">
              <w:rPr>
                <w:rFonts w:ascii="Arial" w:hAnsi="Arial" w:cs="Arial"/>
                <w:noProof/>
                <w:sz w:val="20"/>
                <w:szCs w:val="20"/>
                <w:lang w:val="en-GB"/>
              </w:rPr>
              <w:t>[10,32]</w:t>
            </w:r>
            <w:r w:rsidRPr="00D71DAC">
              <w:rPr>
                <w:rFonts w:ascii="Arial" w:hAnsi="Arial" w:cs="Arial"/>
                <w:sz w:val="20"/>
                <w:szCs w:val="20"/>
                <w:lang w:val="en-GB"/>
              </w:rPr>
              <w:fldChar w:fldCharType="end"/>
            </w:r>
          </w:p>
        </w:tc>
      </w:tr>
      <w:tr w:rsidR="00C80E10" w:rsidRPr="001D3502" w:rsidTr="00AA3783">
        <w:tc>
          <w:tcPr>
            <w:tcW w:w="1668" w:type="dxa"/>
            <w:shd w:val="clear" w:color="auto" w:fill="auto"/>
          </w:tcPr>
          <w:p w:rsidR="00C80E10" w:rsidRPr="00D71DAC" w:rsidRDefault="00C80E10" w:rsidP="00AA3783">
            <w:pPr>
              <w:rPr>
                <w:rFonts w:ascii="Arial" w:hAnsi="Arial" w:cs="Arial"/>
                <w:sz w:val="20"/>
                <w:szCs w:val="20"/>
                <w:lang w:val="en-GB"/>
              </w:rPr>
            </w:pPr>
            <w:proofErr w:type="spellStart"/>
            <w:r w:rsidRPr="00D71DAC">
              <w:rPr>
                <w:rFonts w:ascii="Arial" w:hAnsi="Arial" w:cs="Arial"/>
                <w:i/>
                <w:sz w:val="20"/>
                <w:szCs w:val="20"/>
                <w:lang w:val="en-GB"/>
              </w:rPr>
              <w:t>k</w:t>
            </w:r>
            <w:r w:rsidRPr="00D71DAC">
              <w:rPr>
                <w:rFonts w:ascii="Arial" w:hAnsi="Arial" w:cs="Arial"/>
                <w:sz w:val="20"/>
                <w:szCs w:val="20"/>
                <w:vertAlign w:val="subscript"/>
                <w:lang w:val="en-GB"/>
              </w:rPr>
              <w:t>i</w:t>
            </w:r>
            <w:proofErr w:type="spellEnd"/>
            <w:r w:rsidRPr="00D71DAC">
              <w:rPr>
                <w:rFonts w:ascii="Arial" w:hAnsi="Arial" w:cs="Arial"/>
                <w:sz w:val="20"/>
                <w:szCs w:val="20"/>
                <w:vertAlign w:val="superscript"/>
                <w:lang w:val="en-GB"/>
              </w:rPr>
              <w:t>$</w:t>
            </w:r>
            <w:r w:rsidRPr="00D71DAC">
              <w:rPr>
                <w:rFonts w:ascii="Arial" w:hAnsi="Arial" w:cs="Arial"/>
                <w:sz w:val="20"/>
                <w:szCs w:val="20"/>
                <w:lang w:val="en-GB"/>
              </w:rPr>
              <w:t xml:space="preserve"> [</w:t>
            </w:r>
            <w:proofErr w:type="spellStart"/>
            <w:r w:rsidRPr="00D71DAC">
              <w:rPr>
                <w:rFonts w:ascii="Arial" w:hAnsi="Arial" w:cs="Arial"/>
                <w:sz w:val="20"/>
                <w:szCs w:val="20"/>
                <w:lang w:val="en-GB"/>
              </w:rPr>
              <w:t>mM</w:t>
            </w:r>
            <w:proofErr w:type="spellEnd"/>
            <w:r w:rsidRPr="00D71DAC">
              <w:rPr>
                <w:rFonts w:ascii="Arial" w:hAnsi="Arial" w:cs="Arial"/>
                <w:sz w:val="20"/>
                <w:szCs w:val="20"/>
                <w:lang w:val="en-GB"/>
              </w:rPr>
              <w:t>]</w:t>
            </w:r>
          </w:p>
        </w:tc>
        <w:tc>
          <w:tcPr>
            <w:tcW w:w="1559"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0.124</w:t>
            </w:r>
          </w:p>
        </w:tc>
        <w:tc>
          <w:tcPr>
            <w:tcW w:w="2268"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(0.65 -1.3 )</w:t>
            </w:r>
          </w:p>
        </w:tc>
        <w:tc>
          <w:tcPr>
            <w:tcW w:w="3717" w:type="dxa"/>
            <w:shd w:val="clear" w:color="auto" w:fill="auto"/>
          </w:tcPr>
          <w:p w:rsidR="00C80E10" w:rsidRPr="00D71DAC" w:rsidRDefault="00C80E10" w:rsidP="00AA3783">
            <w:pPr>
              <w:rPr>
                <w:rFonts w:ascii="Arial" w:hAnsi="Arial" w:cs="Arial"/>
                <w:sz w:val="20"/>
                <w:szCs w:val="20"/>
                <w:lang w:val="en-GB"/>
              </w:rPr>
            </w:pPr>
            <w:r w:rsidRPr="00D71DAC">
              <w:rPr>
                <w:rFonts w:ascii="Arial" w:hAnsi="Arial" w:cs="Arial"/>
                <w:sz w:val="20"/>
                <w:szCs w:val="20"/>
                <w:lang w:val="en-GB"/>
              </w:rPr>
              <w:fldChar w:fldCharType="begin" w:fldLock="1"/>
            </w:r>
            <w:r>
              <w:rPr>
                <w:rFonts w:ascii="Arial" w:hAnsi="Arial" w:cs="Arial"/>
                <w:sz w:val="20"/>
                <w:szCs w:val="20"/>
                <w:lang w:val="en-GB"/>
              </w:rPr>
              <w:instrText>ADDIN CSL_CITATION { "citationItems" : [ { "id" : "ITEM-1", "itemData" : { "abstract" : "The kinetic properties of pyruvate kinase (ATP:pyruvate-phosphotransferase, EC 2.7.1.40) from Streptococcus lactis have been investigated. Positive homotropic kinetics were observed with phosphoenolpyruvate and adenosine 5'-diphosphate, resulting in a sigmoid relationship between reaction velocity and substrate concentrations. This relationship was abolished with an excess of the heterotropic effector fructose-1,6-diphosphate, giving a typical Michaelis-Menten relationship. Increasing the concentration of fructose-1,6-diphosphate increased the apparent V(max) values and decreased the K(m) values for both substrates. Catalysis by pyruvate kinase proceeded optimally at pH 6.9 to 7.5 and was markedly inhibited by inorganic phosphate and sulfate ions. Under certain conditions adenosine 5'-triphosphate also caused inhibition. The K(m) values for phosphoenolpyruvate and adenosine 5'-diphosphate in the presence of 2 mM fructose-1,6-diphosphate were 0.17 mM and 1 mM, respectively. The concentration of fructose-1,6-diphosphate giving one-half maximal velocity with 2 mM phosphoenolpyruvate and 5 mM adenosine 5'-diphosphate was 0.07 mM. The intracellular concentrations of these metabolites (0.8 mM phosphoenolpyruvate, 2.4 mM adenosine 5'-diphosphate, and 18 mM fructose-1,6-diphosphate) suggest that the pyruvate kinase in S. lactis approaches maximal activity in exponentially growing cells. The role of pyruvate kinase in the regulation of the glycolytic pathway in lactic streptococci is discussed.", "author" : [ { "family" : "Collins", "given" : "L B" }, { "family" : "Thomas", "given" : "T D" } ], "container-title" : "J. Bacteriol.", "id" : "ITEM-1", "issue" : "1", "issued" : { "date-parts" : [ [ "1974", "10" ] ] }, "page" : "52-8", "title" : "Pyruvate kinase of Streptococcus lactis.", "type" : "article-journal", "volume" : "120" }, "uris" : [ "http://www.mendeley.com/documents/?uuid=f7f8c634-7cde-4c29-988c-341f1d8ea01a" ] }, { "id" : "ITEM-2", "itemData" : { "author" : [ { "family" : "Crow", "given" : "Vaughan L" }, { "family" : "Pritchard", "given" : "Graham G" } ], "container-title" : "Biochim. Biophys. Acta", "id" : "ITEM-2", "issued" : { "date-parts" : [ [ "1976" ] ] }, "page" : "90-101", "title" : "Purification And Properties Of Pyruvate Kinase From Streptococcus lactis", "type" : "article-journal", "volume" : "438" }, "uris" : [ "http://www.mendeley.com/documents/?uuid=db673bea-33a8-4c69-b746-ad51d24a79f3" ] } ], "mendeley" : { "previouslyFormattedCitation" : "[10,32]" }, "properties" : { "noteIndex" : 0 }, "schema" : "https://github.com/citation-style-language/schema/raw/master/csl-citation.json" }</w:instrText>
            </w:r>
            <w:r w:rsidRPr="00D71DAC">
              <w:rPr>
                <w:rFonts w:ascii="Arial" w:hAnsi="Arial" w:cs="Arial"/>
                <w:sz w:val="20"/>
                <w:szCs w:val="20"/>
                <w:lang w:val="en-GB"/>
              </w:rPr>
              <w:fldChar w:fldCharType="separate"/>
            </w:r>
            <w:r w:rsidRPr="00250CFE">
              <w:rPr>
                <w:rFonts w:ascii="Arial" w:hAnsi="Arial" w:cs="Arial"/>
                <w:noProof/>
                <w:sz w:val="20"/>
                <w:szCs w:val="20"/>
                <w:lang w:val="en-GB"/>
              </w:rPr>
              <w:t>[10,32]</w:t>
            </w:r>
            <w:r w:rsidRPr="00D71DAC">
              <w:rPr>
                <w:rFonts w:ascii="Arial" w:hAnsi="Arial" w:cs="Arial"/>
                <w:sz w:val="20"/>
                <w:szCs w:val="20"/>
                <w:lang w:val="en-GB"/>
              </w:rPr>
              <w:fldChar w:fldCharType="end"/>
            </w:r>
          </w:p>
        </w:tc>
      </w:tr>
      <w:tr w:rsidR="00C80E10" w:rsidRPr="001D3502" w:rsidTr="00AA3783">
        <w:tc>
          <w:tcPr>
            <w:tcW w:w="1668" w:type="dxa"/>
            <w:shd w:val="clear" w:color="auto" w:fill="auto"/>
          </w:tcPr>
          <w:p w:rsidR="00C80E10" w:rsidRPr="00D71DAC" w:rsidRDefault="00C80E10" w:rsidP="00AA3783">
            <w:pPr>
              <w:rPr>
                <w:rFonts w:ascii="Arial" w:hAnsi="Arial" w:cs="Arial"/>
                <w:i/>
                <w:sz w:val="20"/>
                <w:szCs w:val="20"/>
                <w:lang w:val="en-GB"/>
              </w:rPr>
            </w:pPr>
            <w:r w:rsidRPr="00D71DAC">
              <w:rPr>
                <w:rFonts w:ascii="Arial" w:hAnsi="Arial" w:cs="Arial"/>
                <w:i/>
                <w:sz w:val="20"/>
                <w:szCs w:val="20"/>
                <w:lang w:val="en-GB"/>
              </w:rPr>
              <w:t>β1</w:t>
            </w:r>
          </w:p>
        </w:tc>
        <w:tc>
          <w:tcPr>
            <w:tcW w:w="1559"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246.077</w:t>
            </w:r>
          </w:p>
        </w:tc>
        <w:tc>
          <w:tcPr>
            <w:tcW w:w="2268" w:type="dxa"/>
            <w:shd w:val="clear" w:color="auto" w:fill="auto"/>
          </w:tcPr>
          <w:p w:rsidR="00C80E10" w:rsidRPr="00D71DAC" w:rsidRDefault="00C80E10" w:rsidP="00AA3783">
            <w:pPr>
              <w:ind w:left="420"/>
              <w:jc w:val="center"/>
              <w:rPr>
                <w:rFonts w:ascii="Arial" w:hAnsi="Arial" w:cs="Arial"/>
                <w:sz w:val="20"/>
                <w:szCs w:val="20"/>
                <w:lang w:val="en-GB"/>
              </w:rPr>
            </w:pPr>
          </w:p>
        </w:tc>
        <w:tc>
          <w:tcPr>
            <w:tcW w:w="3717" w:type="dxa"/>
            <w:shd w:val="clear" w:color="auto" w:fill="auto"/>
          </w:tcPr>
          <w:p w:rsidR="00C80E10" w:rsidRPr="00D71DAC" w:rsidRDefault="00C80E10" w:rsidP="00AA3783">
            <w:pPr>
              <w:rPr>
                <w:rFonts w:ascii="Arial" w:hAnsi="Arial" w:cs="Arial"/>
                <w:sz w:val="20"/>
                <w:szCs w:val="20"/>
                <w:lang w:val="en-GB"/>
              </w:rPr>
            </w:pPr>
          </w:p>
        </w:tc>
      </w:tr>
      <w:tr w:rsidR="00C80E10" w:rsidRPr="001D3502" w:rsidTr="00AA3783">
        <w:tc>
          <w:tcPr>
            <w:tcW w:w="1668" w:type="dxa"/>
            <w:shd w:val="clear" w:color="auto" w:fill="auto"/>
          </w:tcPr>
          <w:p w:rsidR="00C80E10" w:rsidRPr="00D71DAC" w:rsidRDefault="00C80E10" w:rsidP="00AA3783">
            <w:pPr>
              <w:rPr>
                <w:rFonts w:ascii="Arial" w:hAnsi="Arial" w:cs="Arial"/>
                <w:i/>
                <w:sz w:val="20"/>
                <w:szCs w:val="20"/>
                <w:lang w:val="en-GB"/>
              </w:rPr>
            </w:pPr>
            <w:r w:rsidRPr="00D71DAC">
              <w:rPr>
                <w:rFonts w:ascii="Arial" w:hAnsi="Arial" w:cs="Arial"/>
                <w:i/>
                <w:sz w:val="20"/>
                <w:szCs w:val="20"/>
                <w:lang w:val="en-GB"/>
              </w:rPr>
              <w:t>β2</w:t>
            </w:r>
          </w:p>
        </w:tc>
        <w:tc>
          <w:tcPr>
            <w:tcW w:w="1559"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0.0036</w:t>
            </w:r>
          </w:p>
        </w:tc>
        <w:tc>
          <w:tcPr>
            <w:tcW w:w="2268" w:type="dxa"/>
            <w:shd w:val="clear" w:color="auto" w:fill="auto"/>
          </w:tcPr>
          <w:p w:rsidR="00C80E10" w:rsidRPr="00D71DAC" w:rsidRDefault="00C80E10" w:rsidP="00AA3783">
            <w:pPr>
              <w:ind w:left="420"/>
              <w:jc w:val="center"/>
              <w:rPr>
                <w:rFonts w:ascii="Arial" w:hAnsi="Arial" w:cs="Arial"/>
                <w:sz w:val="20"/>
                <w:szCs w:val="20"/>
                <w:lang w:val="en-GB"/>
              </w:rPr>
            </w:pPr>
          </w:p>
        </w:tc>
        <w:tc>
          <w:tcPr>
            <w:tcW w:w="3717" w:type="dxa"/>
            <w:shd w:val="clear" w:color="auto" w:fill="auto"/>
          </w:tcPr>
          <w:p w:rsidR="00C80E10" w:rsidRPr="00D71DAC" w:rsidRDefault="00C80E10" w:rsidP="00AA3783">
            <w:pPr>
              <w:rPr>
                <w:rFonts w:ascii="Arial" w:hAnsi="Arial" w:cs="Arial"/>
                <w:sz w:val="20"/>
                <w:szCs w:val="20"/>
                <w:lang w:val="en-GB"/>
              </w:rPr>
            </w:pPr>
          </w:p>
        </w:tc>
      </w:tr>
      <w:tr w:rsidR="00C80E10" w:rsidRPr="001D3502" w:rsidTr="00AA3783">
        <w:tc>
          <w:tcPr>
            <w:tcW w:w="1668" w:type="dxa"/>
            <w:shd w:val="clear" w:color="auto" w:fill="auto"/>
          </w:tcPr>
          <w:p w:rsidR="00C80E10" w:rsidRPr="00D71DAC" w:rsidRDefault="00C80E10" w:rsidP="00AA3783">
            <w:pPr>
              <w:rPr>
                <w:rFonts w:ascii="Arial" w:hAnsi="Arial" w:cs="Arial"/>
                <w:sz w:val="20"/>
                <w:szCs w:val="20"/>
                <w:lang w:val="en-GB"/>
              </w:rPr>
            </w:pPr>
            <w:proofErr w:type="spellStart"/>
            <w:r w:rsidRPr="00D71DAC">
              <w:rPr>
                <w:rFonts w:ascii="Arial" w:hAnsi="Arial" w:cs="Arial"/>
                <w:i/>
                <w:sz w:val="20"/>
                <w:szCs w:val="20"/>
                <w:lang w:val="en-GB"/>
              </w:rPr>
              <w:t>k</w:t>
            </w:r>
            <w:r w:rsidRPr="00D71DAC">
              <w:rPr>
                <w:rFonts w:ascii="Arial" w:hAnsi="Arial" w:cs="Arial"/>
                <w:i/>
                <w:sz w:val="20"/>
                <w:szCs w:val="20"/>
                <w:vertAlign w:val="subscript"/>
                <w:lang w:val="en-GB"/>
              </w:rPr>
              <w:t>out</w:t>
            </w:r>
            <w:proofErr w:type="spellEnd"/>
            <w:r w:rsidRPr="00D71DAC">
              <w:rPr>
                <w:rFonts w:ascii="Arial" w:hAnsi="Arial" w:cs="Arial"/>
                <w:sz w:val="20"/>
                <w:szCs w:val="20"/>
                <w:vertAlign w:val="superscript"/>
                <w:lang w:val="en-GB"/>
              </w:rPr>
              <w:t xml:space="preserve">§  </w:t>
            </w:r>
            <w:r w:rsidRPr="00D71DAC">
              <w:rPr>
                <w:rFonts w:ascii="Arial" w:hAnsi="Arial" w:cs="Arial"/>
                <w:sz w:val="20"/>
                <w:szCs w:val="20"/>
                <w:lang w:val="en-GB"/>
              </w:rPr>
              <w:t>[1/min]</w:t>
            </w:r>
          </w:p>
        </w:tc>
        <w:tc>
          <w:tcPr>
            <w:tcW w:w="1559" w:type="dxa"/>
            <w:shd w:val="clear" w:color="auto" w:fill="auto"/>
          </w:tcPr>
          <w:p w:rsidR="00C80E10" w:rsidRPr="00D71DAC" w:rsidRDefault="00C80E10" w:rsidP="00AA3783">
            <w:pPr>
              <w:jc w:val="center"/>
              <w:rPr>
                <w:rFonts w:ascii="Arial" w:hAnsi="Arial" w:cs="Arial"/>
                <w:sz w:val="20"/>
                <w:szCs w:val="20"/>
                <w:lang w:val="en-GB"/>
              </w:rPr>
            </w:pPr>
            <w:r w:rsidRPr="00D71DAC">
              <w:rPr>
                <w:rFonts w:ascii="Arial" w:hAnsi="Arial" w:cs="Arial"/>
                <w:sz w:val="20"/>
                <w:szCs w:val="20"/>
                <w:lang w:val="en-GB"/>
              </w:rPr>
              <w:t>176381</w:t>
            </w:r>
          </w:p>
        </w:tc>
        <w:tc>
          <w:tcPr>
            <w:tcW w:w="2268" w:type="dxa"/>
            <w:shd w:val="clear" w:color="auto" w:fill="auto"/>
          </w:tcPr>
          <w:p w:rsidR="00C80E10" w:rsidRPr="00D71DAC" w:rsidRDefault="00C80E10" w:rsidP="00AA3783">
            <w:pPr>
              <w:ind w:left="420"/>
              <w:jc w:val="center"/>
              <w:rPr>
                <w:rFonts w:ascii="Arial" w:hAnsi="Arial" w:cs="Arial"/>
                <w:sz w:val="20"/>
                <w:szCs w:val="20"/>
                <w:lang w:val="en-GB"/>
              </w:rPr>
            </w:pPr>
          </w:p>
        </w:tc>
        <w:tc>
          <w:tcPr>
            <w:tcW w:w="3717" w:type="dxa"/>
            <w:shd w:val="clear" w:color="auto" w:fill="auto"/>
          </w:tcPr>
          <w:p w:rsidR="00C80E10" w:rsidRPr="00D71DAC" w:rsidRDefault="00C80E10" w:rsidP="00AA3783">
            <w:pPr>
              <w:rPr>
                <w:rFonts w:ascii="Arial" w:hAnsi="Arial" w:cs="Arial"/>
                <w:sz w:val="20"/>
                <w:szCs w:val="20"/>
                <w:lang w:val="en-GB"/>
              </w:rPr>
            </w:pPr>
          </w:p>
        </w:tc>
      </w:tr>
    </w:tbl>
    <w:p w:rsidR="00C80E10" w:rsidRPr="00D71DAC" w:rsidRDefault="00C80E10" w:rsidP="00C80E10">
      <w:pPr>
        <w:rPr>
          <w:rFonts w:ascii="Arial" w:hAnsi="Arial" w:cs="Arial"/>
          <w:sz w:val="16"/>
          <w:szCs w:val="16"/>
          <w:lang w:val="en-GB"/>
        </w:rPr>
      </w:pPr>
      <w:r w:rsidRPr="00D71DAC">
        <w:rPr>
          <w:rFonts w:ascii="Arial" w:hAnsi="Arial" w:cs="Arial"/>
          <w:sz w:val="16"/>
          <w:szCs w:val="16"/>
          <w:lang w:val="en-GB"/>
        </w:rPr>
        <w:t xml:space="preserve">*in the presence of 0.1 </w:t>
      </w:r>
      <w:proofErr w:type="spellStart"/>
      <w:r w:rsidRPr="00D71DAC">
        <w:rPr>
          <w:rFonts w:ascii="Arial" w:hAnsi="Arial" w:cs="Arial"/>
          <w:sz w:val="16"/>
          <w:szCs w:val="16"/>
          <w:lang w:val="en-GB"/>
        </w:rPr>
        <w:t>mM</w:t>
      </w:r>
      <w:proofErr w:type="spellEnd"/>
      <w:r w:rsidRPr="00D71DAC">
        <w:rPr>
          <w:rFonts w:ascii="Arial" w:hAnsi="Arial" w:cs="Arial"/>
          <w:sz w:val="16"/>
          <w:szCs w:val="16"/>
          <w:lang w:val="en-GB"/>
        </w:rPr>
        <w:t xml:space="preserve"> FBP</w:t>
      </w:r>
    </w:p>
    <w:p w:rsidR="00C80E10" w:rsidRPr="00D71DAC" w:rsidRDefault="00C80E10" w:rsidP="00C80E10">
      <w:pPr>
        <w:rPr>
          <w:rFonts w:ascii="Arial" w:hAnsi="Arial" w:cs="Arial"/>
          <w:sz w:val="16"/>
          <w:szCs w:val="16"/>
          <w:lang w:val="en-GB"/>
        </w:rPr>
      </w:pPr>
      <w:r w:rsidRPr="00D71DAC">
        <w:rPr>
          <w:rFonts w:ascii="Arial" w:hAnsi="Arial" w:cs="Arial"/>
          <w:sz w:val="16"/>
          <w:szCs w:val="16"/>
          <w:vertAlign w:val="superscript"/>
          <w:lang w:val="en-GB"/>
        </w:rPr>
        <w:t xml:space="preserve">$ </w:t>
      </w:r>
      <w:proofErr w:type="gramStart"/>
      <w:r w:rsidRPr="00D71DAC">
        <w:rPr>
          <w:rFonts w:ascii="Arial" w:hAnsi="Arial" w:cs="Arial"/>
          <w:sz w:val="16"/>
          <w:szCs w:val="16"/>
          <w:lang w:val="en-GB"/>
        </w:rPr>
        <w:t>the</w:t>
      </w:r>
      <w:proofErr w:type="gramEnd"/>
      <w:r w:rsidRPr="00D71DAC">
        <w:rPr>
          <w:rFonts w:ascii="Arial" w:hAnsi="Arial" w:cs="Arial"/>
          <w:sz w:val="16"/>
          <w:szCs w:val="16"/>
          <w:lang w:val="en-GB"/>
        </w:rPr>
        <w:t xml:space="preserve"> model parameters describe the ratio of ligand binding and ligand dissociation and are therefore not directly comparable with experimentally measured k</w:t>
      </w:r>
      <w:r w:rsidRPr="00D71DAC">
        <w:rPr>
          <w:rFonts w:ascii="Arial" w:hAnsi="Arial" w:cs="Arial"/>
          <w:sz w:val="16"/>
          <w:szCs w:val="16"/>
          <w:vertAlign w:val="subscript"/>
          <w:lang w:val="en-GB"/>
        </w:rPr>
        <w:t>a0.5v</w:t>
      </w:r>
      <w:r w:rsidRPr="00D71DAC">
        <w:rPr>
          <w:rFonts w:ascii="Arial" w:hAnsi="Arial" w:cs="Arial"/>
          <w:sz w:val="16"/>
          <w:szCs w:val="16"/>
          <w:lang w:val="en-GB"/>
        </w:rPr>
        <w:t xml:space="preserve"> and k</w:t>
      </w:r>
      <w:r w:rsidRPr="00D71DAC">
        <w:rPr>
          <w:rFonts w:ascii="Arial" w:hAnsi="Arial" w:cs="Arial"/>
          <w:sz w:val="16"/>
          <w:szCs w:val="16"/>
          <w:vertAlign w:val="subscript"/>
          <w:lang w:val="en-GB"/>
        </w:rPr>
        <w:t>i0.5v</w:t>
      </w:r>
      <w:r w:rsidRPr="00D71DAC">
        <w:rPr>
          <w:rFonts w:ascii="Arial" w:hAnsi="Arial" w:cs="Arial"/>
          <w:sz w:val="16"/>
          <w:szCs w:val="16"/>
          <w:lang w:val="en-GB"/>
        </w:rPr>
        <w:t xml:space="preserve"> values.</w:t>
      </w:r>
    </w:p>
    <w:p w:rsidR="00C80E10" w:rsidRPr="00D71DAC" w:rsidRDefault="00C80E10" w:rsidP="00C80E10">
      <w:pPr>
        <w:rPr>
          <w:rFonts w:ascii="Arial" w:hAnsi="Arial" w:cs="Arial"/>
          <w:sz w:val="16"/>
          <w:szCs w:val="16"/>
          <w:lang w:val="en-GB"/>
        </w:rPr>
      </w:pPr>
      <w:r w:rsidRPr="00D71DAC">
        <w:rPr>
          <w:rFonts w:ascii="Arial" w:hAnsi="Arial" w:cs="Arial"/>
          <w:sz w:val="16"/>
          <w:szCs w:val="16"/>
          <w:vertAlign w:val="superscript"/>
          <w:lang w:val="en-GB"/>
        </w:rPr>
        <w:t xml:space="preserve">§ </w:t>
      </w:r>
      <w:r w:rsidRPr="00D71DAC">
        <w:rPr>
          <w:rFonts w:ascii="Arial" w:hAnsi="Arial" w:cs="Arial"/>
          <w:sz w:val="16"/>
          <w:szCs w:val="16"/>
          <w:lang w:val="en-GB"/>
        </w:rPr>
        <w:t>represents the second reaction that consumes the product pyruvate (PYR) of the PYK reaction, following the experimental set-up; the reaction is described by mass action.</w:t>
      </w:r>
    </w:p>
    <w:p w:rsidR="00C80E10" w:rsidRPr="001D3502" w:rsidRDefault="00C80E10" w:rsidP="00C80E10">
      <w:pPr>
        <w:rPr>
          <w:rFonts w:ascii="Arial" w:hAnsi="Arial" w:cs="Arial"/>
          <w:sz w:val="18"/>
          <w:szCs w:val="18"/>
          <w:lang w:val="en-GB"/>
        </w:rPr>
      </w:pPr>
    </w:p>
    <w:p w:rsidR="00FE4B58" w:rsidRPr="00C80E10" w:rsidRDefault="00FE4B58">
      <w:pPr>
        <w:rPr>
          <w:lang w:val="en-GB"/>
        </w:rPr>
      </w:pPr>
    </w:p>
    <w:sectPr w:rsidR="00FE4B58" w:rsidRPr="00C80E1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10"/>
    <w:rsid w:val="009269D7"/>
    <w:rsid w:val="00AD5FC2"/>
    <w:rsid w:val="00C80E10"/>
    <w:rsid w:val="00FE4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E10"/>
    <w:pPr>
      <w:widowControl w:val="0"/>
      <w:suppressAutoHyphens/>
      <w:spacing w:after="0" w:line="240" w:lineRule="auto"/>
    </w:pPr>
    <w:rPr>
      <w:rFonts w:ascii="Liberation Serif" w:eastAsia="WenQuanYi Micro Hei" w:hAnsi="Liberation Serif" w:cs="Lohit Hindi"/>
      <w:kern w:val="1"/>
      <w:sz w:val="24"/>
      <w:szCs w:val="24"/>
      <w:lang w:val="en-US"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80E10"/>
    <w:pPr>
      <w:widowControl w:val="0"/>
      <w:suppressAutoHyphens/>
      <w:spacing w:after="0" w:line="240" w:lineRule="auto"/>
    </w:pPr>
    <w:rPr>
      <w:rFonts w:ascii="Liberation Serif" w:eastAsia="WenQuanYi Micro Hei" w:hAnsi="Liberation Serif" w:cs="Lohit Hindi"/>
      <w:kern w:val="1"/>
      <w:sz w:val="24"/>
      <w:szCs w:val="24"/>
      <w:lang w:val="en-US"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1716</Words>
  <Characters>9786</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1</cp:revision>
  <dcterms:created xsi:type="dcterms:W3CDTF">2013-02-22T09:42:00Z</dcterms:created>
  <dcterms:modified xsi:type="dcterms:W3CDTF">2013-02-22T09:42:00Z</dcterms:modified>
</cp:coreProperties>
</file>