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9CF49D" w14:textId="77777777" w:rsidR="00EF70D0" w:rsidRPr="00C8638C" w:rsidRDefault="00EF70D0" w:rsidP="00EF70D0">
      <w:pPr>
        <w:spacing w:line="480" w:lineRule="auto"/>
        <w:jc w:val="center"/>
        <w:rPr>
          <w:rFonts w:ascii="Times New Roman" w:hAnsi="Times New Roman" w:cs="Times New Roman"/>
          <w:b/>
          <w:bCs/>
        </w:rPr>
      </w:pPr>
      <w:r w:rsidRPr="00C8638C">
        <w:rPr>
          <w:rFonts w:ascii="Times New Roman" w:eastAsia="Times New Roman" w:hAnsi="Times New Roman" w:cs="Times New Roman"/>
          <w:b/>
          <w:bCs/>
        </w:rPr>
        <w:t>S1 Table.</w:t>
      </w:r>
      <w:r w:rsidRPr="00C8638C">
        <w:rPr>
          <w:rFonts w:ascii="Times New Roman" w:eastAsia="Times New Roman" w:hAnsi="Times New Roman" w:cs="Times New Roman"/>
        </w:rPr>
        <w:t xml:space="preserve"> </w:t>
      </w:r>
      <w:r w:rsidRPr="00C8638C">
        <w:rPr>
          <w:rFonts w:ascii="Times New Roman" w:eastAsia="Times New Roman" w:hAnsi="Times New Roman" w:cs="Times New Roman"/>
          <w:b/>
          <w:bCs/>
        </w:rPr>
        <w:t>Ranges of the parameters for randomization</w:t>
      </w:r>
    </w:p>
    <w:tbl>
      <w:tblPr>
        <w:tblStyle w:val="TableGrid"/>
        <w:tblW w:w="0" w:type="auto"/>
        <w:tblInd w:w="648" w:type="dxa"/>
        <w:tblLook w:val="04A0" w:firstRow="1" w:lastRow="0" w:firstColumn="1" w:lastColumn="0" w:noHBand="0" w:noVBand="1"/>
      </w:tblPr>
      <w:tblGrid>
        <w:gridCol w:w="3780"/>
        <w:gridCol w:w="3330"/>
      </w:tblGrid>
      <w:tr w:rsidR="00EF70D0" w:rsidRPr="00C8638C" w14:paraId="5FEF2720" w14:textId="77777777" w:rsidTr="003D10C6">
        <w:tc>
          <w:tcPr>
            <w:tcW w:w="3780" w:type="dxa"/>
            <w:vAlign w:val="center"/>
          </w:tcPr>
          <w:p w14:paraId="22610B78" w14:textId="77777777" w:rsidR="00EF70D0" w:rsidRPr="00C8638C" w:rsidRDefault="00EF70D0" w:rsidP="003D10C6">
            <w:pPr>
              <w:spacing w:line="480" w:lineRule="auto"/>
              <w:jc w:val="both"/>
              <w:rPr>
                <w:rFonts w:ascii="Times New Roman" w:hAnsi="Times New Roman" w:cs="Times New Roman"/>
                <w:bCs/>
              </w:rPr>
            </w:pPr>
            <w:r w:rsidRPr="00C8638C">
              <w:rPr>
                <w:rFonts w:ascii="Times New Roman" w:eastAsia="Times New Roman" w:hAnsi="Times New Roman" w:cs="Times New Roman"/>
              </w:rPr>
              <w:t>Parameter</w:t>
            </w:r>
          </w:p>
        </w:tc>
        <w:tc>
          <w:tcPr>
            <w:tcW w:w="3330" w:type="dxa"/>
            <w:vAlign w:val="center"/>
          </w:tcPr>
          <w:p w14:paraId="0001CBAC" w14:textId="77777777" w:rsidR="00EF70D0" w:rsidRPr="00C8638C" w:rsidRDefault="00EF70D0" w:rsidP="003D10C6">
            <w:pPr>
              <w:spacing w:line="480" w:lineRule="auto"/>
              <w:jc w:val="both"/>
              <w:rPr>
                <w:rFonts w:ascii="Times New Roman" w:hAnsi="Times New Roman" w:cs="Times New Roman"/>
                <w:bCs/>
              </w:rPr>
            </w:pPr>
            <w:r w:rsidRPr="00C8638C">
              <w:rPr>
                <w:rFonts w:ascii="Times New Roman" w:hAnsi="Times New Roman" w:cs="Times New Roman"/>
                <w:bCs/>
              </w:rPr>
              <w:t>Range</w:t>
            </w:r>
            <w:r w:rsidRPr="00C8638C">
              <w:rPr>
                <w:rFonts w:ascii="Times New Roman" w:hAnsi="Times New Roman" w:cs="Times New Roman"/>
                <w:bCs/>
                <w:vertAlign w:val="superscript"/>
              </w:rPr>
              <w:t>#</w:t>
            </w:r>
          </w:p>
        </w:tc>
      </w:tr>
      <w:tr w:rsidR="00EF70D0" w:rsidRPr="00C8638C" w14:paraId="063CC03A" w14:textId="77777777" w:rsidTr="003D10C6">
        <w:tc>
          <w:tcPr>
            <w:tcW w:w="3780" w:type="dxa"/>
            <w:vAlign w:val="center"/>
          </w:tcPr>
          <w:p w14:paraId="74BCE5D1" w14:textId="77777777" w:rsidR="00EF70D0" w:rsidRPr="00C8638C" w:rsidRDefault="00EF70D0" w:rsidP="003D10C6">
            <w:pPr>
              <w:spacing w:line="480" w:lineRule="auto"/>
              <w:jc w:val="both"/>
              <w:rPr>
                <w:rFonts w:ascii="Times New Roman" w:hAnsi="Times New Roman" w:cs="Times New Roman"/>
                <w:bCs/>
              </w:rPr>
            </w:pPr>
            <w:r w:rsidRPr="00C8638C">
              <w:rPr>
                <w:rFonts w:ascii="Times New Roman" w:hAnsi="Times New Roman" w:cs="Times New Roman"/>
                <w:bCs/>
              </w:rPr>
              <w:t>Maximum production rate (</w:t>
            </w:r>
            <w:r w:rsidRPr="00C8638C">
              <w:rPr>
                <w:rFonts w:ascii="Times New Roman" w:eastAsia="SimSun" w:hAnsi="Times New Roman" w:cs="Times New Roman"/>
                <w:noProof/>
                <w:kern w:val="2"/>
                <w:position w:val="-4"/>
              </w:rPr>
              <w:drawing>
                <wp:inline distT="0" distB="0" distL="0" distR="0" wp14:anchorId="5283FA24" wp14:editId="2C201364">
                  <wp:extent cx="161925" cy="1524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1925" cy="152400"/>
                          </a:xfrm>
                          <a:prstGeom prst="rect">
                            <a:avLst/>
                          </a:prstGeom>
                          <a:noFill/>
                          <a:ln>
                            <a:noFill/>
                          </a:ln>
                        </pic:spPr>
                      </pic:pic>
                    </a:graphicData>
                  </a:graphic>
                </wp:inline>
              </w:drawing>
            </w:r>
            <w:r w:rsidRPr="00C8638C">
              <w:rPr>
                <w:rFonts w:ascii="Times New Roman" w:hAnsi="Times New Roman" w:cs="Times New Roman"/>
                <w:bCs/>
              </w:rPr>
              <w:t>)</w:t>
            </w:r>
          </w:p>
        </w:tc>
        <w:tc>
          <w:tcPr>
            <w:tcW w:w="3330" w:type="dxa"/>
            <w:vAlign w:val="center"/>
          </w:tcPr>
          <w:p w14:paraId="0DC97FE9" w14:textId="77777777" w:rsidR="00EF70D0" w:rsidRPr="00C8638C" w:rsidRDefault="00EF70D0" w:rsidP="003D10C6">
            <w:pPr>
              <w:spacing w:line="480" w:lineRule="auto"/>
              <w:jc w:val="both"/>
              <w:rPr>
                <w:rFonts w:ascii="Times New Roman" w:hAnsi="Times New Roman" w:cs="Times New Roman"/>
                <w:bCs/>
              </w:rPr>
            </w:pPr>
            <w:r w:rsidRPr="00C8638C">
              <w:rPr>
                <w:rFonts w:ascii="Times New Roman" w:hAnsi="Times New Roman" w:cs="Times New Roman"/>
                <w:bCs/>
              </w:rPr>
              <w:t>1-100</w:t>
            </w:r>
          </w:p>
        </w:tc>
      </w:tr>
      <w:tr w:rsidR="00EF70D0" w:rsidRPr="00C8638C" w14:paraId="653676C5" w14:textId="77777777" w:rsidTr="003D10C6">
        <w:trPr>
          <w:trHeight w:val="305"/>
        </w:trPr>
        <w:tc>
          <w:tcPr>
            <w:tcW w:w="3780" w:type="dxa"/>
            <w:vAlign w:val="center"/>
          </w:tcPr>
          <w:p w14:paraId="63A7157C" w14:textId="77777777" w:rsidR="00EF70D0" w:rsidRPr="00C8638C" w:rsidRDefault="00EF70D0" w:rsidP="003D10C6">
            <w:pPr>
              <w:spacing w:line="480" w:lineRule="auto"/>
              <w:jc w:val="both"/>
              <w:rPr>
                <w:rFonts w:ascii="Times New Roman" w:hAnsi="Times New Roman" w:cs="Times New Roman"/>
                <w:bCs/>
              </w:rPr>
            </w:pPr>
            <w:r w:rsidRPr="00C8638C">
              <w:rPr>
                <w:rFonts w:ascii="Times New Roman" w:hAnsi="Times New Roman" w:cs="Times New Roman"/>
                <w:bCs/>
              </w:rPr>
              <w:t>Degradation rate (</w:t>
            </w:r>
            <w:r w:rsidRPr="00C8638C">
              <w:rPr>
                <w:rFonts w:ascii="Times New Roman" w:eastAsia="SimSun" w:hAnsi="Times New Roman" w:cs="Times New Roman"/>
                <w:noProof/>
                <w:kern w:val="2"/>
                <w:position w:val="-4"/>
              </w:rPr>
              <w:drawing>
                <wp:inline distT="0" distB="0" distL="0" distR="0" wp14:anchorId="6594B4C6" wp14:editId="14E7FAC8">
                  <wp:extent cx="133350" cy="16192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61925"/>
                          </a:xfrm>
                          <a:prstGeom prst="rect">
                            <a:avLst/>
                          </a:prstGeom>
                          <a:noFill/>
                          <a:ln>
                            <a:noFill/>
                          </a:ln>
                        </pic:spPr>
                      </pic:pic>
                    </a:graphicData>
                  </a:graphic>
                </wp:inline>
              </w:drawing>
            </w:r>
            <w:r w:rsidRPr="00C8638C">
              <w:rPr>
                <w:rFonts w:ascii="Times New Roman" w:hAnsi="Times New Roman" w:cs="Times New Roman"/>
                <w:bCs/>
              </w:rPr>
              <w:t>)</w:t>
            </w:r>
          </w:p>
        </w:tc>
        <w:tc>
          <w:tcPr>
            <w:tcW w:w="3330" w:type="dxa"/>
            <w:vAlign w:val="center"/>
          </w:tcPr>
          <w:p w14:paraId="1BF01A87" w14:textId="77777777" w:rsidR="00EF70D0" w:rsidRPr="00C8638C" w:rsidRDefault="00EF70D0" w:rsidP="003D10C6">
            <w:pPr>
              <w:spacing w:line="480" w:lineRule="auto"/>
              <w:jc w:val="both"/>
              <w:rPr>
                <w:rFonts w:ascii="Times New Roman" w:hAnsi="Times New Roman" w:cs="Times New Roman"/>
                <w:bCs/>
              </w:rPr>
            </w:pPr>
            <w:r w:rsidRPr="00C8638C">
              <w:rPr>
                <w:rFonts w:ascii="Times New Roman" w:hAnsi="Times New Roman" w:cs="Times New Roman"/>
                <w:bCs/>
              </w:rPr>
              <w:t>0.1-1</w:t>
            </w:r>
          </w:p>
        </w:tc>
      </w:tr>
      <w:tr w:rsidR="00EF70D0" w:rsidRPr="00C8638C" w14:paraId="68CD1291" w14:textId="77777777" w:rsidTr="003D10C6">
        <w:tc>
          <w:tcPr>
            <w:tcW w:w="3780" w:type="dxa"/>
            <w:vAlign w:val="center"/>
          </w:tcPr>
          <w:p w14:paraId="75775993" w14:textId="77777777" w:rsidR="00EF70D0" w:rsidRPr="00C8638C" w:rsidRDefault="00EF70D0" w:rsidP="003D10C6">
            <w:pPr>
              <w:spacing w:line="480" w:lineRule="auto"/>
              <w:jc w:val="both"/>
              <w:rPr>
                <w:rFonts w:ascii="Times New Roman" w:hAnsi="Times New Roman" w:cs="Times New Roman"/>
                <w:bCs/>
              </w:rPr>
            </w:pPr>
            <w:r w:rsidRPr="00C8638C">
              <w:rPr>
                <w:rFonts w:ascii="Times New Roman" w:hAnsi="Times New Roman" w:cs="Times New Roman"/>
                <w:bCs/>
              </w:rPr>
              <w:t>Fold change (</w:t>
            </w:r>
            <w:r w:rsidRPr="00C8638C">
              <w:rPr>
                <w:rFonts w:ascii="Times New Roman" w:eastAsia="SimSun" w:hAnsi="Times New Roman" w:cs="Times New Roman"/>
                <w:noProof/>
                <w:kern w:val="2"/>
                <w:position w:val="-6"/>
              </w:rPr>
              <w:drawing>
                <wp:inline distT="0" distB="0" distL="0" distR="0" wp14:anchorId="228C7EE2" wp14:editId="02EC6EBC">
                  <wp:extent cx="152400" cy="1905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90500"/>
                          </a:xfrm>
                          <a:prstGeom prst="rect">
                            <a:avLst/>
                          </a:prstGeom>
                          <a:noFill/>
                          <a:ln>
                            <a:noFill/>
                          </a:ln>
                        </pic:spPr>
                      </pic:pic>
                    </a:graphicData>
                  </a:graphic>
                </wp:inline>
              </w:drawing>
            </w:r>
            <w:r w:rsidRPr="00C8638C">
              <w:rPr>
                <w:rFonts w:ascii="Times New Roman" w:hAnsi="Times New Roman" w:cs="Times New Roman"/>
                <w:bCs/>
              </w:rPr>
              <w:t>)</w:t>
            </w:r>
            <w:r w:rsidRPr="00C8638C">
              <w:rPr>
                <w:rFonts w:ascii="Times New Roman" w:hAnsi="Times New Roman" w:cs="Times New Roman"/>
                <w:bCs/>
                <w:vertAlign w:val="superscript"/>
              </w:rPr>
              <w:t>*</w:t>
            </w:r>
          </w:p>
        </w:tc>
        <w:tc>
          <w:tcPr>
            <w:tcW w:w="3330" w:type="dxa"/>
            <w:vAlign w:val="center"/>
          </w:tcPr>
          <w:p w14:paraId="7EB45FD3" w14:textId="77777777" w:rsidR="00EF70D0" w:rsidRPr="00C8638C" w:rsidRDefault="00EF70D0" w:rsidP="003D10C6">
            <w:pPr>
              <w:spacing w:line="480" w:lineRule="auto"/>
              <w:jc w:val="both"/>
              <w:rPr>
                <w:rFonts w:ascii="Times New Roman" w:hAnsi="Times New Roman" w:cs="Times New Roman"/>
                <w:bCs/>
              </w:rPr>
            </w:pPr>
            <w:r w:rsidRPr="00C8638C">
              <w:rPr>
                <w:rFonts w:ascii="Times New Roman" w:hAnsi="Times New Roman" w:cs="Times New Roman"/>
                <w:bCs/>
              </w:rPr>
              <w:t>1-100</w:t>
            </w:r>
          </w:p>
        </w:tc>
      </w:tr>
      <w:tr w:rsidR="00EF70D0" w:rsidRPr="00C8638C" w14:paraId="1D997D68" w14:textId="77777777" w:rsidTr="003D10C6">
        <w:tc>
          <w:tcPr>
            <w:tcW w:w="3780" w:type="dxa"/>
            <w:vAlign w:val="center"/>
          </w:tcPr>
          <w:p w14:paraId="1E4E3AB1" w14:textId="77777777" w:rsidR="00EF70D0" w:rsidRPr="00C8638C" w:rsidRDefault="00EF70D0" w:rsidP="003D10C6">
            <w:pPr>
              <w:spacing w:line="480" w:lineRule="auto"/>
              <w:jc w:val="both"/>
              <w:rPr>
                <w:rFonts w:ascii="Times New Roman" w:hAnsi="Times New Roman" w:cs="Times New Roman"/>
                <w:bCs/>
              </w:rPr>
            </w:pPr>
            <w:r w:rsidRPr="00C8638C">
              <w:rPr>
                <w:rFonts w:ascii="Times New Roman" w:hAnsi="Times New Roman" w:cs="Times New Roman"/>
                <w:bCs/>
              </w:rPr>
              <w:t>Threshold (</w:t>
            </w:r>
            <w:r w:rsidRPr="00C8638C">
              <w:rPr>
                <w:rFonts w:ascii="Times New Roman" w:hAnsi="Times New Roman" w:cs="Times New Roman"/>
                <w:bCs/>
                <w:kern w:val="2"/>
                <w:position w:val="-12"/>
                <w:lang w:eastAsia="zh-CN"/>
              </w:rPr>
              <w:object w:dxaOrig="340" w:dyaOrig="380" w14:anchorId="7FA70F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1pt;height:19.15pt" o:ole="">
                  <v:imagedata r:id="rId7" o:title=""/>
                </v:shape>
                <o:OLEObject Type="Embed" ProgID="Equation.DSMT4" ShapeID="_x0000_i1025" DrawAspect="Content" ObjectID="_1548051946" r:id="rId8"/>
              </w:object>
            </w:r>
            <w:r w:rsidRPr="00C8638C">
              <w:rPr>
                <w:rFonts w:ascii="Times New Roman" w:hAnsi="Times New Roman" w:cs="Times New Roman"/>
                <w:bCs/>
              </w:rPr>
              <w:t>)</w:t>
            </w:r>
          </w:p>
        </w:tc>
        <w:tc>
          <w:tcPr>
            <w:tcW w:w="3330" w:type="dxa"/>
            <w:vAlign w:val="center"/>
          </w:tcPr>
          <w:p w14:paraId="3A2E4F00" w14:textId="77777777" w:rsidR="00EF70D0" w:rsidRPr="00C8638C" w:rsidRDefault="00EF70D0" w:rsidP="003D10C6">
            <w:pPr>
              <w:spacing w:line="480" w:lineRule="auto"/>
              <w:jc w:val="both"/>
              <w:rPr>
                <w:rFonts w:ascii="Times New Roman" w:hAnsi="Times New Roman" w:cs="Times New Roman"/>
                <w:bCs/>
              </w:rPr>
            </w:pPr>
            <w:r w:rsidRPr="00C8638C">
              <w:rPr>
                <w:rFonts w:ascii="Times New Roman" w:hAnsi="Times New Roman" w:cs="Times New Roman"/>
                <w:bCs/>
              </w:rPr>
              <w:t>Depend on inward regulations</w:t>
            </w:r>
          </w:p>
        </w:tc>
      </w:tr>
      <w:tr w:rsidR="00EF70D0" w:rsidRPr="00C8638C" w14:paraId="62016A07" w14:textId="77777777" w:rsidTr="003D10C6">
        <w:trPr>
          <w:trHeight w:val="377"/>
        </w:trPr>
        <w:tc>
          <w:tcPr>
            <w:tcW w:w="3780" w:type="dxa"/>
            <w:vAlign w:val="center"/>
          </w:tcPr>
          <w:p w14:paraId="246CC06C" w14:textId="77777777" w:rsidR="00EF70D0" w:rsidRPr="00C8638C" w:rsidRDefault="00EF70D0" w:rsidP="003D10C6">
            <w:pPr>
              <w:spacing w:line="480" w:lineRule="auto"/>
              <w:jc w:val="both"/>
              <w:rPr>
                <w:rFonts w:ascii="Times New Roman" w:hAnsi="Times New Roman" w:cs="Times New Roman"/>
                <w:bCs/>
              </w:rPr>
            </w:pPr>
            <w:r w:rsidRPr="00C8638C">
              <w:rPr>
                <w:rFonts w:ascii="Times New Roman" w:eastAsia="SimSun" w:hAnsi="Times New Roman" w:cs="Times New Roman"/>
              </w:rPr>
              <w:t>Cooperativity of the regulation</w:t>
            </w:r>
            <w:r w:rsidRPr="00C8638C">
              <w:rPr>
                <w:rFonts w:ascii="Times New Roman" w:hAnsi="Times New Roman" w:cs="Times New Roman"/>
                <w:bCs/>
              </w:rPr>
              <w:t xml:space="preserve"> (</w:t>
            </w:r>
            <w:r w:rsidRPr="00C8638C">
              <w:rPr>
                <w:rFonts w:ascii="Times New Roman" w:eastAsia="SimSun" w:hAnsi="Times New Roman" w:cs="Times New Roman"/>
                <w:noProof/>
                <w:kern w:val="2"/>
                <w:position w:val="-4"/>
              </w:rPr>
              <w:drawing>
                <wp:inline distT="0" distB="0" distL="0" distR="0" wp14:anchorId="7477644B" wp14:editId="234F7727">
                  <wp:extent cx="133350" cy="1333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C8638C">
              <w:rPr>
                <w:rFonts w:ascii="Times New Roman" w:hAnsi="Times New Roman" w:cs="Times New Roman"/>
                <w:bCs/>
              </w:rPr>
              <w:t>)</w:t>
            </w:r>
          </w:p>
        </w:tc>
        <w:tc>
          <w:tcPr>
            <w:tcW w:w="3330" w:type="dxa"/>
            <w:vAlign w:val="center"/>
          </w:tcPr>
          <w:p w14:paraId="7B1EA734" w14:textId="77777777" w:rsidR="00EF70D0" w:rsidRPr="00C8638C" w:rsidRDefault="00EF70D0" w:rsidP="003D10C6">
            <w:pPr>
              <w:spacing w:line="480" w:lineRule="auto"/>
              <w:jc w:val="both"/>
              <w:rPr>
                <w:rFonts w:ascii="Times New Roman" w:hAnsi="Times New Roman" w:cs="Times New Roman"/>
                <w:bCs/>
              </w:rPr>
            </w:pPr>
            <w:r w:rsidRPr="00C8638C">
              <w:rPr>
                <w:rFonts w:ascii="Times New Roman" w:hAnsi="Times New Roman" w:cs="Times New Roman"/>
                <w:bCs/>
              </w:rPr>
              <w:t>1, 2, 3, 4, 5, 6</w:t>
            </w:r>
          </w:p>
        </w:tc>
      </w:tr>
    </w:tbl>
    <w:p w14:paraId="6B4D7D5C" w14:textId="77777777" w:rsidR="00EF70D0" w:rsidRPr="00C8638C" w:rsidRDefault="00EF70D0" w:rsidP="00EF70D0">
      <w:pPr>
        <w:spacing w:line="480" w:lineRule="auto"/>
        <w:jc w:val="both"/>
        <w:rPr>
          <w:rFonts w:ascii="Times New Roman" w:hAnsi="Times New Roman" w:cs="Times New Roman"/>
          <w:vertAlign w:val="superscript"/>
        </w:rPr>
      </w:pPr>
    </w:p>
    <w:p w14:paraId="16CF2511" w14:textId="77777777" w:rsidR="00EF70D0" w:rsidRPr="00C8638C" w:rsidRDefault="00EF70D0" w:rsidP="00EF70D0">
      <w:pPr>
        <w:spacing w:line="480" w:lineRule="auto"/>
        <w:jc w:val="both"/>
        <w:rPr>
          <w:rFonts w:ascii="Times New Roman" w:hAnsi="Times New Roman" w:cs="Times New Roman"/>
        </w:rPr>
      </w:pPr>
      <w:r w:rsidRPr="00C8638C">
        <w:rPr>
          <w:rFonts w:ascii="Times New Roman" w:hAnsi="Times New Roman" w:cs="Times New Roman"/>
          <w:vertAlign w:val="superscript"/>
        </w:rPr>
        <w:t>#</w:t>
      </w:r>
      <w:r w:rsidRPr="00C8638C">
        <w:rPr>
          <w:rFonts w:ascii="Times New Roman" w:hAnsi="Times New Roman" w:cs="Times New Roman"/>
        </w:rPr>
        <w:t>Units: the range of values for each parameter may have different meanings/units for different organisms.  For example, the maximum production rate (G) can be 10</w:t>
      </w:r>
      <w:r w:rsidRPr="00C8638C">
        <w:rPr>
          <w:rFonts w:ascii="Times New Roman" w:hAnsi="Times New Roman" w:cs="Times New Roman"/>
          <w:vertAlign w:val="superscript"/>
        </w:rPr>
        <w:t>2</w:t>
      </w:r>
      <w:r w:rsidRPr="00C8638C">
        <w:rPr>
          <w:rFonts w:ascii="Times New Roman" w:hAnsi="Times New Roman" w:cs="Times New Roman"/>
        </w:rPr>
        <w:t xml:space="preserve"> – 10</w:t>
      </w:r>
      <w:r w:rsidRPr="00C8638C">
        <w:rPr>
          <w:rFonts w:ascii="Times New Roman" w:hAnsi="Times New Roman" w:cs="Times New Roman"/>
          <w:vertAlign w:val="superscript"/>
        </w:rPr>
        <w:t>4</w:t>
      </w:r>
      <w:r w:rsidRPr="00C8638C">
        <w:rPr>
          <w:rFonts w:ascii="Times New Roman" w:hAnsi="Times New Roman" w:cs="Times New Roman"/>
        </w:rPr>
        <w:t xml:space="preserve"> copies per hour per cell for E. </w:t>
      </w:r>
      <w:r w:rsidRPr="00C8638C">
        <w:rPr>
          <w:rFonts w:ascii="Times New Roman" w:hAnsi="Times New Roman" w:cs="Times New Roman"/>
          <w:i/>
        </w:rPr>
        <w:t>Coli</w:t>
      </w:r>
      <w:r w:rsidRPr="00C8638C">
        <w:rPr>
          <w:rFonts w:ascii="Times New Roman" w:hAnsi="Times New Roman" w:cs="Times New Roman"/>
        </w:rPr>
        <w:t>, and it can be 10</w:t>
      </w:r>
      <w:r w:rsidRPr="00C8638C">
        <w:rPr>
          <w:rFonts w:ascii="Times New Roman" w:hAnsi="Times New Roman" w:cs="Times New Roman"/>
          <w:vertAlign w:val="superscript"/>
        </w:rPr>
        <w:t>3</w:t>
      </w:r>
      <w:r w:rsidRPr="00C8638C">
        <w:rPr>
          <w:rFonts w:ascii="Times New Roman" w:hAnsi="Times New Roman" w:cs="Times New Roman"/>
        </w:rPr>
        <w:t xml:space="preserve"> - 10</w:t>
      </w:r>
      <w:r w:rsidRPr="00C8638C">
        <w:rPr>
          <w:rFonts w:ascii="Times New Roman" w:hAnsi="Times New Roman" w:cs="Times New Roman"/>
          <w:vertAlign w:val="superscript"/>
        </w:rPr>
        <w:t>5</w:t>
      </w:r>
      <w:r w:rsidRPr="00C8638C">
        <w:rPr>
          <w:rFonts w:ascii="Times New Roman" w:hAnsi="Times New Roman" w:cs="Times New Roman"/>
        </w:rPr>
        <w:t xml:space="preserve"> copies per hour per cell for H. </w:t>
      </w:r>
      <w:r w:rsidRPr="00C8638C">
        <w:rPr>
          <w:rFonts w:ascii="Times New Roman" w:hAnsi="Times New Roman" w:cs="Times New Roman"/>
          <w:i/>
        </w:rPr>
        <w:t>sapiens</w:t>
      </w:r>
      <w:r w:rsidRPr="00C8638C">
        <w:rPr>
          <w:rFonts w:ascii="Times New Roman" w:hAnsi="Times New Roman" w:cs="Times New Roman"/>
        </w:rPr>
        <w:t>.  The degradation rate (k) can be 0.1 – 1 hour</w:t>
      </w:r>
      <w:r w:rsidRPr="00C8638C">
        <w:rPr>
          <w:rFonts w:ascii="Times New Roman" w:hAnsi="Times New Roman" w:cs="Times New Roman"/>
          <w:vertAlign w:val="superscript"/>
        </w:rPr>
        <w:t xml:space="preserve">-1 </w:t>
      </w:r>
      <w:r w:rsidRPr="00C8638C">
        <w:rPr>
          <w:rFonts w:ascii="Times New Roman" w:hAnsi="Times New Roman" w:cs="Times New Roman"/>
        </w:rPr>
        <w:t xml:space="preserve">for E. </w:t>
      </w:r>
      <w:r w:rsidRPr="00C8638C">
        <w:rPr>
          <w:rFonts w:ascii="Times New Roman" w:hAnsi="Times New Roman" w:cs="Times New Roman"/>
          <w:i/>
        </w:rPr>
        <w:t>Coli</w:t>
      </w:r>
      <w:r w:rsidRPr="00C8638C">
        <w:rPr>
          <w:rFonts w:ascii="Times New Roman" w:hAnsi="Times New Roman" w:cs="Times New Roman"/>
        </w:rPr>
        <w:t>, and it can be 0.01 – 0.1 hour</w:t>
      </w:r>
      <w:r w:rsidRPr="00C8638C">
        <w:rPr>
          <w:rFonts w:ascii="Times New Roman" w:hAnsi="Times New Roman" w:cs="Times New Roman"/>
          <w:vertAlign w:val="superscript"/>
        </w:rPr>
        <w:t>-1</w:t>
      </w:r>
      <w:r w:rsidRPr="00C8638C">
        <w:rPr>
          <w:rFonts w:ascii="Times New Roman" w:hAnsi="Times New Roman" w:cs="Times New Roman"/>
        </w:rPr>
        <w:t xml:space="preserve"> for H. </w:t>
      </w:r>
      <w:r w:rsidRPr="00C8638C">
        <w:rPr>
          <w:rFonts w:ascii="Times New Roman" w:hAnsi="Times New Roman" w:cs="Times New Roman"/>
          <w:i/>
        </w:rPr>
        <w:t>sapiens</w:t>
      </w:r>
      <w:r w:rsidRPr="00C8638C">
        <w:rPr>
          <w:rFonts w:ascii="Times New Roman" w:hAnsi="Times New Roman" w:cs="Times New Roman"/>
        </w:rPr>
        <w:t xml:space="preserve"> (data inferred from bionumbers.org</w:t>
      </w:r>
      <w:r>
        <w:rPr>
          <w:rFonts w:ascii="Times New Roman" w:hAnsi="Times New Roman" w:cs="Times New Roman"/>
        </w:rPr>
        <w:fldChar w:fldCharType="begin"/>
      </w:r>
      <w:r>
        <w:rPr>
          <w:rFonts w:ascii="Times New Roman" w:hAnsi="Times New Roman" w:cs="Times New Roman"/>
        </w:rPr>
        <w:instrText xml:space="preserve"> ADDIN ZOTERO_ITEM CSL_CITATION {"citationID":"2initrja5b","properties":{"formattedCitation":"[1]","plainCitation":"[1]"},"citationItems":[{"id":97,"uris":["http://zotero.org/groups/368138/items/PRK5HVTE"],"uri":["http://zotero.org/groups/368138/items/PRK5HVTE"],"itemData":{"id":97,"type":"article-journal","title":"BioNumbers—the database of key numbers in molecular and cell biology","container-title":"Nucleic Acids Research","page":"D750-D753","volume":"38","issue":"Database issue","source":"PubMed Central","abstract":"BioNumbers (http://www.bionumbers.hms.harvard.edu) is a database of key numbers in molecular and cell biology—the quantitative properties of biological systems of interest to computational, systems and molecular cell biologists. Contents of the database range from cell sizes to metabolite concentrations, from reaction rates to generation times, from genome sizes to the number of mitochondria in a cell. While always of importance to biologists, having numbers in hand is becoming increasingly critical for experimenting, modeling, and analyzing biological systems. BioNumbers was motivated by an appreciation of how long it can take to find even the simplest number in the vast biological literature. All numbers are taken directly from a literature source and that reference is provided with the number. BioNumbers is designed to be highly searchable and queries can be performed by keywords or browsed by menus. BioNumbers is a collaborative community platform where registered users can add content and make comments on existing data. All new entries and commentary are curated to maintain high quality. Here we describe the database characteristics and implementation, demonstrate its use, and discuss future directions for its development.","DOI":"10.1093/nar/gkp889","ISSN":"0305-1048","note":"00178 PMID: 19854939\nPMCID: PMC2808940","journalAbbreviation":"Nucleic Acids Res","author":[{"family":"Milo","given":"Ron"},{"family":"Jorgensen","given":"Paul"},{"family":"Moran","given":"Uri"},{"family":"Weber","given":"Griffin"},{"family":"Springer","given":"Michael"}],"issued":{"date-parts":[["2010",1]]},"PMCID":"PMC2808940"}}],"schema":"https://github.com/citation-style-language/schema/raw/master/csl-citation.json"} </w:instrText>
      </w:r>
      <w:r>
        <w:rPr>
          <w:rFonts w:ascii="Times New Roman" w:hAnsi="Times New Roman" w:cs="Times New Roman"/>
        </w:rPr>
        <w:fldChar w:fldCharType="separate"/>
      </w:r>
      <w:r>
        <w:rPr>
          <w:rFonts w:ascii="Times New Roman" w:hAnsi="Times New Roman" w:cs="Times New Roman"/>
          <w:noProof/>
        </w:rPr>
        <w:t>[1]</w:t>
      </w:r>
      <w:r>
        <w:rPr>
          <w:rFonts w:ascii="Times New Roman" w:hAnsi="Times New Roman" w:cs="Times New Roman"/>
        </w:rPr>
        <w:fldChar w:fldCharType="end"/>
      </w:r>
      <w:r w:rsidRPr="00C8638C">
        <w:rPr>
          <w:rFonts w:ascii="Times New Roman" w:hAnsi="Times New Roman" w:cs="Times New Roman"/>
        </w:rPr>
        <w:t>).  In the current RACIPE method, the exact unit is not crucial to the results, because the gene expression data for all the RACIPE models were normalized before further analysis.</w:t>
      </w:r>
    </w:p>
    <w:p w14:paraId="23CDAD5B" w14:textId="77777777" w:rsidR="00EF70D0" w:rsidRDefault="00EF70D0" w:rsidP="00EF70D0">
      <w:pPr>
        <w:spacing w:line="480" w:lineRule="auto"/>
        <w:jc w:val="both"/>
        <w:rPr>
          <w:rFonts w:ascii="Times New Roman" w:eastAsia="SimSun" w:hAnsi="Times New Roman" w:cs="Times New Roman"/>
        </w:rPr>
      </w:pPr>
      <w:r w:rsidRPr="00C8638C">
        <w:rPr>
          <w:rFonts w:ascii="Times New Roman" w:hAnsi="Times New Roman" w:cs="Times New Roman"/>
          <w:vertAlign w:val="superscript"/>
        </w:rPr>
        <w:t>*</w:t>
      </w:r>
      <w:r w:rsidRPr="00C8638C">
        <w:rPr>
          <w:rFonts w:ascii="Times New Roman" w:hAnsi="Times New Roman" w:cs="Times New Roman"/>
        </w:rPr>
        <w:t xml:space="preserve">For inhibition, fold change ranges from </w:t>
      </w:r>
      <w:r w:rsidRPr="00C8638C">
        <w:rPr>
          <w:rFonts w:ascii="Times New Roman" w:eastAsia="SimSun" w:hAnsi="Times New Roman" w:cs="Times New Roman"/>
        </w:rPr>
        <w:t xml:space="preserve">0.01 to 1, but a uniform distribution is sampled for the inverse of </w:t>
      </w:r>
      <w:r w:rsidRPr="00C8638C">
        <w:rPr>
          <w:rFonts w:ascii="Times New Roman" w:hAnsi="Times New Roman" w:cs="Times New Roman"/>
          <w:noProof/>
          <w:kern w:val="2"/>
          <w:position w:val="-6"/>
        </w:rPr>
        <w:drawing>
          <wp:inline distT="0" distB="0" distL="0" distR="0" wp14:anchorId="3A9AC7D8" wp14:editId="5EF1778B">
            <wp:extent cx="152400" cy="1905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90500"/>
                    </a:xfrm>
                    <a:prstGeom prst="rect">
                      <a:avLst/>
                    </a:prstGeom>
                    <a:noFill/>
                    <a:ln>
                      <a:noFill/>
                    </a:ln>
                  </pic:spPr>
                </pic:pic>
              </a:graphicData>
            </a:graphic>
          </wp:inline>
        </w:drawing>
      </w:r>
      <w:r w:rsidRPr="00C8638C">
        <w:rPr>
          <w:rFonts w:ascii="Times New Roman" w:eastAsia="SimSun" w:hAnsi="Times New Roman" w:cs="Times New Roman"/>
        </w:rPr>
        <w:t>.</w:t>
      </w:r>
    </w:p>
    <w:p w14:paraId="24804E08" w14:textId="77777777" w:rsidR="00EF70D0" w:rsidRDefault="00EF70D0" w:rsidP="00EF70D0">
      <w:pPr>
        <w:spacing w:line="480" w:lineRule="auto"/>
        <w:jc w:val="both"/>
        <w:rPr>
          <w:rFonts w:ascii="Times New Roman" w:hAnsi="Times New Roman" w:cs="Times New Roman"/>
          <w:b/>
        </w:rPr>
      </w:pPr>
      <w:r w:rsidRPr="00EA3F21">
        <w:rPr>
          <w:rFonts w:ascii="Times New Roman" w:hAnsi="Times New Roman" w:cs="Times New Roman"/>
          <w:b/>
        </w:rPr>
        <w:t>References</w:t>
      </w:r>
    </w:p>
    <w:p w14:paraId="693E57CE" w14:textId="77777777" w:rsidR="00EF70D0" w:rsidRPr="00EF70D0" w:rsidRDefault="00EF70D0" w:rsidP="00EF70D0">
      <w:pPr>
        <w:pStyle w:val="Bibliography"/>
        <w:rPr>
          <w:rFonts w:ascii="Times New Roman" w:hAnsi="Times New Roman" w:cs="Times New Roman"/>
        </w:rPr>
      </w:pPr>
      <w:r>
        <w:rPr>
          <w:rFonts w:ascii="Times New Roman" w:eastAsia="SimSun" w:hAnsi="Times New Roman" w:cs="Times New Roman"/>
        </w:rPr>
        <w:fldChar w:fldCharType="begin"/>
      </w:r>
      <w:r>
        <w:rPr>
          <w:rFonts w:ascii="Times New Roman" w:eastAsia="SimSun" w:hAnsi="Times New Roman" w:cs="Times New Roman"/>
        </w:rPr>
        <w:instrText xml:space="preserve"> ADDIN ZOTERO_BIBL {"custom":[]} CSL_BIBLIOGRAPHY </w:instrText>
      </w:r>
      <w:r>
        <w:rPr>
          <w:rFonts w:ascii="Times New Roman" w:eastAsia="SimSun" w:hAnsi="Times New Roman" w:cs="Times New Roman"/>
        </w:rPr>
        <w:fldChar w:fldCharType="separate"/>
      </w:r>
      <w:r w:rsidRPr="00EF70D0">
        <w:rPr>
          <w:rFonts w:ascii="Times New Roman" w:hAnsi="Times New Roman" w:cs="Times New Roman"/>
        </w:rPr>
        <w:t xml:space="preserve">1. </w:t>
      </w:r>
      <w:r w:rsidRPr="00EF70D0">
        <w:rPr>
          <w:rFonts w:ascii="Times New Roman" w:hAnsi="Times New Roman" w:cs="Times New Roman"/>
        </w:rPr>
        <w:tab/>
        <w:t xml:space="preserve">Milo R, Jorgensen P, Moran U, Weber G, Springer M. </w:t>
      </w:r>
      <w:proofErr w:type="spellStart"/>
      <w:r w:rsidRPr="00EF70D0">
        <w:rPr>
          <w:rFonts w:ascii="Times New Roman" w:hAnsi="Times New Roman" w:cs="Times New Roman"/>
        </w:rPr>
        <w:t>BioNumbers</w:t>
      </w:r>
      <w:proofErr w:type="spellEnd"/>
      <w:r w:rsidRPr="00EF70D0">
        <w:rPr>
          <w:rFonts w:ascii="Times New Roman" w:hAnsi="Times New Roman" w:cs="Times New Roman"/>
        </w:rPr>
        <w:t>—the database of key numbers in molecular and cell biology. Nucleic Acids Res. 2010;38: D750–D753. doi:10.1093/</w:t>
      </w:r>
      <w:proofErr w:type="spellStart"/>
      <w:r w:rsidRPr="00EF70D0">
        <w:rPr>
          <w:rFonts w:ascii="Times New Roman" w:hAnsi="Times New Roman" w:cs="Times New Roman"/>
        </w:rPr>
        <w:t>nar</w:t>
      </w:r>
      <w:proofErr w:type="spellEnd"/>
      <w:r w:rsidRPr="00EF70D0">
        <w:rPr>
          <w:rFonts w:ascii="Times New Roman" w:hAnsi="Times New Roman" w:cs="Times New Roman"/>
        </w:rPr>
        <w:t>/gkp889</w:t>
      </w:r>
    </w:p>
    <w:p w14:paraId="17BB5DF1" w14:textId="77777777" w:rsidR="00EF70D0" w:rsidRDefault="00EF70D0" w:rsidP="00EF70D0">
      <w:pPr>
        <w:spacing w:line="480" w:lineRule="auto"/>
        <w:jc w:val="both"/>
        <w:rPr>
          <w:rFonts w:ascii="Times New Roman" w:eastAsia="SimSun" w:hAnsi="Times New Roman" w:cs="Times New Roman"/>
        </w:rPr>
      </w:pPr>
      <w:r>
        <w:rPr>
          <w:rFonts w:ascii="Times New Roman" w:eastAsia="SimSun" w:hAnsi="Times New Roman" w:cs="Times New Roman"/>
        </w:rPr>
        <w:fldChar w:fldCharType="end"/>
      </w:r>
      <w:bookmarkStart w:id="0" w:name="_GoBack"/>
      <w:bookmarkEnd w:id="0"/>
    </w:p>
    <w:p w14:paraId="0A0FB3CE" w14:textId="77777777" w:rsidR="00EF70D0" w:rsidRPr="00C8638C" w:rsidRDefault="00EF70D0" w:rsidP="00EF70D0">
      <w:pPr>
        <w:spacing w:line="480" w:lineRule="auto"/>
        <w:jc w:val="both"/>
        <w:rPr>
          <w:rFonts w:ascii="Times New Roman" w:hAnsi="Times New Roman" w:cs="Times New Roman"/>
        </w:rPr>
      </w:pPr>
    </w:p>
    <w:p w14:paraId="1771A3BB" w14:textId="77777777" w:rsidR="00C3006C" w:rsidRDefault="00C3006C"/>
    <w:sectPr w:rsidR="00C3006C" w:rsidSect="00F41E17">
      <w:pgSz w:w="12240" w:h="15840"/>
      <w:pgMar w:top="1440" w:right="1440" w:bottom="1440" w:left="1440" w:header="720" w:footer="720" w:gutter="0"/>
      <w:cols w:space="720"/>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auto"/>
    <w:pitch w:val="variable"/>
    <w:sig w:usb0="E0002AEF" w:usb1="C0007841" w:usb2="00000009" w:usb3="00000000" w:csb0="000001FF" w:csb1="00000000"/>
  </w:font>
  <w:font w:name="SimSun">
    <w:panose1 w:val="02010600030101010101"/>
    <w:charset w:val="86"/>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0D0"/>
    <w:rsid w:val="00996C03"/>
    <w:rsid w:val="00AB076B"/>
    <w:rsid w:val="00C3006C"/>
    <w:rsid w:val="00EF70D0"/>
    <w:rsid w:val="00F41E17"/>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ecimalSymbol w:val="."/>
  <w:listSeparator w:val=","/>
  <w14:docId w14:val="1128081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F70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F70D0"/>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ibliography">
    <w:name w:val="Bibliography"/>
    <w:basedOn w:val="Normal"/>
    <w:next w:val="Normal"/>
    <w:uiPriority w:val="37"/>
    <w:unhideWhenUsed/>
    <w:rsid w:val="00EF70D0"/>
    <w:pPr>
      <w:tabs>
        <w:tab w:val="left" w:pos="380"/>
      </w:tabs>
      <w:spacing w:after="240"/>
      <w:ind w:left="384" w:hanging="3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emf"/><Relationship Id="rId5" Type="http://schemas.openxmlformats.org/officeDocument/2006/relationships/image" Target="media/image2.emf"/><Relationship Id="rId6" Type="http://schemas.openxmlformats.org/officeDocument/2006/relationships/image" Target="media/image3.emf"/><Relationship Id="rId7" Type="http://schemas.openxmlformats.org/officeDocument/2006/relationships/image" Target="media/image4.emf"/><Relationship Id="rId8" Type="http://schemas.openxmlformats.org/officeDocument/2006/relationships/oleObject" Target="embeddings/oleObject1.bin"/><Relationship Id="rId9" Type="http://schemas.openxmlformats.org/officeDocument/2006/relationships/image" Target="media/image5.emf"/><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522</Words>
  <Characters>2981</Characters>
  <Application>Microsoft Macintosh Word</Application>
  <DocSecurity>0</DocSecurity>
  <Lines>24</Lines>
  <Paragraphs>6</Paragraphs>
  <ScaleCrop>false</ScaleCrop>
  <LinksUpToDate>false</LinksUpToDate>
  <CharactersWithSpaces>3497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Bin Huang</dc:creator>
  <cp:keywords/>
  <dc:description/>
  <cp:lastModifiedBy>Bin Huang</cp:lastModifiedBy>
  <cp:revision>1</cp:revision>
  <dcterms:created xsi:type="dcterms:W3CDTF">2017-02-08T15:38:00Z</dcterms:created>
  <dcterms:modified xsi:type="dcterms:W3CDTF">2017-02-08T15:39:00Z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zotero-version="4.0.29.5"&gt;&lt;session id="5EdZk2FD"/&gt;&lt;style id="http://www.zotero.org/styles/plos-computational-biology" hasBibliography="1" bibliographyStyleHasBeenSet="1"/&gt;&lt;prefs&gt;&lt;pref name="fieldType" value="Field"/&gt;&lt;pref name="stor</vt:lpwstr>
  </property>
  <property fmtid="{D5CDD505-2E9C-101B-9397-08002B2CF9AE}" pid="3" name="ZOTERO_PREF_2">
    <vt:lpwstr>eReferences" value="true"/&gt;&lt;pref name="automaticJournalAbbreviations" value="true"/&gt;&lt;pref name="noteType" value=""/&gt;&lt;/prefs&gt;&lt;/data&gt;</vt:lpwstr>
  </property>
</Properties>
</file>