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983" w:rsidRPr="00371ED0" w:rsidRDefault="002A3639" w:rsidP="00854983">
      <w:pPr>
        <w:pStyle w:val="ListParagraph"/>
        <w:spacing w:after="0"/>
        <w:ind w:left="0"/>
        <w:rPr>
          <w:b/>
          <w:sz w:val="28"/>
          <w:szCs w:val="28"/>
        </w:rPr>
      </w:pPr>
      <w:r w:rsidRPr="00371ED0">
        <w:rPr>
          <w:b/>
          <w:sz w:val="28"/>
          <w:szCs w:val="28"/>
        </w:rPr>
        <w:t>S1 Text</w:t>
      </w:r>
    </w:p>
    <w:p w:rsidR="00FF4512" w:rsidRPr="00371ED0" w:rsidRDefault="00FF4512" w:rsidP="00854983">
      <w:pPr>
        <w:pStyle w:val="ListParagraph"/>
        <w:spacing w:after="0"/>
        <w:ind w:left="0"/>
        <w:rPr>
          <w:b/>
          <w:sz w:val="28"/>
          <w:szCs w:val="28"/>
        </w:rPr>
      </w:pPr>
    </w:p>
    <w:p w:rsidR="00F65E77" w:rsidRPr="00371ED0" w:rsidRDefault="00F65E77" w:rsidP="00854983">
      <w:pPr>
        <w:rPr>
          <w:i/>
          <w:sz w:val="24"/>
          <w:szCs w:val="24"/>
        </w:rPr>
      </w:pPr>
      <w:r w:rsidRPr="00371ED0">
        <w:rPr>
          <w:i/>
          <w:sz w:val="24"/>
          <w:szCs w:val="24"/>
        </w:rPr>
        <w:t>Alternative model structures</w:t>
      </w:r>
    </w:p>
    <w:p w:rsidR="00854983" w:rsidRPr="00371ED0" w:rsidRDefault="00486A6D" w:rsidP="00F65E77">
      <w:pPr>
        <w:ind w:left="720" w:firstLine="720"/>
      </w:pPr>
      <w:r w:rsidRPr="00371ED0">
        <w:t xml:space="preserve">       </w:t>
      </w:r>
      <w:r w:rsidR="00F65E77" w:rsidRPr="00371ED0">
        <w:rPr>
          <w:noProof/>
          <w:lang w:val="en-AU" w:eastAsia="zh-CN"/>
        </w:rPr>
        <w:drawing>
          <wp:inline distT="0" distB="0" distL="0" distR="0" wp14:anchorId="0A4CA6D1" wp14:editId="39A843F8">
            <wp:extent cx="4048125" cy="3035869"/>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haniModel.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58747" cy="3043835"/>
                    </a:xfrm>
                    <a:prstGeom prst="rect">
                      <a:avLst/>
                    </a:prstGeom>
                  </pic:spPr>
                </pic:pic>
              </a:graphicData>
            </a:graphic>
          </wp:inline>
        </w:drawing>
      </w:r>
    </w:p>
    <w:p w:rsidR="00854983" w:rsidRPr="00371ED0" w:rsidRDefault="00107D88" w:rsidP="00854983">
      <w:pPr>
        <w:rPr>
          <w:sz w:val="20"/>
          <w:szCs w:val="20"/>
        </w:rPr>
      </w:pPr>
      <w:r w:rsidRPr="00371ED0">
        <w:rPr>
          <w:sz w:val="20"/>
          <w:szCs w:val="20"/>
        </w:rPr>
        <w:t xml:space="preserve">Figure </w:t>
      </w:r>
      <w:r w:rsidR="00854983" w:rsidRPr="00371ED0">
        <w:rPr>
          <w:sz w:val="20"/>
          <w:szCs w:val="20"/>
        </w:rPr>
        <w:t xml:space="preserve">1: The model of </w:t>
      </w:r>
      <w:proofErr w:type="spellStart"/>
      <w:r w:rsidR="00854983" w:rsidRPr="00371ED0">
        <w:rPr>
          <w:sz w:val="20"/>
          <w:szCs w:val="20"/>
        </w:rPr>
        <w:t>Rohani</w:t>
      </w:r>
      <w:proofErr w:type="spellEnd"/>
      <w:r w:rsidR="00854983" w:rsidRPr="00371ED0">
        <w:rPr>
          <w:sz w:val="20"/>
          <w:szCs w:val="20"/>
        </w:rPr>
        <w:t xml:space="preserve"> </w:t>
      </w:r>
      <w:r w:rsidR="00854983" w:rsidRPr="00371ED0">
        <w:rPr>
          <w:i/>
          <w:sz w:val="20"/>
          <w:szCs w:val="20"/>
        </w:rPr>
        <w:t>et al</w:t>
      </w:r>
      <w:r w:rsidR="00854983" w:rsidRPr="00371ED0">
        <w:rPr>
          <w:sz w:val="20"/>
          <w:szCs w:val="20"/>
        </w:rPr>
        <w:fldChar w:fldCharType="begin"/>
      </w:r>
      <w:r w:rsidR="007A6ECD" w:rsidRPr="00371ED0">
        <w:rPr>
          <w:sz w:val="20"/>
          <w:szCs w:val="20"/>
        </w:rPr>
        <w:instrText xml:space="preserve"> ADDIN EN.CITE &lt;EndNote&gt;&lt;Cite&gt;&lt;Author&gt;Rohani&lt;/Author&gt;&lt;Year&gt;2010&lt;/Year&gt;&lt;RecNum&gt;3&lt;/RecNum&gt;&lt;DisplayText&gt;[1]&lt;/DisplayText&gt;&lt;record&gt;&lt;rec-number&gt;3&lt;/rec-number&gt;&lt;foreign-keys&gt;&lt;key app="EN" db-id="ardtrdzw69092pe52phxsa2qpx5vdx9e9zpa"&gt;3&lt;/key&gt;&lt;/foreign-keys&gt;&lt;ref-type name="Journal Article"&gt;17&lt;/ref-type&gt;&lt;contributors&gt;&lt;authors&gt;&lt;author&gt;Rohani, P.&lt;/author&gt;&lt;author&gt;Zhong, X.&lt;/author&gt;&lt;author&gt;King, A. A.&lt;/author&gt;&lt;/authors&gt;&lt;/contributors&gt;&lt;auth-address&gt;Department of Ecology and Evolutionary Biology, University of Michigan, Ann Arbor, MI 48109, USA. rohani@umich.edu&lt;/auth-address&gt;&lt;titles&gt;&lt;title&gt;Contact network structure explains the changing epidemiology of pertussis&lt;/title&gt;&lt;secondary-title&gt;Science&lt;/secondary-title&gt;&lt;/titles&gt;&lt;periodical&gt;&lt;full-title&gt;Science&lt;/full-title&gt;&lt;/periodical&gt;&lt;pages&gt;982-5&lt;/pages&gt;&lt;volume&gt;330&lt;/volume&gt;&lt;number&gt;6006&lt;/number&gt;&lt;edition&gt;2010/11/13&lt;/edition&gt;&lt;keywords&gt;&lt;keyword&gt;Adolescent&lt;/keyword&gt;&lt;keyword&gt;Age Distribution&lt;/keyword&gt;&lt;keyword&gt;Age Factors&lt;/keyword&gt;&lt;keyword&gt;Child&lt;/keyword&gt;&lt;keyword&gt;Child, Preschool&lt;/keyword&gt;&lt;keyword&gt;Europe/epidemiology&lt;/keyword&gt;&lt;keyword&gt;Health Policy&lt;/keyword&gt;&lt;keyword&gt;Humans&lt;/keyword&gt;&lt;keyword&gt;Immunization Programs&lt;/keyword&gt;&lt;keyword&gt;Immunization, Secondary&lt;/keyword&gt;&lt;keyword&gt;Incidence&lt;/keyword&gt;&lt;keyword&gt;Infant&lt;/keyword&gt;&lt;keyword&gt;*Interpersonal Relations&lt;/keyword&gt;&lt;keyword&gt;Models, Statistical&lt;/keyword&gt;&lt;keyword&gt;Pertussis Vaccine&lt;/keyword&gt;&lt;keyword&gt;Prevalence&lt;/keyword&gt;&lt;keyword&gt;Sweden/epidemiology&lt;/keyword&gt;&lt;keyword&gt;Vaccines, Acellular&lt;/keyword&gt;&lt;keyword&gt;Whooping Cough/*epidemiology/prevention &amp;amp; control/transmission&lt;/keyword&gt;&lt;keyword&gt;Young Adult&lt;/keyword&gt;&lt;/keywords&gt;&lt;dates&gt;&lt;year&gt;2010&lt;/year&gt;&lt;pub-dates&gt;&lt;date&gt;Nov 12&lt;/date&gt;&lt;/pub-dates&gt;&lt;/dates&gt;&lt;isbn&gt;1095-9203 (Electronic)&amp;#xD;0036-8075 (Linking)&lt;/isbn&gt;&lt;accession-num&gt;21071671&lt;/accession-num&gt;&lt;urls&gt;&lt;related-urls&gt;&lt;url&gt;http://www.ncbi.nlm.nih.gov/pubmed/21071671&lt;/url&gt;&lt;/related-urls&gt;&lt;/urls&gt;&lt;electronic-resource-num&gt;330/6006/982 [pii]&amp;#xD;10.1126/science.1194134&lt;/electronic-resource-num&gt;&lt;language&gt;eng&lt;/language&gt;&lt;/record&gt;&lt;/Cite&gt;&lt;/EndNote&gt;</w:instrText>
      </w:r>
      <w:r w:rsidR="00854983" w:rsidRPr="00371ED0">
        <w:rPr>
          <w:sz w:val="20"/>
          <w:szCs w:val="20"/>
        </w:rPr>
        <w:fldChar w:fldCharType="separate"/>
      </w:r>
      <w:r w:rsidR="007A6ECD" w:rsidRPr="00371ED0">
        <w:rPr>
          <w:noProof/>
          <w:sz w:val="20"/>
          <w:szCs w:val="20"/>
        </w:rPr>
        <w:t>[</w:t>
      </w:r>
      <w:hyperlink w:anchor="_ENREF_1" w:tooltip="Rohani, 2010 #3" w:history="1">
        <w:r w:rsidR="007A6ECD" w:rsidRPr="00371ED0">
          <w:rPr>
            <w:noProof/>
            <w:sz w:val="20"/>
            <w:szCs w:val="20"/>
          </w:rPr>
          <w:t>1</w:t>
        </w:r>
      </w:hyperlink>
      <w:r w:rsidR="007A6ECD" w:rsidRPr="00371ED0">
        <w:rPr>
          <w:noProof/>
          <w:sz w:val="20"/>
          <w:szCs w:val="20"/>
        </w:rPr>
        <w:t>]</w:t>
      </w:r>
      <w:r w:rsidR="00854983" w:rsidRPr="00371ED0">
        <w:rPr>
          <w:sz w:val="20"/>
          <w:szCs w:val="20"/>
        </w:rPr>
        <w:fldChar w:fldCharType="end"/>
      </w:r>
      <w:r w:rsidR="00854983" w:rsidRPr="00371ED0">
        <w:rPr>
          <w:sz w:val="20"/>
          <w:szCs w:val="20"/>
        </w:rPr>
        <w:t>. This is a simple SEIR model in which a compartment is introduced to represent a latent period during which an individual is infected but not yet infectious. Note also that there is no exit from the recovered compartment, so that once an individual has recovered from an infection (or has been vaccinated) the induced immunity is lifelong.</w:t>
      </w:r>
    </w:p>
    <w:p w:rsidR="00854983" w:rsidRPr="00371ED0" w:rsidRDefault="00854983" w:rsidP="00854983">
      <w:pPr>
        <w:jc w:val="center"/>
      </w:pPr>
      <w:r w:rsidRPr="00371ED0">
        <w:rPr>
          <w:noProof/>
          <w:lang w:val="en-AU" w:eastAsia="zh-CN"/>
        </w:rPr>
        <w:drawing>
          <wp:inline distT="0" distB="0" distL="0" distR="0" wp14:anchorId="074442BC" wp14:editId="60C0DE44">
            <wp:extent cx="4127493" cy="3095393"/>
            <wp:effectExtent l="19050" t="0" r="6357"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vineMode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30596" cy="3097720"/>
                    </a:xfrm>
                    <a:prstGeom prst="rect">
                      <a:avLst/>
                    </a:prstGeom>
                  </pic:spPr>
                </pic:pic>
              </a:graphicData>
            </a:graphic>
          </wp:inline>
        </w:drawing>
      </w:r>
    </w:p>
    <w:p w:rsidR="00854983" w:rsidRPr="00371ED0" w:rsidRDefault="00107D88" w:rsidP="00854983">
      <w:pPr>
        <w:rPr>
          <w:sz w:val="20"/>
          <w:szCs w:val="20"/>
        </w:rPr>
      </w:pPr>
      <w:r w:rsidRPr="00371ED0">
        <w:rPr>
          <w:sz w:val="20"/>
          <w:szCs w:val="20"/>
        </w:rPr>
        <w:t xml:space="preserve">Figure </w:t>
      </w:r>
      <w:r w:rsidR="00854983" w:rsidRPr="00371ED0">
        <w:rPr>
          <w:sz w:val="20"/>
          <w:szCs w:val="20"/>
        </w:rPr>
        <w:t xml:space="preserve">2: The model of </w:t>
      </w:r>
      <w:proofErr w:type="spellStart"/>
      <w:r w:rsidR="00854983" w:rsidRPr="00371ED0">
        <w:rPr>
          <w:sz w:val="20"/>
          <w:szCs w:val="20"/>
        </w:rPr>
        <w:t>Lavine</w:t>
      </w:r>
      <w:proofErr w:type="spellEnd"/>
      <w:r w:rsidR="00854983" w:rsidRPr="00371ED0">
        <w:rPr>
          <w:sz w:val="20"/>
          <w:szCs w:val="20"/>
        </w:rPr>
        <w:t xml:space="preserve"> </w:t>
      </w:r>
      <w:r w:rsidR="00854983" w:rsidRPr="00371ED0">
        <w:rPr>
          <w:i/>
          <w:sz w:val="20"/>
          <w:szCs w:val="20"/>
        </w:rPr>
        <w:t>et al</w:t>
      </w:r>
      <w:r w:rsidR="00854983" w:rsidRPr="00371ED0">
        <w:rPr>
          <w:sz w:val="20"/>
          <w:szCs w:val="20"/>
        </w:rPr>
        <w:t xml:space="preserve"> </w:t>
      </w:r>
      <w:r w:rsidR="00854983" w:rsidRPr="00371ED0">
        <w:rPr>
          <w:sz w:val="20"/>
          <w:szCs w:val="20"/>
        </w:rPr>
        <w:fldChar w:fldCharType="begin"/>
      </w:r>
      <w:r w:rsidR="007A6ECD" w:rsidRPr="00371ED0">
        <w:rPr>
          <w:sz w:val="20"/>
          <w:szCs w:val="20"/>
        </w:rPr>
        <w:instrText xml:space="preserve"> ADDIN EN.CITE &lt;EndNote&gt;&lt;Cite&gt;&lt;Author&gt;Lavine&lt;/Author&gt;&lt;Year&gt;2011&lt;/Year&gt;&lt;RecNum&gt;2&lt;/RecNum&gt;&lt;DisplayText&gt;[2]&lt;/DisplayText&gt;&lt;record&gt;&lt;rec-number&gt;2&lt;/rec-number&gt;&lt;foreign-keys&gt;&lt;key app="EN" db-id="ardtrdzw69092pe52phxsa2qpx5vdx9e9zpa"&gt;2&lt;/key&gt;&lt;/foreign-keys&gt;&lt;ref-type name="Journal Article"&gt;17&lt;/ref-type&gt;&lt;contributors&gt;&lt;authors&gt;&lt;author&gt;Lavine, J. S.&lt;/author&gt;&lt;author&gt;King, A. A.&lt;/author&gt;&lt;author&gt;Bjornstad, O. N.&lt;/author&gt;&lt;/authors&gt;&lt;/contributors&gt;&lt;auth-address&gt;Department of Biology, Pennsylvania State University, University Park, PA 16802, USA. jsl236@psu.edu&lt;/auth-address&gt;&lt;titles&gt;&lt;title&gt;Natural immune boosting in pertussis dynamics and the potential for long-term vaccine failure&lt;/title&gt;&lt;secondary-title&gt;Proc Natl Acad Sci U S A&lt;/secondary-title&gt;&lt;/titles&gt;&lt;periodical&gt;&lt;full-title&gt;Proc Natl Acad Sci U S A&lt;/full-title&gt;&lt;/periodical&gt;&lt;pages&gt;7259-64&lt;/pages&gt;&lt;volume&gt;108&lt;/volume&gt;&lt;number&gt;17&lt;/number&gt;&lt;edition&gt;2011/03/23&lt;/edition&gt;&lt;keywords&gt;&lt;keyword&gt;Adolescent&lt;/keyword&gt;&lt;keyword&gt;Adult&lt;/keyword&gt;&lt;keyword&gt;Age Factors&lt;/keyword&gt;&lt;keyword&gt;Bordetella pertussis/*immunology&lt;/keyword&gt;&lt;keyword&gt;Female&lt;/keyword&gt;&lt;keyword&gt;Humans&lt;/keyword&gt;&lt;keyword&gt;Incidence&lt;/keyword&gt;&lt;keyword&gt;Male&lt;/keyword&gt;&lt;keyword&gt;Massachusetts/epidemiology&lt;/keyword&gt;&lt;keyword&gt;*Models, Immunological&lt;/keyword&gt;&lt;keyword&gt;Pertussis Vaccine/*immunology&lt;/keyword&gt;&lt;keyword&gt;Retrospective Studies&lt;/keyword&gt;&lt;keyword&gt;Time Factors&lt;/keyword&gt;&lt;keyword&gt;Whooping Cough/epidemiology/*immunology&lt;/keyword&gt;&lt;/keywords&gt;&lt;dates&gt;&lt;year&gt;2011&lt;/year&gt;&lt;pub-dates&gt;&lt;date&gt;Apr 26&lt;/date&gt;&lt;/pub-dates&gt;&lt;/dates&gt;&lt;isbn&gt;1091-6490 (Electronic)&amp;#xD;0027-8424 (Linking)&lt;/isbn&gt;&lt;accession-num&gt;21422281&lt;/accession-num&gt;&lt;urls&gt;&lt;related-urls&gt;&lt;url&gt;http://www.ncbi.nlm.nih.gov/pubmed/21422281&lt;/url&gt;&lt;/related-urls&gt;&lt;/urls&gt;&lt;custom2&gt;3084147&lt;/custom2&gt;&lt;electronic-resource-num&gt;1014394108 [pii]&amp;#xD;10.1073/pnas.1014394108&lt;/electronic-resource-num&gt;&lt;language&gt;eng&lt;/language&gt;&lt;/record&gt;&lt;/Cite&gt;&lt;/EndNote&gt;</w:instrText>
      </w:r>
      <w:r w:rsidR="00854983" w:rsidRPr="00371ED0">
        <w:rPr>
          <w:sz w:val="20"/>
          <w:szCs w:val="20"/>
        </w:rPr>
        <w:fldChar w:fldCharType="separate"/>
      </w:r>
      <w:r w:rsidR="007A6ECD" w:rsidRPr="00371ED0">
        <w:rPr>
          <w:noProof/>
          <w:sz w:val="20"/>
          <w:szCs w:val="20"/>
        </w:rPr>
        <w:t>[</w:t>
      </w:r>
      <w:hyperlink w:anchor="_ENREF_2" w:tooltip="Lavine, 2011 #2" w:history="1">
        <w:r w:rsidR="007A6ECD" w:rsidRPr="00371ED0">
          <w:rPr>
            <w:noProof/>
            <w:sz w:val="20"/>
            <w:szCs w:val="20"/>
          </w:rPr>
          <w:t>2</w:t>
        </w:r>
      </w:hyperlink>
      <w:r w:rsidR="007A6ECD" w:rsidRPr="00371ED0">
        <w:rPr>
          <w:noProof/>
          <w:sz w:val="20"/>
          <w:szCs w:val="20"/>
        </w:rPr>
        <w:t>]</w:t>
      </w:r>
      <w:r w:rsidR="00854983" w:rsidRPr="00371ED0">
        <w:rPr>
          <w:sz w:val="20"/>
          <w:szCs w:val="20"/>
        </w:rPr>
        <w:fldChar w:fldCharType="end"/>
      </w:r>
      <w:r w:rsidR="00854983" w:rsidRPr="00371ED0">
        <w:rPr>
          <w:sz w:val="20"/>
          <w:szCs w:val="20"/>
        </w:rPr>
        <w:t xml:space="preserve">. This model is conceptually very similar to that of </w:t>
      </w:r>
      <w:proofErr w:type="spellStart"/>
      <w:r w:rsidR="00854983" w:rsidRPr="00371ED0">
        <w:rPr>
          <w:sz w:val="20"/>
          <w:szCs w:val="20"/>
        </w:rPr>
        <w:t>Aguas</w:t>
      </w:r>
      <w:proofErr w:type="spellEnd"/>
      <w:r w:rsidR="00854983" w:rsidRPr="00371ED0">
        <w:rPr>
          <w:sz w:val="20"/>
          <w:szCs w:val="20"/>
        </w:rPr>
        <w:t xml:space="preserve"> </w:t>
      </w:r>
      <w:r w:rsidR="00854983" w:rsidRPr="00371ED0">
        <w:rPr>
          <w:i/>
          <w:sz w:val="20"/>
          <w:szCs w:val="20"/>
        </w:rPr>
        <w:t>et al</w:t>
      </w:r>
      <w:r w:rsidR="00854983" w:rsidRPr="00371ED0">
        <w:rPr>
          <w:sz w:val="20"/>
          <w:szCs w:val="20"/>
        </w:rPr>
        <w:fldChar w:fldCharType="begin"/>
      </w:r>
      <w:r w:rsidR="007A6ECD" w:rsidRPr="00371ED0">
        <w:rPr>
          <w:sz w:val="20"/>
          <w:szCs w:val="20"/>
        </w:rPr>
        <w:instrText xml:space="preserve"> ADDIN EN.CITE &lt;EndNote&gt;&lt;Cite&gt;&lt;Author&gt;Aguas&lt;/Author&gt;&lt;Year&gt;2006&lt;/Year&gt;&lt;RecNum&gt;1&lt;/RecNum&gt;&lt;DisplayText&gt;[3]&lt;/DisplayText&gt;&lt;record&gt;&lt;rec-number&gt;1&lt;/rec-number&gt;&lt;foreign-keys&gt;&lt;key app="EN" db-id="ardtrdzw69092pe52phxsa2qpx5vdx9e9zpa"&gt;1&lt;/key&gt;&lt;/foreign-keys&gt;&lt;ref-type name="Journal Article"&gt;17&lt;/ref-type&gt;&lt;contributors&gt;&lt;authors&gt;&lt;author&gt;Aguas, R.&lt;/author&gt;&lt;author&gt;Goncalves, G.&lt;/author&gt;&lt;author&gt;Gomes, M. G.&lt;/author&gt;&lt;/authors&gt;&lt;/contributors&gt;&lt;auth-address&gt;Instituto Gulbenkian de Ciencia, Oeiras, Portugal.&lt;/auth-address&gt;&lt;titles&gt;&lt;title&gt;Pertussis: increasing disease as a consequence of reducing transmission&lt;/title&gt;&lt;secondary-title&gt;Lancet Infect Dis&lt;/secondary-title&gt;&lt;/titles&gt;&lt;periodical&gt;&lt;full-title&gt;Lancet Infect Dis&lt;/full-title&gt;&lt;/periodical&gt;&lt;pages&gt;112-7&lt;/pages&gt;&lt;volume&gt;6&lt;/volume&gt;&lt;number&gt;2&lt;/number&gt;&lt;edition&gt;2006/01/28&lt;/edition&gt;&lt;keywords&gt;&lt;keyword&gt;Age Factors&lt;/keyword&gt;&lt;keyword&gt;Bordetella pertussis/immunology/*pathogenicity&lt;/keyword&gt;&lt;keyword&gt;Humans&lt;/keyword&gt;&lt;keyword&gt;Immunity, Active&lt;/keyword&gt;&lt;keyword&gt;Immunologic Memory&lt;/keyword&gt;&lt;keyword&gt;Mathematics&lt;/keyword&gt;&lt;keyword&gt;*Models, Immunological&lt;/keyword&gt;&lt;keyword&gt;*Models, Theoretical&lt;/keyword&gt;&lt;keyword&gt;Pertussis Vaccine/administration &amp;amp; dosage/*immunology&lt;/keyword&gt;&lt;keyword&gt;Recurrence&lt;/keyword&gt;&lt;keyword&gt;Severity of Illness Index&lt;/keyword&gt;&lt;keyword&gt;*Whooping Cough/epidemiology/prevention &amp;amp; control/transmission&lt;/keyword&gt;&lt;/keywords&gt;&lt;dates&gt;&lt;year&gt;2006&lt;/year&gt;&lt;pub-dates&gt;&lt;date&gt;Feb&lt;/date&gt;&lt;/pub-dates&gt;&lt;/dates&gt;&lt;isbn&gt;1473-3099 (Print)&amp;#xD;1473-3099 (Linking)&lt;/isbn&gt;&lt;accession-num&gt;16439331&lt;/accession-num&gt;&lt;urls&gt;&lt;related-urls&gt;&lt;url&gt;http://www.ncbi.nlm.nih.gov/pubmed/16439331&lt;/url&gt;&lt;/related-urls&gt;&lt;/urls&gt;&lt;electronic-resource-num&gt;S1473-3099(06)70384-X [pii]&amp;#xD;10.1016/S1473-3099(06)70384-X&lt;/electronic-resource-num&gt;&lt;language&gt;eng&lt;/language&gt;&lt;/record&gt;&lt;/Cite&gt;&lt;/EndNote&gt;</w:instrText>
      </w:r>
      <w:r w:rsidR="00854983" w:rsidRPr="00371ED0">
        <w:rPr>
          <w:sz w:val="20"/>
          <w:szCs w:val="20"/>
        </w:rPr>
        <w:fldChar w:fldCharType="separate"/>
      </w:r>
      <w:r w:rsidR="007A6ECD" w:rsidRPr="00371ED0">
        <w:rPr>
          <w:noProof/>
          <w:sz w:val="20"/>
          <w:szCs w:val="20"/>
        </w:rPr>
        <w:t>[</w:t>
      </w:r>
      <w:hyperlink w:anchor="_ENREF_3" w:tooltip="Aguas, 2006 #1" w:history="1">
        <w:r w:rsidR="007A6ECD" w:rsidRPr="00371ED0">
          <w:rPr>
            <w:noProof/>
            <w:sz w:val="20"/>
            <w:szCs w:val="20"/>
          </w:rPr>
          <w:t>3</w:t>
        </w:r>
      </w:hyperlink>
      <w:r w:rsidR="007A6ECD" w:rsidRPr="00371ED0">
        <w:rPr>
          <w:noProof/>
          <w:sz w:val="20"/>
          <w:szCs w:val="20"/>
        </w:rPr>
        <w:t>]</w:t>
      </w:r>
      <w:r w:rsidR="00854983" w:rsidRPr="00371ED0">
        <w:rPr>
          <w:sz w:val="20"/>
          <w:szCs w:val="20"/>
        </w:rPr>
        <w:fldChar w:fldCharType="end"/>
      </w:r>
      <w:r w:rsidR="00854983" w:rsidRPr="00371ED0">
        <w:rPr>
          <w:sz w:val="20"/>
          <w:szCs w:val="20"/>
        </w:rPr>
        <w:t>. The main difference is that individuals who have experienced a prior infection (or vaccination) move into a 'waning' compartment (</w:t>
      </w:r>
      <w:r w:rsidR="00854983" w:rsidRPr="00371ED0">
        <w:rPr>
          <w:i/>
          <w:sz w:val="20"/>
          <w:szCs w:val="20"/>
        </w:rPr>
        <w:t>W</w:t>
      </w:r>
      <w:r w:rsidR="00854983" w:rsidRPr="00371ED0">
        <w:rPr>
          <w:sz w:val="20"/>
          <w:szCs w:val="20"/>
        </w:rPr>
        <w:t>, above) and, during this period, they may either lose their immunity entirely (</w:t>
      </w:r>
      <w:proofErr w:type="gramStart"/>
      <w:r w:rsidR="00854983" w:rsidRPr="00371ED0">
        <w:rPr>
          <w:sz w:val="20"/>
          <w:szCs w:val="20"/>
        </w:rPr>
        <w:t>and</w:t>
      </w:r>
      <w:proofErr w:type="gramEnd"/>
      <w:r w:rsidR="00854983" w:rsidRPr="00371ED0">
        <w:rPr>
          <w:sz w:val="20"/>
          <w:szCs w:val="20"/>
        </w:rPr>
        <w:t xml:space="preserve"> revert to susceptible) or become re-infected and pass back into the recovered (immune) class </w:t>
      </w:r>
      <w:r w:rsidR="00854983" w:rsidRPr="00371ED0">
        <w:rPr>
          <w:i/>
          <w:sz w:val="20"/>
          <w:szCs w:val="20"/>
        </w:rPr>
        <w:t>R</w:t>
      </w:r>
      <w:r w:rsidR="00854983" w:rsidRPr="00371ED0">
        <w:rPr>
          <w:sz w:val="20"/>
          <w:szCs w:val="20"/>
        </w:rPr>
        <w:t xml:space="preserve">.  Those whose immunity is waning are not infectious in this model. Aside from the minor fact of the precise compartment from which these individuals flow back into the susceptible population, the force of infection also differs between the two models. In the </w:t>
      </w:r>
      <w:proofErr w:type="spellStart"/>
      <w:r w:rsidR="00854983" w:rsidRPr="00371ED0">
        <w:rPr>
          <w:sz w:val="20"/>
          <w:szCs w:val="20"/>
        </w:rPr>
        <w:t>Aguas</w:t>
      </w:r>
      <w:proofErr w:type="spellEnd"/>
      <w:r w:rsidR="00854983" w:rsidRPr="00371ED0">
        <w:rPr>
          <w:sz w:val="20"/>
          <w:szCs w:val="20"/>
        </w:rPr>
        <w:t xml:space="preserve"> model, those recovered and immune may still become infected but their susceptibility has decreased. In the </w:t>
      </w:r>
      <w:proofErr w:type="spellStart"/>
      <w:r w:rsidR="00854983" w:rsidRPr="00371ED0">
        <w:rPr>
          <w:sz w:val="20"/>
          <w:szCs w:val="20"/>
        </w:rPr>
        <w:t>Lavine</w:t>
      </w:r>
      <w:proofErr w:type="spellEnd"/>
      <w:r w:rsidR="00854983" w:rsidRPr="00371ED0">
        <w:rPr>
          <w:sz w:val="20"/>
          <w:szCs w:val="20"/>
        </w:rPr>
        <w:t xml:space="preserve"> model, the susceptibility </w:t>
      </w:r>
      <w:proofErr w:type="gramStart"/>
      <w:r w:rsidR="00854983" w:rsidRPr="00371ED0">
        <w:rPr>
          <w:sz w:val="20"/>
          <w:szCs w:val="20"/>
        </w:rPr>
        <w:t>to 're</w:t>
      </w:r>
      <w:proofErr w:type="gramEnd"/>
      <w:r w:rsidR="00854983" w:rsidRPr="00371ED0">
        <w:rPr>
          <w:sz w:val="20"/>
          <w:szCs w:val="20"/>
        </w:rPr>
        <w:t xml:space="preserve">-infection' of those in the W class vastly increases: their immune system is primed and they are more likely to find it boosted by very infrequent contact with the pathogen. </w:t>
      </w:r>
    </w:p>
    <w:p w:rsidR="00854983" w:rsidRPr="00371ED0" w:rsidRDefault="009A0E42" w:rsidP="009A0E42">
      <w:pPr>
        <w:rPr>
          <w:bCs/>
          <w:i/>
          <w:sz w:val="24"/>
          <w:szCs w:val="24"/>
        </w:rPr>
      </w:pPr>
      <w:r w:rsidRPr="00371ED0">
        <w:rPr>
          <w:bCs/>
          <w:i/>
          <w:sz w:val="24"/>
          <w:szCs w:val="24"/>
        </w:rPr>
        <w:lastRenderedPageBreak/>
        <w:t>Further details of model comparisons</w:t>
      </w:r>
      <w:r w:rsidR="00854983" w:rsidRPr="00371ED0">
        <w:rPr>
          <w:bCs/>
          <w:i/>
          <w:sz w:val="24"/>
          <w:szCs w:val="24"/>
        </w:rPr>
        <w:t xml:space="preserve"> </w:t>
      </w:r>
    </w:p>
    <w:p w:rsidR="009A0E42" w:rsidRPr="00371ED0" w:rsidRDefault="009A0E42" w:rsidP="009A0E42">
      <w:pPr>
        <w:rPr>
          <w:sz w:val="24"/>
          <w:szCs w:val="24"/>
        </w:rPr>
      </w:pPr>
      <w:r w:rsidRPr="00371ED0">
        <w:rPr>
          <w:iCs/>
          <w:sz w:val="24"/>
          <w:szCs w:val="24"/>
        </w:rPr>
        <w:t xml:space="preserve">In the following table, we outline the specific parameters that are altered independently in our model comparison exercise, as detailed in the main text. The symbols denoting the rate of exit from the naturally infected compartment is given by </w:t>
      </w:r>
      <w:r w:rsidRPr="00371ED0">
        <w:rPr>
          <w:i/>
          <w:sz w:val="24"/>
          <w:szCs w:val="24"/>
        </w:rPr>
        <w:t>α</w:t>
      </w:r>
      <w:r w:rsidRPr="00371ED0">
        <w:rPr>
          <w:iCs/>
          <w:sz w:val="24"/>
          <w:szCs w:val="24"/>
        </w:rPr>
        <w:t xml:space="preserve"> and that for the whole-cell vaccinated compartment, </w:t>
      </w:r>
      <w:r w:rsidRPr="00371ED0">
        <w:rPr>
          <w:i/>
          <w:sz w:val="24"/>
          <w:szCs w:val="24"/>
        </w:rPr>
        <w:t>γ.</w:t>
      </w:r>
      <w:r w:rsidRPr="00371ED0">
        <w:rPr>
          <w:iCs/>
          <w:sz w:val="24"/>
          <w:szCs w:val="24"/>
        </w:rPr>
        <w:t xml:space="preserve"> The vaccine efficacy of the whole-cell and </w:t>
      </w:r>
      <w:proofErr w:type="spellStart"/>
      <w:r w:rsidRPr="00371ED0">
        <w:rPr>
          <w:iCs/>
          <w:sz w:val="24"/>
          <w:szCs w:val="24"/>
        </w:rPr>
        <w:t>acellular</w:t>
      </w:r>
      <w:proofErr w:type="spellEnd"/>
      <w:r w:rsidRPr="00371ED0">
        <w:rPr>
          <w:iCs/>
          <w:sz w:val="24"/>
          <w:szCs w:val="24"/>
        </w:rPr>
        <w:t xml:space="preserve"> vaccines are denoted </w:t>
      </w:r>
      <w:proofErr w:type="spellStart"/>
      <w:r w:rsidRPr="00371ED0">
        <w:rPr>
          <w:i/>
          <w:sz w:val="24"/>
          <w:szCs w:val="24"/>
        </w:rPr>
        <w:t>VE</w:t>
      </w:r>
      <w:r w:rsidRPr="00371ED0">
        <w:rPr>
          <w:sz w:val="24"/>
          <w:szCs w:val="24"/>
          <w:vertAlign w:val="subscript"/>
        </w:rPr>
        <w:t>wP</w:t>
      </w:r>
      <w:proofErr w:type="spellEnd"/>
      <w:r w:rsidRPr="00371ED0">
        <w:rPr>
          <w:sz w:val="24"/>
          <w:szCs w:val="24"/>
        </w:rPr>
        <w:t xml:space="preserve"> and </w:t>
      </w:r>
      <w:proofErr w:type="spellStart"/>
      <w:r w:rsidRPr="00371ED0">
        <w:rPr>
          <w:i/>
          <w:sz w:val="24"/>
          <w:szCs w:val="24"/>
        </w:rPr>
        <w:t>VE</w:t>
      </w:r>
      <w:r w:rsidRPr="00371ED0">
        <w:rPr>
          <w:sz w:val="24"/>
          <w:szCs w:val="24"/>
          <w:vertAlign w:val="subscript"/>
        </w:rPr>
        <w:t>aP</w:t>
      </w:r>
      <w:proofErr w:type="spellEnd"/>
      <w:r w:rsidRPr="00371ED0">
        <w:rPr>
          <w:sz w:val="24"/>
          <w:szCs w:val="24"/>
        </w:rPr>
        <w:t xml:space="preserve">, and their durations of protection by </w:t>
      </w:r>
      <w:proofErr w:type="spellStart"/>
      <w:r w:rsidRPr="00371ED0">
        <w:rPr>
          <w:i/>
          <w:sz w:val="24"/>
          <w:szCs w:val="24"/>
        </w:rPr>
        <w:t>dur</w:t>
      </w:r>
      <w:r w:rsidRPr="00371ED0">
        <w:rPr>
          <w:sz w:val="24"/>
          <w:szCs w:val="24"/>
          <w:vertAlign w:val="subscript"/>
        </w:rPr>
        <w:t>wP</w:t>
      </w:r>
      <w:proofErr w:type="spellEnd"/>
      <w:r w:rsidRPr="00371ED0">
        <w:rPr>
          <w:sz w:val="24"/>
          <w:szCs w:val="24"/>
        </w:rPr>
        <w:t xml:space="preserve"> and </w:t>
      </w:r>
      <w:proofErr w:type="spellStart"/>
      <w:r w:rsidRPr="00371ED0">
        <w:rPr>
          <w:i/>
          <w:sz w:val="24"/>
          <w:szCs w:val="24"/>
        </w:rPr>
        <w:t>dur</w:t>
      </w:r>
      <w:r w:rsidRPr="00371ED0">
        <w:rPr>
          <w:sz w:val="24"/>
          <w:szCs w:val="24"/>
          <w:vertAlign w:val="subscript"/>
        </w:rPr>
        <w:t>aP</w:t>
      </w:r>
      <w:proofErr w:type="spellEnd"/>
      <w:r w:rsidRPr="00371ED0">
        <w:rPr>
          <w:sz w:val="24"/>
          <w:szCs w:val="24"/>
        </w:rPr>
        <w:t>.</w:t>
      </w:r>
    </w:p>
    <w:tbl>
      <w:tblPr>
        <w:tblStyle w:val="TableGrid"/>
        <w:tblpPr w:leftFromText="180" w:rightFromText="180" w:vertAnchor="text" w:horzAnchor="margin" w:tblpXSpec="center" w:tblpY="146"/>
        <w:tblW w:w="5688" w:type="dxa"/>
        <w:tblLook w:val="04A0" w:firstRow="1" w:lastRow="0" w:firstColumn="1" w:lastColumn="0" w:noHBand="0" w:noVBand="1"/>
      </w:tblPr>
      <w:tblGrid>
        <w:gridCol w:w="756"/>
        <w:gridCol w:w="3326"/>
        <w:gridCol w:w="1606"/>
      </w:tblGrid>
      <w:tr w:rsidR="009A0E42" w:rsidRPr="00371ED0" w:rsidTr="009A0E42">
        <w:trPr>
          <w:trHeight w:val="510"/>
        </w:trPr>
        <w:tc>
          <w:tcPr>
            <w:tcW w:w="756" w:type="dxa"/>
            <w:hideMark/>
          </w:tcPr>
          <w:p w:rsidR="009A0E42" w:rsidRPr="00371ED0" w:rsidRDefault="009A0E42" w:rsidP="009A0E42">
            <w:pPr>
              <w:rPr>
                <w:sz w:val="20"/>
                <w:szCs w:val="20"/>
              </w:rPr>
            </w:pPr>
            <w:r w:rsidRPr="00371ED0">
              <w:rPr>
                <w:b/>
                <w:bCs/>
                <w:sz w:val="20"/>
                <w:szCs w:val="20"/>
              </w:rPr>
              <w:t>Model</w:t>
            </w:r>
          </w:p>
        </w:tc>
        <w:tc>
          <w:tcPr>
            <w:tcW w:w="3326" w:type="dxa"/>
            <w:hideMark/>
          </w:tcPr>
          <w:p w:rsidR="009A0E42" w:rsidRPr="00371ED0" w:rsidRDefault="009A0E42" w:rsidP="009A0E42">
            <w:pPr>
              <w:rPr>
                <w:sz w:val="20"/>
                <w:szCs w:val="20"/>
              </w:rPr>
            </w:pPr>
            <w:r w:rsidRPr="00371ED0">
              <w:rPr>
                <w:b/>
                <w:bCs/>
                <w:sz w:val="20"/>
                <w:szCs w:val="20"/>
              </w:rPr>
              <w:t>Description</w:t>
            </w:r>
          </w:p>
        </w:tc>
        <w:tc>
          <w:tcPr>
            <w:tcW w:w="1606" w:type="dxa"/>
          </w:tcPr>
          <w:p w:rsidR="009A0E42" w:rsidRPr="00371ED0" w:rsidRDefault="009A0E42" w:rsidP="009A0E42">
            <w:pPr>
              <w:rPr>
                <w:b/>
                <w:bCs/>
                <w:sz w:val="20"/>
                <w:szCs w:val="20"/>
              </w:rPr>
            </w:pPr>
            <w:r w:rsidRPr="00371ED0">
              <w:rPr>
                <w:b/>
                <w:bCs/>
                <w:sz w:val="20"/>
                <w:szCs w:val="20"/>
              </w:rPr>
              <w:t>Parameter values</w:t>
            </w:r>
          </w:p>
        </w:tc>
      </w:tr>
      <w:tr w:rsidR="009A0E42" w:rsidRPr="00371ED0" w:rsidTr="009A0E42">
        <w:trPr>
          <w:trHeight w:val="510"/>
        </w:trPr>
        <w:tc>
          <w:tcPr>
            <w:tcW w:w="756" w:type="dxa"/>
            <w:hideMark/>
          </w:tcPr>
          <w:p w:rsidR="009A0E42" w:rsidRPr="00371ED0" w:rsidRDefault="009A0E42" w:rsidP="009A0E42">
            <w:pPr>
              <w:jc w:val="center"/>
              <w:rPr>
                <w:sz w:val="20"/>
                <w:szCs w:val="20"/>
              </w:rPr>
            </w:pPr>
            <w:r w:rsidRPr="00371ED0">
              <w:rPr>
                <w:b/>
                <w:bCs/>
                <w:sz w:val="20"/>
                <w:szCs w:val="20"/>
              </w:rPr>
              <w:t>1</w:t>
            </w:r>
          </w:p>
        </w:tc>
        <w:tc>
          <w:tcPr>
            <w:tcW w:w="3326" w:type="dxa"/>
            <w:hideMark/>
          </w:tcPr>
          <w:p w:rsidR="009A0E42" w:rsidRPr="00371ED0" w:rsidRDefault="009A0E42" w:rsidP="009A0E42">
            <w:pPr>
              <w:rPr>
                <w:sz w:val="20"/>
                <w:szCs w:val="20"/>
              </w:rPr>
            </w:pPr>
            <w:r w:rsidRPr="00371ED0">
              <w:rPr>
                <w:sz w:val="20"/>
                <w:szCs w:val="20"/>
              </w:rPr>
              <w:t>Vaccination equivalent to natural infection; no change in duration or effectiveness</w:t>
            </w:r>
          </w:p>
        </w:tc>
        <w:tc>
          <w:tcPr>
            <w:tcW w:w="1606" w:type="dxa"/>
          </w:tcPr>
          <w:p w:rsidR="009A0E42" w:rsidRPr="00371ED0" w:rsidRDefault="009A0E42" w:rsidP="009A0E42">
            <w:pPr>
              <w:rPr>
                <w:i/>
                <w:sz w:val="20"/>
                <w:szCs w:val="20"/>
              </w:rPr>
            </w:pPr>
            <w:r w:rsidRPr="00371ED0">
              <w:rPr>
                <w:i/>
                <w:sz w:val="20"/>
                <w:szCs w:val="20"/>
              </w:rPr>
              <w:t>γ=α</w:t>
            </w:r>
          </w:p>
          <w:p w:rsidR="009A0E42" w:rsidRPr="00371ED0" w:rsidRDefault="009A0E42" w:rsidP="009A0E42">
            <w:pPr>
              <w:rPr>
                <w:sz w:val="20"/>
                <w:szCs w:val="20"/>
                <w:vertAlign w:val="subscript"/>
              </w:rPr>
            </w:pPr>
            <w:proofErr w:type="spellStart"/>
            <w:r w:rsidRPr="00371ED0">
              <w:rPr>
                <w:i/>
                <w:sz w:val="20"/>
                <w:szCs w:val="20"/>
              </w:rPr>
              <w:t>VE</w:t>
            </w:r>
            <w:r w:rsidRPr="00371ED0">
              <w:rPr>
                <w:sz w:val="20"/>
                <w:szCs w:val="20"/>
                <w:vertAlign w:val="subscript"/>
              </w:rPr>
              <w:t>wP</w:t>
            </w:r>
            <w:proofErr w:type="spellEnd"/>
            <w:r w:rsidRPr="00371ED0">
              <w:rPr>
                <w:sz w:val="20"/>
                <w:szCs w:val="20"/>
              </w:rPr>
              <w:t>=</w:t>
            </w:r>
            <w:proofErr w:type="spellStart"/>
            <w:r w:rsidRPr="00371ED0">
              <w:rPr>
                <w:i/>
                <w:sz w:val="20"/>
                <w:szCs w:val="20"/>
              </w:rPr>
              <w:t>VE</w:t>
            </w:r>
            <w:r w:rsidRPr="00371ED0">
              <w:rPr>
                <w:sz w:val="20"/>
                <w:szCs w:val="20"/>
                <w:vertAlign w:val="subscript"/>
              </w:rPr>
              <w:t>aP</w:t>
            </w:r>
            <w:proofErr w:type="spellEnd"/>
          </w:p>
          <w:p w:rsidR="009A0E42" w:rsidRPr="00371ED0" w:rsidRDefault="009A0E42" w:rsidP="009A0E42">
            <w:pPr>
              <w:rPr>
                <w:sz w:val="20"/>
                <w:szCs w:val="20"/>
                <w:vertAlign w:val="subscript"/>
              </w:rPr>
            </w:pPr>
            <w:proofErr w:type="spellStart"/>
            <w:r w:rsidRPr="00371ED0">
              <w:rPr>
                <w:i/>
                <w:sz w:val="20"/>
                <w:szCs w:val="20"/>
              </w:rPr>
              <w:t>dur</w:t>
            </w:r>
            <w:r w:rsidRPr="00371ED0">
              <w:rPr>
                <w:sz w:val="20"/>
                <w:szCs w:val="20"/>
                <w:vertAlign w:val="subscript"/>
              </w:rPr>
              <w:t>wP</w:t>
            </w:r>
            <w:proofErr w:type="spellEnd"/>
            <w:r w:rsidRPr="00371ED0">
              <w:rPr>
                <w:sz w:val="20"/>
                <w:szCs w:val="20"/>
              </w:rPr>
              <w:t>=</w:t>
            </w:r>
            <w:proofErr w:type="spellStart"/>
            <w:r w:rsidRPr="00371ED0">
              <w:rPr>
                <w:i/>
                <w:sz w:val="20"/>
                <w:szCs w:val="20"/>
              </w:rPr>
              <w:t>dur</w:t>
            </w:r>
            <w:r w:rsidRPr="00371ED0">
              <w:rPr>
                <w:sz w:val="20"/>
                <w:szCs w:val="20"/>
                <w:vertAlign w:val="subscript"/>
              </w:rPr>
              <w:t>aP</w:t>
            </w:r>
            <w:proofErr w:type="spellEnd"/>
          </w:p>
        </w:tc>
      </w:tr>
      <w:tr w:rsidR="009A0E42" w:rsidRPr="00371ED0" w:rsidTr="009A0E42">
        <w:trPr>
          <w:trHeight w:val="510"/>
        </w:trPr>
        <w:tc>
          <w:tcPr>
            <w:tcW w:w="756" w:type="dxa"/>
            <w:hideMark/>
          </w:tcPr>
          <w:p w:rsidR="009A0E42" w:rsidRPr="00371ED0" w:rsidRDefault="009A0E42" w:rsidP="009A0E42">
            <w:pPr>
              <w:jc w:val="center"/>
              <w:rPr>
                <w:sz w:val="20"/>
                <w:szCs w:val="20"/>
              </w:rPr>
            </w:pPr>
            <w:r w:rsidRPr="00371ED0">
              <w:rPr>
                <w:b/>
                <w:bCs/>
                <w:sz w:val="20"/>
                <w:szCs w:val="20"/>
              </w:rPr>
              <w:t>2</w:t>
            </w:r>
          </w:p>
        </w:tc>
        <w:tc>
          <w:tcPr>
            <w:tcW w:w="3326" w:type="dxa"/>
            <w:hideMark/>
          </w:tcPr>
          <w:p w:rsidR="009A0E42" w:rsidRPr="00371ED0" w:rsidRDefault="009A0E42" w:rsidP="009A0E42">
            <w:pPr>
              <w:rPr>
                <w:sz w:val="20"/>
                <w:szCs w:val="20"/>
              </w:rPr>
            </w:pPr>
            <w:r w:rsidRPr="00371ED0">
              <w:rPr>
                <w:sz w:val="20"/>
                <w:szCs w:val="20"/>
              </w:rPr>
              <w:t>Vaccination equivalent to natural infection; no change in duration; change in effectiveness in 1992-1998</w:t>
            </w:r>
          </w:p>
        </w:tc>
        <w:tc>
          <w:tcPr>
            <w:tcW w:w="1606" w:type="dxa"/>
          </w:tcPr>
          <w:p w:rsidR="009A0E42" w:rsidRPr="00371ED0" w:rsidRDefault="009A0E42" w:rsidP="009A0E42">
            <w:pPr>
              <w:rPr>
                <w:i/>
                <w:sz w:val="20"/>
                <w:szCs w:val="20"/>
              </w:rPr>
            </w:pPr>
            <w:r w:rsidRPr="00371ED0">
              <w:rPr>
                <w:i/>
                <w:sz w:val="20"/>
                <w:szCs w:val="20"/>
              </w:rPr>
              <w:t>γ=α</w:t>
            </w:r>
          </w:p>
          <w:p w:rsidR="009A0E42" w:rsidRPr="00371ED0" w:rsidRDefault="009A0E42" w:rsidP="009A0E42">
            <w:pPr>
              <w:rPr>
                <w:sz w:val="20"/>
                <w:szCs w:val="20"/>
                <w:vertAlign w:val="subscript"/>
              </w:rPr>
            </w:pPr>
            <w:proofErr w:type="spellStart"/>
            <w:r w:rsidRPr="00371ED0">
              <w:rPr>
                <w:i/>
                <w:sz w:val="20"/>
                <w:szCs w:val="20"/>
              </w:rPr>
              <w:t>VE</w:t>
            </w:r>
            <w:r w:rsidRPr="00371ED0">
              <w:rPr>
                <w:sz w:val="20"/>
                <w:szCs w:val="20"/>
                <w:vertAlign w:val="subscript"/>
              </w:rPr>
              <w:t>wP</w:t>
            </w:r>
            <w:r w:rsidRPr="00371ED0">
              <w:rPr>
                <w:i/>
                <w:sz w:val="20"/>
                <w:szCs w:val="20"/>
              </w:rPr>
              <w:t>≠VE</w:t>
            </w:r>
            <w:r w:rsidRPr="00371ED0">
              <w:rPr>
                <w:sz w:val="20"/>
                <w:szCs w:val="20"/>
                <w:vertAlign w:val="subscript"/>
              </w:rPr>
              <w:t>aP</w:t>
            </w:r>
            <w:proofErr w:type="spellEnd"/>
          </w:p>
          <w:p w:rsidR="009A0E42" w:rsidRPr="00371ED0" w:rsidRDefault="009A0E42" w:rsidP="009A0E42">
            <w:pPr>
              <w:rPr>
                <w:sz w:val="20"/>
                <w:szCs w:val="20"/>
                <w:vertAlign w:val="subscript"/>
              </w:rPr>
            </w:pPr>
            <w:proofErr w:type="spellStart"/>
            <w:r w:rsidRPr="00371ED0">
              <w:rPr>
                <w:i/>
                <w:sz w:val="20"/>
                <w:szCs w:val="20"/>
              </w:rPr>
              <w:t>dur</w:t>
            </w:r>
            <w:r w:rsidRPr="00371ED0">
              <w:rPr>
                <w:sz w:val="20"/>
                <w:szCs w:val="20"/>
                <w:vertAlign w:val="subscript"/>
              </w:rPr>
              <w:t>wP</w:t>
            </w:r>
            <w:proofErr w:type="spellEnd"/>
            <w:r w:rsidRPr="00371ED0">
              <w:rPr>
                <w:sz w:val="20"/>
                <w:szCs w:val="20"/>
              </w:rPr>
              <w:t>=</w:t>
            </w:r>
            <w:proofErr w:type="spellStart"/>
            <w:r w:rsidRPr="00371ED0">
              <w:rPr>
                <w:i/>
                <w:sz w:val="20"/>
                <w:szCs w:val="20"/>
              </w:rPr>
              <w:t>dur</w:t>
            </w:r>
            <w:r w:rsidRPr="00371ED0">
              <w:rPr>
                <w:sz w:val="20"/>
                <w:szCs w:val="20"/>
                <w:vertAlign w:val="subscript"/>
              </w:rPr>
              <w:t>aP</w:t>
            </w:r>
            <w:proofErr w:type="spellEnd"/>
          </w:p>
        </w:tc>
      </w:tr>
      <w:tr w:rsidR="009A0E42" w:rsidRPr="00371ED0" w:rsidTr="009A0E42">
        <w:trPr>
          <w:trHeight w:val="510"/>
        </w:trPr>
        <w:tc>
          <w:tcPr>
            <w:tcW w:w="756" w:type="dxa"/>
            <w:hideMark/>
          </w:tcPr>
          <w:p w:rsidR="009A0E42" w:rsidRPr="00371ED0" w:rsidRDefault="009A0E42" w:rsidP="009A0E42">
            <w:pPr>
              <w:jc w:val="center"/>
              <w:rPr>
                <w:sz w:val="20"/>
                <w:szCs w:val="20"/>
              </w:rPr>
            </w:pPr>
            <w:r w:rsidRPr="00371ED0">
              <w:rPr>
                <w:b/>
                <w:bCs/>
                <w:sz w:val="20"/>
                <w:szCs w:val="20"/>
              </w:rPr>
              <w:t>3</w:t>
            </w:r>
          </w:p>
        </w:tc>
        <w:tc>
          <w:tcPr>
            <w:tcW w:w="3326" w:type="dxa"/>
            <w:hideMark/>
          </w:tcPr>
          <w:p w:rsidR="009A0E42" w:rsidRPr="00371ED0" w:rsidRDefault="009A0E42" w:rsidP="009A0E42">
            <w:pPr>
              <w:rPr>
                <w:sz w:val="20"/>
                <w:szCs w:val="20"/>
              </w:rPr>
            </w:pPr>
            <w:r w:rsidRPr="00371ED0">
              <w:rPr>
                <w:sz w:val="20"/>
                <w:szCs w:val="20"/>
              </w:rPr>
              <w:t>Vaccination equivalent to natural infection; change in duration in 1992-1998; no change in effectiveness</w:t>
            </w:r>
          </w:p>
        </w:tc>
        <w:tc>
          <w:tcPr>
            <w:tcW w:w="1606" w:type="dxa"/>
          </w:tcPr>
          <w:p w:rsidR="009A0E42" w:rsidRPr="00371ED0" w:rsidRDefault="009A0E42" w:rsidP="009A0E42">
            <w:pPr>
              <w:rPr>
                <w:i/>
                <w:sz w:val="20"/>
                <w:szCs w:val="20"/>
              </w:rPr>
            </w:pPr>
            <w:r w:rsidRPr="00371ED0">
              <w:rPr>
                <w:i/>
                <w:sz w:val="20"/>
                <w:szCs w:val="20"/>
              </w:rPr>
              <w:t>γ=α</w:t>
            </w:r>
          </w:p>
          <w:p w:rsidR="009A0E42" w:rsidRPr="00371ED0" w:rsidRDefault="009A0E42" w:rsidP="009A0E42">
            <w:pPr>
              <w:rPr>
                <w:sz w:val="20"/>
                <w:szCs w:val="20"/>
                <w:vertAlign w:val="subscript"/>
              </w:rPr>
            </w:pPr>
            <w:proofErr w:type="spellStart"/>
            <w:r w:rsidRPr="00371ED0">
              <w:rPr>
                <w:i/>
                <w:sz w:val="20"/>
                <w:szCs w:val="20"/>
              </w:rPr>
              <w:t>VE</w:t>
            </w:r>
            <w:r w:rsidRPr="00371ED0">
              <w:rPr>
                <w:sz w:val="20"/>
                <w:szCs w:val="20"/>
                <w:vertAlign w:val="subscript"/>
              </w:rPr>
              <w:t>wP</w:t>
            </w:r>
            <w:proofErr w:type="spellEnd"/>
            <w:r w:rsidRPr="00371ED0">
              <w:rPr>
                <w:sz w:val="20"/>
                <w:szCs w:val="20"/>
              </w:rPr>
              <w:t>=</w:t>
            </w:r>
            <w:proofErr w:type="spellStart"/>
            <w:r w:rsidRPr="00371ED0">
              <w:rPr>
                <w:i/>
                <w:sz w:val="20"/>
                <w:szCs w:val="20"/>
              </w:rPr>
              <w:t>VE</w:t>
            </w:r>
            <w:r w:rsidRPr="00371ED0">
              <w:rPr>
                <w:sz w:val="20"/>
                <w:szCs w:val="20"/>
                <w:vertAlign w:val="subscript"/>
              </w:rPr>
              <w:t>aP</w:t>
            </w:r>
            <w:proofErr w:type="spellEnd"/>
          </w:p>
          <w:p w:rsidR="009A0E42" w:rsidRPr="00371ED0" w:rsidRDefault="009A0E42" w:rsidP="009A0E42">
            <w:pPr>
              <w:rPr>
                <w:sz w:val="20"/>
                <w:szCs w:val="20"/>
                <w:vertAlign w:val="subscript"/>
              </w:rPr>
            </w:pPr>
            <w:proofErr w:type="spellStart"/>
            <w:r w:rsidRPr="00371ED0">
              <w:rPr>
                <w:i/>
                <w:sz w:val="20"/>
                <w:szCs w:val="20"/>
              </w:rPr>
              <w:t>dur</w:t>
            </w:r>
            <w:r w:rsidRPr="00371ED0">
              <w:rPr>
                <w:sz w:val="20"/>
                <w:szCs w:val="20"/>
                <w:vertAlign w:val="subscript"/>
              </w:rPr>
              <w:t>wP</w:t>
            </w:r>
            <w:r w:rsidRPr="00371ED0">
              <w:rPr>
                <w:i/>
                <w:sz w:val="20"/>
                <w:szCs w:val="20"/>
              </w:rPr>
              <w:t>≠dur</w:t>
            </w:r>
            <w:r w:rsidRPr="00371ED0">
              <w:rPr>
                <w:sz w:val="20"/>
                <w:szCs w:val="20"/>
                <w:vertAlign w:val="subscript"/>
              </w:rPr>
              <w:t>aP</w:t>
            </w:r>
            <w:proofErr w:type="spellEnd"/>
          </w:p>
        </w:tc>
      </w:tr>
      <w:tr w:rsidR="009A0E42" w:rsidRPr="00371ED0" w:rsidTr="009A0E42">
        <w:trPr>
          <w:trHeight w:val="510"/>
        </w:trPr>
        <w:tc>
          <w:tcPr>
            <w:tcW w:w="756" w:type="dxa"/>
            <w:hideMark/>
          </w:tcPr>
          <w:p w:rsidR="009A0E42" w:rsidRPr="00371ED0" w:rsidRDefault="009A0E42" w:rsidP="009A0E42">
            <w:pPr>
              <w:jc w:val="center"/>
              <w:rPr>
                <w:sz w:val="20"/>
                <w:szCs w:val="20"/>
              </w:rPr>
            </w:pPr>
            <w:r w:rsidRPr="00371ED0">
              <w:rPr>
                <w:b/>
                <w:bCs/>
                <w:sz w:val="20"/>
                <w:szCs w:val="20"/>
              </w:rPr>
              <w:t>4</w:t>
            </w:r>
          </w:p>
        </w:tc>
        <w:tc>
          <w:tcPr>
            <w:tcW w:w="3326" w:type="dxa"/>
            <w:hideMark/>
          </w:tcPr>
          <w:p w:rsidR="009A0E42" w:rsidRPr="00371ED0" w:rsidRDefault="009A0E42" w:rsidP="009A0E42">
            <w:pPr>
              <w:rPr>
                <w:sz w:val="20"/>
                <w:szCs w:val="20"/>
              </w:rPr>
            </w:pPr>
            <w:r w:rsidRPr="00371ED0">
              <w:rPr>
                <w:sz w:val="20"/>
                <w:szCs w:val="20"/>
              </w:rPr>
              <w:t>Vaccination duration different from natural infection; no change in duration or effectiveness</w:t>
            </w:r>
          </w:p>
        </w:tc>
        <w:tc>
          <w:tcPr>
            <w:tcW w:w="1606" w:type="dxa"/>
          </w:tcPr>
          <w:p w:rsidR="009A0E42" w:rsidRPr="00371ED0" w:rsidRDefault="009A0E42" w:rsidP="009A0E42">
            <w:pPr>
              <w:rPr>
                <w:i/>
                <w:sz w:val="20"/>
                <w:szCs w:val="20"/>
              </w:rPr>
            </w:pPr>
            <w:r w:rsidRPr="00371ED0">
              <w:rPr>
                <w:i/>
                <w:sz w:val="20"/>
                <w:szCs w:val="20"/>
              </w:rPr>
              <w:t>γ≠α</w:t>
            </w:r>
          </w:p>
          <w:p w:rsidR="009A0E42" w:rsidRPr="00371ED0" w:rsidRDefault="009A0E42" w:rsidP="009A0E42">
            <w:pPr>
              <w:rPr>
                <w:sz w:val="20"/>
                <w:szCs w:val="20"/>
                <w:vertAlign w:val="subscript"/>
              </w:rPr>
            </w:pPr>
            <w:proofErr w:type="spellStart"/>
            <w:r w:rsidRPr="00371ED0">
              <w:rPr>
                <w:i/>
                <w:sz w:val="20"/>
                <w:szCs w:val="20"/>
              </w:rPr>
              <w:t>VE</w:t>
            </w:r>
            <w:r w:rsidRPr="00371ED0">
              <w:rPr>
                <w:sz w:val="20"/>
                <w:szCs w:val="20"/>
                <w:vertAlign w:val="subscript"/>
              </w:rPr>
              <w:t>wP</w:t>
            </w:r>
            <w:proofErr w:type="spellEnd"/>
            <w:r w:rsidRPr="00371ED0">
              <w:rPr>
                <w:sz w:val="20"/>
                <w:szCs w:val="20"/>
              </w:rPr>
              <w:t>=</w:t>
            </w:r>
            <w:proofErr w:type="spellStart"/>
            <w:r w:rsidRPr="00371ED0">
              <w:rPr>
                <w:i/>
                <w:sz w:val="20"/>
                <w:szCs w:val="20"/>
              </w:rPr>
              <w:t>VE</w:t>
            </w:r>
            <w:r w:rsidRPr="00371ED0">
              <w:rPr>
                <w:sz w:val="20"/>
                <w:szCs w:val="20"/>
                <w:vertAlign w:val="subscript"/>
              </w:rPr>
              <w:t>aP</w:t>
            </w:r>
            <w:proofErr w:type="spellEnd"/>
          </w:p>
          <w:p w:rsidR="009A0E42" w:rsidRPr="00371ED0" w:rsidRDefault="009A0E42" w:rsidP="009A0E42">
            <w:pPr>
              <w:rPr>
                <w:sz w:val="20"/>
                <w:szCs w:val="20"/>
                <w:vertAlign w:val="subscript"/>
              </w:rPr>
            </w:pPr>
            <w:proofErr w:type="spellStart"/>
            <w:r w:rsidRPr="00371ED0">
              <w:rPr>
                <w:i/>
                <w:sz w:val="20"/>
                <w:szCs w:val="20"/>
              </w:rPr>
              <w:t>dur</w:t>
            </w:r>
            <w:r w:rsidRPr="00371ED0">
              <w:rPr>
                <w:sz w:val="20"/>
                <w:szCs w:val="20"/>
                <w:vertAlign w:val="subscript"/>
              </w:rPr>
              <w:t>wP</w:t>
            </w:r>
            <w:proofErr w:type="spellEnd"/>
            <w:r w:rsidRPr="00371ED0">
              <w:rPr>
                <w:sz w:val="20"/>
                <w:szCs w:val="20"/>
              </w:rPr>
              <w:t>=</w:t>
            </w:r>
            <w:proofErr w:type="spellStart"/>
            <w:r w:rsidRPr="00371ED0">
              <w:rPr>
                <w:i/>
                <w:sz w:val="20"/>
                <w:szCs w:val="20"/>
              </w:rPr>
              <w:t>dur</w:t>
            </w:r>
            <w:r w:rsidRPr="00371ED0">
              <w:rPr>
                <w:sz w:val="20"/>
                <w:szCs w:val="20"/>
                <w:vertAlign w:val="subscript"/>
              </w:rPr>
              <w:t>aP</w:t>
            </w:r>
            <w:proofErr w:type="spellEnd"/>
          </w:p>
        </w:tc>
      </w:tr>
      <w:tr w:rsidR="009A0E42" w:rsidRPr="00371ED0" w:rsidTr="009A0E42">
        <w:trPr>
          <w:trHeight w:val="510"/>
        </w:trPr>
        <w:tc>
          <w:tcPr>
            <w:tcW w:w="756" w:type="dxa"/>
            <w:hideMark/>
          </w:tcPr>
          <w:p w:rsidR="009A0E42" w:rsidRPr="00371ED0" w:rsidRDefault="009A0E42" w:rsidP="009A0E42">
            <w:pPr>
              <w:jc w:val="center"/>
              <w:rPr>
                <w:sz w:val="20"/>
                <w:szCs w:val="20"/>
              </w:rPr>
            </w:pPr>
            <w:r w:rsidRPr="00371ED0">
              <w:rPr>
                <w:b/>
                <w:bCs/>
                <w:sz w:val="20"/>
                <w:szCs w:val="20"/>
              </w:rPr>
              <w:t>5</w:t>
            </w:r>
          </w:p>
        </w:tc>
        <w:tc>
          <w:tcPr>
            <w:tcW w:w="3326" w:type="dxa"/>
            <w:hideMark/>
          </w:tcPr>
          <w:p w:rsidR="009A0E42" w:rsidRPr="00371ED0" w:rsidRDefault="009A0E42" w:rsidP="009A0E42">
            <w:pPr>
              <w:rPr>
                <w:sz w:val="20"/>
                <w:szCs w:val="20"/>
              </w:rPr>
            </w:pPr>
            <w:r w:rsidRPr="00371ED0">
              <w:rPr>
                <w:sz w:val="20"/>
                <w:szCs w:val="20"/>
              </w:rPr>
              <w:t>Vaccination equivalent to natural infection; change in duration in 1992-1998; change in effectiveness in 1992-1998</w:t>
            </w:r>
          </w:p>
        </w:tc>
        <w:tc>
          <w:tcPr>
            <w:tcW w:w="1606" w:type="dxa"/>
          </w:tcPr>
          <w:p w:rsidR="009A0E42" w:rsidRPr="00371ED0" w:rsidRDefault="009A0E42" w:rsidP="009A0E42">
            <w:pPr>
              <w:rPr>
                <w:i/>
                <w:sz w:val="20"/>
                <w:szCs w:val="20"/>
              </w:rPr>
            </w:pPr>
            <w:r w:rsidRPr="00371ED0">
              <w:rPr>
                <w:i/>
                <w:sz w:val="20"/>
                <w:szCs w:val="20"/>
              </w:rPr>
              <w:t>γ=α</w:t>
            </w:r>
          </w:p>
          <w:p w:rsidR="009A0E42" w:rsidRPr="00371ED0" w:rsidRDefault="009A0E42" w:rsidP="009A0E42">
            <w:pPr>
              <w:rPr>
                <w:sz w:val="20"/>
                <w:szCs w:val="20"/>
                <w:vertAlign w:val="subscript"/>
              </w:rPr>
            </w:pPr>
            <w:proofErr w:type="spellStart"/>
            <w:r w:rsidRPr="00371ED0">
              <w:rPr>
                <w:i/>
                <w:sz w:val="20"/>
                <w:szCs w:val="20"/>
              </w:rPr>
              <w:t>VE</w:t>
            </w:r>
            <w:r w:rsidRPr="00371ED0">
              <w:rPr>
                <w:sz w:val="20"/>
                <w:szCs w:val="20"/>
                <w:vertAlign w:val="subscript"/>
              </w:rPr>
              <w:t>wP</w:t>
            </w:r>
            <w:r w:rsidRPr="00371ED0">
              <w:rPr>
                <w:i/>
                <w:sz w:val="20"/>
                <w:szCs w:val="20"/>
              </w:rPr>
              <w:t>≠VE</w:t>
            </w:r>
            <w:r w:rsidRPr="00371ED0">
              <w:rPr>
                <w:sz w:val="20"/>
                <w:szCs w:val="20"/>
                <w:vertAlign w:val="subscript"/>
              </w:rPr>
              <w:t>aP</w:t>
            </w:r>
            <w:proofErr w:type="spellEnd"/>
          </w:p>
          <w:p w:rsidR="009A0E42" w:rsidRPr="00371ED0" w:rsidRDefault="009A0E42" w:rsidP="009A0E42">
            <w:pPr>
              <w:rPr>
                <w:sz w:val="20"/>
                <w:szCs w:val="20"/>
                <w:vertAlign w:val="subscript"/>
              </w:rPr>
            </w:pPr>
            <w:proofErr w:type="spellStart"/>
            <w:r w:rsidRPr="00371ED0">
              <w:rPr>
                <w:i/>
                <w:sz w:val="20"/>
                <w:szCs w:val="20"/>
              </w:rPr>
              <w:t>dur</w:t>
            </w:r>
            <w:r w:rsidRPr="00371ED0">
              <w:rPr>
                <w:sz w:val="20"/>
                <w:szCs w:val="20"/>
                <w:vertAlign w:val="subscript"/>
              </w:rPr>
              <w:t>wP</w:t>
            </w:r>
            <w:r w:rsidRPr="00371ED0">
              <w:rPr>
                <w:i/>
                <w:sz w:val="20"/>
                <w:szCs w:val="20"/>
              </w:rPr>
              <w:t>≠dur</w:t>
            </w:r>
            <w:r w:rsidRPr="00371ED0">
              <w:rPr>
                <w:sz w:val="20"/>
                <w:szCs w:val="20"/>
                <w:vertAlign w:val="subscript"/>
              </w:rPr>
              <w:t>aP</w:t>
            </w:r>
            <w:proofErr w:type="spellEnd"/>
          </w:p>
        </w:tc>
      </w:tr>
      <w:tr w:rsidR="009A0E42" w:rsidRPr="00371ED0" w:rsidTr="009A0E42">
        <w:trPr>
          <w:trHeight w:val="510"/>
        </w:trPr>
        <w:tc>
          <w:tcPr>
            <w:tcW w:w="756" w:type="dxa"/>
            <w:hideMark/>
          </w:tcPr>
          <w:p w:rsidR="009A0E42" w:rsidRPr="00371ED0" w:rsidRDefault="009A0E42" w:rsidP="009A0E42">
            <w:pPr>
              <w:jc w:val="center"/>
              <w:rPr>
                <w:sz w:val="20"/>
                <w:szCs w:val="20"/>
              </w:rPr>
            </w:pPr>
            <w:r w:rsidRPr="00371ED0">
              <w:rPr>
                <w:b/>
                <w:bCs/>
                <w:sz w:val="20"/>
                <w:szCs w:val="20"/>
              </w:rPr>
              <w:t>6</w:t>
            </w:r>
          </w:p>
        </w:tc>
        <w:tc>
          <w:tcPr>
            <w:tcW w:w="3326" w:type="dxa"/>
            <w:hideMark/>
          </w:tcPr>
          <w:p w:rsidR="009A0E42" w:rsidRPr="00371ED0" w:rsidRDefault="009A0E42" w:rsidP="009A0E42">
            <w:pPr>
              <w:rPr>
                <w:sz w:val="20"/>
                <w:szCs w:val="20"/>
              </w:rPr>
            </w:pPr>
            <w:r w:rsidRPr="00371ED0">
              <w:rPr>
                <w:sz w:val="20"/>
                <w:szCs w:val="20"/>
              </w:rPr>
              <w:t>Vaccination duration different from natural infection; no change in duration; change in effectiveness in 1992-1998</w:t>
            </w:r>
          </w:p>
        </w:tc>
        <w:tc>
          <w:tcPr>
            <w:tcW w:w="1606" w:type="dxa"/>
          </w:tcPr>
          <w:p w:rsidR="009A0E42" w:rsidRPr="00371ED0" w:rsidRDefault="009A0E42" w:rsidP="009A0E42">
            <w:pPr>
              <w:rPr>
                <w:i/>
                <w:sz w:val="20"/>
                <w:szCs w:val="20"/>
              </w:rPr>
            </w:pPr>
            <w:r w:rsidRPr="00371ED0">
              <w:rPr>
                <w:i/>
                <w:sz w:val="20"/>
                <w:szCs w:val="20"/>
              </w:rPr>
              <w:t>γ≠α</w:t>
            </w:r>
          </w:p>
          <w:p w:rsidR="009A0E42" w:rsidRPr="00371ED0" w:rsidRDefault="009A0E42" w:rsidP="009A0E42">
            <w:pPr>
              <w:rPr>
                <w:sz w:val="20"/>
                <w:szCs w:val="20"/>
                <w:vertAlign w:val="subscript"/>
              </w:rPr>
            </w:pPr>
            <w:proofErr w:type="spellStart"/>
            <w:r w:rsidRPr="00371ED0">
              <w:rPr>
                <w:i/>
                <w:sz w:val="20"/>
                <w:szCs w:val="20"/>
              </w:rPr>
              <w:t>VE</w:t>
            </w:r>
            <w:r w:rsidRPr="00371ED0">
              <w:rPr>
                <w:sz w:val="20"/>
                <w:szCs w:val="20"/>
                <w:vertAlign w:val="subscript"/>
              </w:rPr>
              <w:t>wP</w:t>
            </w:r>
            <w:r w:rsidRPr="00371ED0">
              <w:rPr>
                <w:i/>
                <w:sz w:val="20"/>
                <w:szCs w:val="20"/>
              </w:rPr>
              <w:t>≠VE</w:t>
            </w:r>
            <w:r w:rsidRPr="00371ED0">
              <w:rPr>
                <w:sz w:val="20"/>
                <w:szCs w:val="20"/>
                <w:vertAlign w:val="subscript"/>
              </w:rPr>
              <w:t>aP</w:t>
            </w:r>
            <w:proofErr w:type="spellEnd"/>
          </w:p>
          <w:p w:rsidR="009A0E42" w:rsidRPr="00371ED0" w:rsidRDefault="009A0E42" w:rsidP="009A0E42">
            <w:pPr>
              <w:rPr>
                <w:sz w:val="20"/>
                <w:szCs w:val="20"/>
                <w:vertAlign w:val="subscript"/>
              </w:rPr>
            </w:pPr>
            <w:proofErr w:type="spellStart"/>
            <w:r w:rsidRPr="00371ED0">
              <w:rPr>
                <w:i/>
                <w:sz w:val="20"/>
                <w:szCs w:val="20"/>
              </w:rPr>
              <w:t>dur</w:t>
            </w:r>
            <w:r w:rsidRPr="00371ED0">
              <w:rPr>
                <w:sz w:val="20"/>
                <w:szCs w:val="20"/>
                <w:vertAlign w:val="subscript"/>
              </w:rPr>
              <w:t>wP</w:t>
            </w:r>
            <w:proofErr w:type="spellEnd"/>
            <w:r w:rsidRPr="00371ED0">
              <w:rPr>
                <w:sz w:val="20"/>
                <w:szCs w:val="20"/>
              </w:rPr>
              <w:t>=</w:t>
            </w:r>
            <w:proofErr w:type="spellStart"/>
            <w:r w:rsidRPr="00371ED0">
              <w:rPr>
                <w:i/>
                <w:sz w:val="20"/>
                <w:szCs w:val="20"/>
              </w:rPr>
              <w:t>dur</w:t>
            </w:r>
            <w:r w:rsidRPr="00371ED0">
              <w:rPr>
                <w:sz w:val="20"/>
                <w:szCs w:val="20"/>
                <w:vertAlign w:val="subscript"/>
              </w:rPr>
              <w:t>aP</w:t>
            </w:r>
            <w:proofErr w:type="spellEnd"/>
          </w:p>
        </w:tc>
      </w:tr>
      <w:tr w:rsidR="009A0E42" w:rsidRPr="00371ED0" w:rsidTr="009A0E42">
        <w:trPr>
          <w:trHeight w:val="510"/>
        </w:trPr>
        <w:tc>
          <w:tcPr>
            <w:tcW w:w="756" w:type="dxa"/>
            <w:hideMark/>
          </w:tcPr>
          <w:p w:rsidR="009A0E42" w:rsidRPr="00371ED0" w:rsidRDefault="009A0E42" w:rsidP="009A0E42">
            <w:pPr>
              <w:jc w:val="center"/>
              <w:rPr>
                <w:sz w:val="20"/>
                <w:szCs w:val="20"/>
              </w:rPr>
            </w:pPr>
            <w:r w:rsidRPr="00371ED0">
              <w:rPr>
                <w:b/>
                <w:bCs/>
                <w:sz w:val="20"/>
                <w:szCs w:val="20"/>
              </w:rPr>
              <w:t>7</w:t>
            </w:r>
          </w:p>
        </w:tc>
        <w:tc>
          <w:tcPr>
            <w:tcW w:w="3326" w:type="dxa"/>
            <w:hideMark/>
          </w:tcPr>
          <w:p w:rsidR="009A0E42" w:rsidRPr="00371ED0" w:rsidRDefault="009A0E42" w:rsidP="009A0E42">
            <w:pPr>
              <w:rPr>
                <w:sz w:val="20"/>
                <w:szCs w:val="20"/>
              </w:rPr>
            </w:pPr>
            <w:r w:rsidRPr="00371ED0">
              <w:rPr>
                <w:sz w:val="20"/>
                <w:szCs w:val="20"/>
              </w:rPr>
              <w:t>Vaccination duration different from natural infection; change in duration in 1992-1998; no change in effectiveness</w:t>
            </w:r>
          </w:p>
        </w:tc>
        <w:tc>
          <w:tcPr>
            <w:tcW w:w="1606" w:type="dxa"/>
          </w:tcPr>
          <w:p w:rsidR="009A0E42" w:rsidRPr="00371ED0" w:rsidRDefault="009A0E42" w:rsidP="009A0E42">
            <w:pPr>
              <w:rPr>
                <w:i/>
                <w:sz w:val="20"/>
                <w:szCs w:val="20"/>
              </w:rPr>
            </w:pPr>
            <w:r w:rsidRPr="00371ED0">
              <w:rPr>
                <w:i/>
                <w:sz w:val="20"/>
                <w:szCs w:val="20"/>
              </w:rPr>
              <w:t>γ≠α</w:t>
            </w:r>
          </w:p>
          <w:p w:rsidR="009A0E42" w:rsidRPr="00371ED0" w:rsidRDefault="009A0E42" w:rsidP="009A0E42">
            <w:pPr>
              <w:rPr>
                <w:sz w:val="20"/>
                <w:szCs w:val="20"/>
                <w:vertAlign w:val="subscript"/>
              </w:rPr>
            </w:pPr>
            <w:proofErr w:type="spellStart"/>
            <w:r w:rsidRPr="00371ED0">
              <w:rPr>
                <w:i/>
                <w:sz w:val="20"/>
                <w:szCs w:val="20"/>
              </w:rPr>
              <w:t>VE</w:t>
            </w:r>
            <w:r w:rsidRPr="00371ED0">
              <w:rPr>
                <w:sz w:val="20"/>
                <w:szCs w:val="20"/>
                <w:vertAlign w:val="subscript"/>
              </w:rPr>
              <w:t>wP</w:t>
            </w:r>
            <w:proofErr w:type="spellEnd"/>
            <w:r w:rsidRPr="00371ED0">
              <w:rPr>
                <w:i/>
                <w:sz w:val="20"/>
                <w:szCs w:val="20"/>
              </w:rPr>
              <w:t>=</w:t>
            </w:r>
            <w:proofErr w:type="spellStart"/>
            <w:r w:rsidRPr="00371ED0">
              <w:rPr>
                <w:i/>
                <w:sz w:val="20"/>
                <w:szCs w:val="20"/>
              </w:rPr>
              <w:t>VE</w:t>
            </w:r>
            <w:r w:rsidRPr="00371ED0">
              <w:rPr>
                <w:sz w:val="20"/>
                <w:szCs w:val="20"/>
                <w:vertAlign w:val="subscript"/>
              </w:rPr>
              <w:t>aP</w:t>
            </w:r>
            <w:proofErr w:type="spellEnd"/>
          </w:p>
          <w:p w:rsidR="009A0E42" w:rsidRPr="00371ED0" w:rsidRDefault="009A0E42" w:rsidP="009A0E42">
            <w:pPr>
              <w:rPr>
                <w:sz w:val="20"/>
                <w:szCs w:val="20"/>
                <w:vertAlign w:val="subscript"/>
              </w:rPr>
            </w:pPr>
            <w:proofErr w:type="spellStart"/>
            <w:r w:rsidRPr="00371ED0">
              <w:rPr>
                <w:i/>
                <w:sz w:val="20"/>
                <w:szCs w:val="20"/>
              </w:rPr>
              <w:t>dur</w:t>
            </w:r>
            <w:r w:rsidRPr="00371ED0">
              <w:rPr>
                <w:sz w:val="20"/>
                <w:szCs w:val="20"/>
                <w:vertAlign w:val="subscript"/>
              </w:rPr>
              <w:t>wP</w:t>
            </w:r>
            <w:r w:rsidRPr="00371ED0">
              <w:rPr>
                <w:i/>
                <w:sz w:val="20"/>
                <w:szCs w:val="20"/>
              </w:rPr>
              <w:t>≠dur</w:t>
            </w:r>
            <w:r w:rsidRPr="00371ED0">
              <w:rPr>
                <w:sz w:val="20"/>
                <w:szCs w:val="20"/>
                <w:vertAlign w:val="subscript"/>
              </w:rPr>
              <w:t>aP</w:t>
            </w:r>
            <w:proofErr w:type="spellEnd"/>
          </w:p>
        </w:tc>
      </w:tr>
      <w:tr w:rsidR="009A0E42" w:rsidRPr="00371ED0" w:rsidTr="009A0E42">
        <w:trPr>
          <w:trHeight w:val="510"/>
        </w:trPr>
        <w:tc>
          <w:tcPr>
            <w:tcW w:w="756" w:type="dxa"/>
            <w:hideMark/>
          </w:tcPr>
          <w:p w:rsidR="009A0E42" w:rsidRPr="00371ED0" w:rsidRDefault="009A0E42" w:rsidP="009A0E42">
            <w:pPr>
              <w:jc w:val="center"/>
              <w:rPr>
                <w:sz w:val="20"/>
                <w:szCs w:val="20"/>
              </w:rPr>
            </w:pPr>
            <w:r w:rsidRPr="00371ED0">
              <w:rPr>
                <w:b/>
                <w:bCs/>
                <w:sz w:val="20"/>
                <w:szCs w:val="20"/>
              </w:rPr>
              <w:t>8</w:t>
            </w:r>
          </w:p>
        </w:tc>
        <w:tc>
          <w:tcPr>
            <w:tcW w:w="3326" w:type="dxa"/>
            <w:hideMark/>
          </w:tcPr>
          <w:p w:rsidR="009A0E42" w:rsidRPr="00371ED0" w:rsidRDefault="009A0E42" w:rsidP="009A0E42">
            <w:pPr>
              <w:rPr>
                <w:sz w:val="20"/>
                <w:szCs w:val="20"/>
              </w:rPr>
            </w:pPr>
            <w:r w:rsidRPr="00371ED0">
              <w:rPr>
                <w:sz w:val="20"/>
                <w:szCs w:val="20"/>
              </w:rPr>
              <w:t>Vaccination duration different from natural infection; change in duration in 1992-1998; change in effectiveness in 1992-1998</w:t>
            </w:r>
          </w:p>
        </w:tc>
        <w:tc>
          <w:tcPr>
            <w:tcW w:w="1606" w:type="dxa"/>
          </w:tcPr>
          <w:p w:rsidR="009A0E42" w:rsidRPr="00371ED0" w:rsidRDefault="009A0E42" w:rsidP="009A0E42">
            <w:pPr>
              <w:rPr>
                <w:i/>
                <w:sz w:val="20"/>
                <w:szCs w:val="20"/>
              </w:rPr>
            </w:pPr>
            <w:r w:rsidRPr="00371ED0">
              <w:rPr>
                <w:i/>
                <w:sz w:val="20"/>
                <w:szCs w:val="20"/>
              </w:rPr>
              <w:t>γ≠α</w:t>
            </w:r>
          </w:p>
          <w:p w:rsidR="009A0E42" w:rsidRPr="00371ED0" w:rsidRDefault="009A0E42" w:rsidP="009A0E42">
            <w:pPr>
              <w:rPr>
                <w:sz w:val="20"/>
                <w:szCs w:val="20"/>
                <w:vertAlign w:val="subscript"/>
              </w:rPr>
            </w:pPr>
            <w:proofErr w:type="spellStart"/>
            <w:r w:rsidRPr="00371ED0">
              <w:rPr>
                <w:i/>
                <w:sz w:val="20"/>
                <w:szCs w:val="20"/>
              </w:rPr>
              <w:t>VE</w:t>
            </w:r>
            <w:r w:rsidRPr="00371ED0">
              <w:rPr>
                <w:sz w:val="20"/>
                <w:szCs w:val="20"/>
                <w:vertAlign w:val="subscript"/>
              </w:rPr>
              <w:t>wP</w:t>
            </w:r>
            <w:r w:rsidRPr="00371ED0">
              <w:rPr>
                <w:i/>
                <w:sz w:val="20"/>
                <w:szCs w:val="20"/>
              </w:rPr>
              <w:t>≠VE</w:t>
            </w:r>
            <w:r w:rsidRPr="00371ED0">
              <w:rPr>
                <w:sz w:val="20"/>
                <w:szCs w:val="20"/>
                <w:vertAlign w:val="subscript"/>
              </w:rPr>
              <w:t>aP</w:t>
            </w:r>
            <w:proofErr w:type="spellEnd"/>
          </w:p>
          <w:p w:rsidR="009A0E42" w:rsidRPr="00371ED0" w:rsidRDefault="009A0E42" w:rsidP="009A0E42">
            <w:pPr>
              <w:rPr>
                <w:sz w:val="20"/>
                <w:szCs w:val="20"/>
                <w:vertAlign w:val="subscript"/>
              </w:rPr>
            </w:pPr>
            <w:proofErr w:type="spellStart"/>
            <w:r w:rsidRPr="00371ED0">
              <w:rPr>
                <w:i/>
                <w:sz w:val="20"/>
                <w:szCs w:val="20"/>
              </w:rPr>
              <w:t>dur</w:t>
            </w:r>
            <w:r w:rsidRPr="00371ED0">
              <w:rPr>
                <w:sz w:val="20"/>
                <w:szCs w:val="20"/>
                <w:vertAlign w:val="subscript"/>
              </w:rPr>
              <w:t>wP</w:t>
            </w:r>
            <w:r w:rsidRPr="00371ED0">
              <w:rPr>
                <w:i/>
                <w:sz w:val="20"/>
                <w:szCs w:val="20"/>
              </w:rPr>
              <w:t>≠dur</w:t>
            </w:r>
            <w:r w:rsidRPr="00371ED0">
              <w:rPr>
                <w:sz w:val="20"/>
                <w:szCs w:val="20"/>
                <w:vertAlign w:val="subscript"/>
              </w:rPr>
              <w:t>aP</w:t>
            </w:r>
            <w:proofErr w:type="spellEnd"/>
          </w:p>
        </w:tc>
      </w:tr>
    </w:tbl>
    <w:p w:rsidR="00B27A24" w:rsidRPr="00371ED0" w:rsidRDefault="00B27A24"/>
    <w:p w:rsidR="00A276F4" w:rsidRPr="00371ED0" w:rsidRDefault="00A276F4"/>
    <w:p w:rsidR="00A276F4" w:rsidRPr="00371ED0" w:rsidRDefault="00A276F4">
      <w:pPr>
        <w:rPr>
          <w:b/>
        </w:rPr>
      </w:pPr>
    </w:p>
    <w:p w:rsidR="009A0E42" w:rsidRPr="00371ED0" w:rsidRDefault="009A0E42">
      <w:pPr>
        <w:rPr>
          <w:b/>
        </w:rPr>
      </w:pPr>
    </w:p>
    <w:p w:rsidR="009A0E42" w:rsidRPr="00371ED0" w:rsidRDefault="009A0E42">
      <w:pPr>
        <w:rPr>
          <w:b/>
        </w:rPr>
      </w:pPr>
    </w:p>
    <w:p w:rsidR="009A0E42" w:rsidRPr="00371ED0" w:rsidRDefault="009A0E42">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CB6767" w:rsidRPr="00371ED0" w:rsidRDefault="00CB6767">
      <w:pPr>
        <w:rPr>
          <w:b/>
        </w:rPr>
      </w:pPr>
    </w:p>
    <w:p w:rsidR="00A7284F" w:rsidRPr="00371ED0" w:rsidRDefault="00A7284F">
      <w:pPr>
        <w:rPr>
          <w:i/>
        </w:rPr>
      </w:pPr>
    </w:p>
    <w:p w:rsidR="0079729F" w:rsidRPr="00371ED0" w:rsidRDefault="002809C3">
      <w:pPr>
        <w:rPr>
          <w:i/>
          <w:sz w:val="24"/>
          <w:szCs w:val="24"/>
        </w:rPr>
      </w:pPr>
      <w:r w:rsidRPr="00371ED0">
        <w:rPr>
          <w:i/>
          <w:sz w:val="24"/>
          <w:szCs w:val="24"/>
        </w:rPr>
        <w:lastRenderedPageBreak/>
        <w:t>Full annual age-dependent incidence data compared with model generated output</w:t>
      </w:r>
    </w:p>
    <w:p w:rsidR="00A276F4" w:rsidRPr="00371ED0" w:rsidRDefault="0079729F">
      <w:pPr>
        <w:rPr>
          <w:sz w:val="24"/>
          <w:szCs w:val="24"/>
        </w:rPr>
      </w:pPr>
      <w:r w:rsidRPr="00371ED0">
        <w:rPr>
          <w:sz w:val="24"/>
          <w:szCs w:val="24"/>
        </w:rPr>
        <w:t xml:space="preserve">Below we show the annual age-dependent disease incidence in the US between 1990 and 2009 (black dots) and the model-generated means (blue lines) and the corresponding uncertainty envelopes (grey shaded regions, CIs as for the shaded envelopes in the main text) for the best fitting model (Model 8). </w:t>
      </w:r>
      <w:r w:rsidR="002809C3" w:rsidRPr="00371ED0">
        <w:rPr>
          <w:sz w:val="24"/>
          <w:szCs w:val="24"/>
        </w:rPr>
        <w:t xml:space="preserve"> </w:t>
      </w:r>
    </w:p>
    <w:p w:rsidR="00004681" w:rsidRPr="00371ED0" w:rsidRDefault="00004681" w:rsidP="00CB6767">
      <w:pPr>
        <w:jc w:val="center"/>
        <w:rPr>
          <w:sz w:val="24"/>
          <w:szCs w:val="24"/>
        </w:rPr>
      </w:pPr>
      <w:r w:rsidRPr="00371ED0">
        <w:rPr>
          <w:noProof/>
          <w:sz w:val="24"/>
          <w:szCs w:val="24"/>
          <w:lang w:val="en-AU" w:eastAsia="zh-CN"/>
        </w:rPr>
        <w:drawing>
          <wp:inline distT="0" distB="0" distL="0" distR="0" wp14:anchorId="621BCAD7" wp14:editId="5F4188C6">
            <wp:extent cx="4951562" cy="3674268"/>
            <wp:effectExtent l="0" t="0" r="190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TdapCrossSec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56562" cy="3677978"/>
                    </a:xfrm>
                    <a:prstGeom prst="rect">
                      <a:avLst/>
                    </a:prstGeom>
                  </pic:spPr>
                </pic:pic>
              </a:graphicData>
            </a:graphic>
          </wp:inline>
        </w:drawing>
      </w:r>
    </w:p>
    <w:p w:rsidR="00107D88" w:rsidRPr="00371ED0" w:rsidRDefault="00107D88" w:rsidP="00107D88">
      <w:pPr>
        <w:rPr>
          <w:sz w:val="20"/>
          <w:szCs w:val="20"/>
        </w:rPr>
      </w:pPr>
      <w:r w:rsidRPr="00371ED0">
        <w:rPr>
          <w:sz w:val="20"/>
          <w:szCs w:val="20"/>
        </w:rPr>
        <w:t xml:space="preserve">Figure 3: Annual age-dependent (to age 30 years) incidence of pertussis disease cases for the years 1990-2009. </w:t>
      </w:r>
      <w:proofErr w:type="spellStart"/>
      <w:r w:rsidRPr="00371ED0">
        <w:rPr>
          <w:sz w:val="20"/>
          <w:szCs w:val="20"/>
        </w:rPr>
        <w:t>Gray</w:t>
      </w:r>
      <w:proofErr w:type="spellEnd"/>
      <w:r w:rsidRPr="00371ED0">
        <w:rPr>
          <w:sz w:val="20"/>
          <w:szCs w:val="20"/>
        </w:rPr>
        <w:t xml:space="preserve"> shaded envelopes indicate 50%, 90%, 95%, and 99% credible intervals from the model parameter and uncertainty estimation. Black points indicate disease incidence data collected by the NNDSS. </w:t>
      </w:r>
    </w:p>
    <w:p w:rsidR="00EC0B7E" w:rsidRPr="00371ED0" w:rsidRDefault="00EC0B7E">
      <w:pPr>
        <w:rPr>
          <w:i/>
          <w:sz w:val="24"/>
          <w:szCs w:val="24"/>
        </w:rPr>
      </w:pPr>
      <w:r w:rsidRPr="00371ED0">
        <w:rPr>
          <w:i/>
          <w:sz w:val="24"/>
          <w:szCs w:val="24"/>
        </w:rPr>
        <w:t>Further analysis relating to simulated case-control VE studies</w:t>
      </w:r>
    </w:p>
    <w:p w:rsidR="00A276F4" w:rsidRPr="00371ED0" w:rsidRDefault="002809C3">
      <w:pPr>
        <w:rPr>
          <w:sz w:val="24"/>
          <w:szCs w:val="24"/>
        </w:rPr>
      </w:pPr>
      <w:r w:rsidRPr="00371ED0">
        <w:rPr>
          <w:sz w:val="24"/>
          <w:szCs w:val="24"/>
        </w:rPr>
        <w:t>An equivalent simulated case-control study</w:t>
      </w:r>
      <w:r w:rsidR="006F0ACC" w:rsidRPr="00371ED0">
        <w:rPr>
          <w:sz w:val="24"/>
          <w:szCs w:val="24"/>
        </w:rPr>
        <w:t xml:space="preserve"> </w:t>
      </w:r>
      <w:r w:rsidRPr="00371ED0">
        <w:rPr>
          <w:sz w:val="24"/>
          <w:szCs w:val="24"/>
        </w:rPr>
        <w:t xml:space="preserve">to that outlined in the main </w:t>
      </w:r>
      <w:proofErr w:type="gramStart"/>
      <w:r w:rsidRPr="00371ED0">
        <w:rPr>
          <w:sz w:val="24"/>
          <w:szCs w:val="24"/>
        </w:rPr>
        <w:t>text,</w:t>
      </w:r>
      <w:proofErr w:type="gramEnd"/>
      <w:r w:rsidRPr="00371ED0">
        <w:rPr>
          <w:sz w:val="24"/>
          <w:szCs w:val="24"/>
        </w:rPr>
        <w:t xml:space="preserve"> </w:t>
      </w:r>
      <w:r w:rsidR="006F0ACC" w:rsidRPr="00371ED0">
        <w:rPr>
          <w:sz w:val="24"/>
          <w:szCs w:val="24"/>
        </w:rPr>
        <w:t xml:space="preserve">was </w:t>
      </w:r>
      <w:r w:rsidRPr="00371ED0">
        <w:rPr>
          <w:sz w:val="24"/>
          <w:szCs w:val="24"/>
        </w:rPr>
        <w:t xml:space="preserve">also </w:t>
      </w:r>
      <w:r w:rsidR="006F0ACC" w:rsidRPr="00371ED0">
        <w:rPr>
          <w:sz w:val="24"/>
          <w:szCs w:val="24"/>
        </w:rPr>
        <w:t xml:space="preserve">performed for each of the years between 1990 and 2009, using the best-fitting model. </w:t>
      </w:r>
      <w:r w:rsidRPr="00371ED0">
        <w:rPr>
          <w:sz w:val="24"/>
          <w:szCs w:val="24"/>
        </w:rPr>
        <w:t>The utility of such a simulated study is to examine whether there are any changes in the pattern of measured VE, following the administration of the 5</w:t>
      </w:r>
      <w:r w:rsidRPr="00371ED0">
        <w:rPr>
          <w:sz w:val="24"/>
          <w:szCs w:val="24"/>
          <w:vertAlign w:val="superscript"/>
        </w:rPr>
        <w:t>th</w:t>
      </w:r>
      <w:r w:rsidRPr="00371ED0">
        <w:rPr>
          <w:sz w:val="24"/>
          <w:szCs w:val="24"/>
        </w:rPr>
        <w:t xml:space="preserve"> dose of vaccine, over time. </w:t>
      </w:r>
      <w:r w:rsidR="00A27F87" w:rsidRPr="00371ED0">
        <w:rPr>
          <w:sz w:val="24"/>
          <w:szCs w:val="24"/>
        </w:rPr>
        <w:t>Figure 4</w:t>
      </w:r>
      <w:r w:rsidR="006F0ACC" w:rsidRPr="00371ED0">
        <w:rPr>
          <w:sz w:val="24"/>
          <w:szCs w:val="24"/>
        </w:rPr>
        <w:t xml:space="preserve"> illustrates a sequence VE simulations of the same case-control study, had it been performed in each year 2000-2006. We find that the decline in VE occurs in steps as each annual cohort of children vaccinated entirely with the </w:t>
      </w:r>
      <w:proofErr w:type="spellStart"/>
      <w:r w:rsidR="006F0ACC" w:rsidRPr="00371ED0">
        <w:rPr>
          <w:sz w:val="24"/>
          <w:szCs w:val="24"/>
        </w:rPr>
        <w:t>acellular</w:t>
      </w:r>
      <w:proofErr w:type="spellEnd"/>
      <w:r w:rsidR="006F0ACC" w:rsidRPr="00371ED0">
        <w:rPr>
          <w:sz w:val="24"/>
          <w:szCs w:val="24"/>
        </w:rPr>
        <w:t xml:space="preserve"> vaccine enters the simulated study. Within the given years 2003-2005 the VE clearly rises, with time since final dose, due to the specific year at which the entire vaccination schedule was changed from </w:t>
      </w:r>
      <w:proofErr w:type="spellStart"/>
      <w:proofErr w:type="gramStart"/>
      <w:r w:rsidR="006F0ACC" w:rsidRPr="00371ED0">
        <w:rPr>
          <w:sz w:val="24"/>
          <w:szCs w:val="24"/>
        </w:rPr>
        <w:t>wP</w:t>
      </w:r>
      <w:proofErr w:type="spellEnd"/>
      <w:proofErr w:type="gramEnd"/>
      <w:r w:rsidR="006F0ACC" w:rsidRPr="00371ED0">
        <w:rPr>
          <w:sz w:val="24"/>
          <w:szCs w:val="24"/>
        </w:rPr>
        <w:t xml:space="preserve"> to </w:t>
      </w:r>
      <w:proofErr w:type="spellStart"/>
      <w:r w:rsidR="006F0ACC" w:rsidRPr="00371ED0">
        <w:rPr>
          <w:sz w:val="24"/>
          <w:szCs w:val="24"/>
        </w:rPr>
        <w:t>aP</w:t>
      </w:r>
      <w:proofErr w:type="spellEnd"/>
      <w:r w:rsidR="006F0ACC" w:rsidRPr="00371ED0">
        <w:rPr>
          <w:sz w:val="24"/>
          <w:szCs w:val="24"/>
        </w:rPr>
        <w:t xml:space="preserve"> in the simulation. Such a clearly-defined VE change is unlikely to be observed in real case data, though such an upturn may be responsible for the slightly hi</w:t>
      </w:r>
      <w:r w:rsidR="0079729F" w:rsidRPr="00371ED0">
        <w:rPr>
          <w:sz w:val="24"/>
          <w:szCs w:val="24"/>
        </w:rPr>
        <w:t>gher final data point in Figure 5</w:t>
      </w:r>
      <w:r w:rsidR="006F0ACC" w:rsidRPr="00371ED0">
        <w:rPr>
          <w:sz w:val="24"/>
          <w:szCs w:val="24"/>
        </w:rPr>
        <w:t xml:space="preserve"> from </w:t>
      </w:r>
      <w:proofErr w:type="spellStart"/>
      <w:r w:rsidR="006F0ACC" w:rsidRPr="00371ED0">
        <w:rPr>
          <w:sz w:val="24"/>
          <w:szCs w:val="24"/>
        </w:rPr>
        <w:t>Misegades</w:t>
      </w:r>
      <w:proofErr w:type="spellEnd"/>
      <w:r w:rsidR="006F0ACC" w:rsidRPr="00371ED0">
        <w:rPr>
          <w:sz w:val="24"/>
          <w:szCs w:val="24"/>
        </w:rPr>
        <w:t xml:space="preserve"> et al </w:t>
      </w:r>
      <w:r w:rsidR="006F0ACC" w:rsidRPr="00371ED0">
        <w:rPr>
          <w:sz w:val="24"/>
          <w:szCs w:val="24"/>
        </w:rPr>
        <w:fldChar w:fldCharType="begin">
          <w:fldData xml:space="preserve">PEVuZE5vdGU+PENpdGU+PEF1dGhvcj5NaXNlZ2FkZXM8L0F1dGhvcj48WWVhcj4yMDEyPC9ZZWFy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=
</w:fldData>
        </w:fldChar>
      </w:r>
      <w:r w:rsidR="007A6ECD" w:rsidRPr="00371ED0">
        <w:rPr>
          <w:sz w:val="24"/>
          <w:szCs w:val="24"/>
        </w:rPr>
        <w:instrText xml:space="preserve"> ADDIN EN.CITE </w:instrText>
      </w:r>
      <w:r w:rsidR="007A6ECD" w:rsidRPr="00371ED0">
        <w:rPr>
          <w:sz w:val="24"/>
          <w:szCs w:val="24"/>
        </w:rPr>
        <w:fldChar w:fldCharType="begin">
          <w:fldData xml:space="preserve">PEVuZE5vdGU+PENpdGU+PEF1dGhvcj5NaXNlZ2FkZXM8L0F1dGhvcj48WWVhcj4yMDEyPC9ZZWFy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=
</w:fldData>
        </w:fldChar>
      </w:r>
      <w:r w:rsidR="007A6ECD" w:rsidRPr="00371ED0">
        <w:rPr>
          <w:sz w:val="24"/>
          <w:szCs w:val="24"/>
        </w:rPr>
        <w:instrText xml:space="preserve"> ADDIN EN.CITE.DATA </w:instrText>
      </w:r>
      <w:r w:rsidR="007A6ECD" w:rsidRPr="00371ED0">
        <w:rPr>
          <w:sz w:val="24"/>
          <w:szCs w:val="24"/>
        </w:rPr>
      </w:r>
      <w:r w:rsidR="007A6ECD" w:rsidRPr="00371ED0">
        <w:rPr>
          <w:sz w:val="24"/>
          <w:szCs w:val="24"/>
        </w:rPr>
        <w:fldChar w:fldCharType="end"/>
      </w:r>
      <w:r w:rsidR="006F0ACC" w:rsidRPr="00371ED0">
        <w:rPr>
          <w:sz w:val="24"/>
          <w:szCs w:val="24"/>
        </w:rPr>
      </w:r>
      <w:r w:rsidR="006F0ACC" w:rsidRPr="00371ED0">
        <w:rPr>
          <w:sz w:val="24"/>
          <w:szCs w:val="24"/>
        </w:rPr>
        <w:fldChar w:fldCharType="separate"/>
      </w:r>
      <w:r w:rsidR="007A6ECD" w:rsidRPr="00371ED0">
        <w:rPr>
          <w:noProof/>
          <w:sz w:val="24"/>
          <w:szCs w:val="24"/>
        </w:rPr>
        <w:t>[</w:t>
      </w:r>
      <w:hyperlink w:anchor="_ENREF_4" w:tooltip="Misegades, 2012 #22" w:history="1">
        <w:r w:rsidR="007A6ECD" w:rsidRPr="00371ED0">
          <w:rPr>
            <w:noProof/>
            <w:sz w:val="24"/>
            <w:szCs w:val="24"/>
          </w:rPr>
          <w:t>4</w:t>
        </w:r>
      </w:hyperlink>
      <w:r w:rsidR="007A6ECD" w:rsidRPr="00371ED0">
        <w:rPr>
          <w:noProof/>
          <w:sz w:val="24"/>
          <w:szCs w:val="24"/>
        </w:rPr>
        <w:t>]</w:t>
      </w:r>
      <w:r w:rsidR="006F0ACC" w:rsidRPr="00371ED0">
        <w:rPr>
          <w:sz w:val="24"/>
          <w:szCs w:val="24"/>
        </w:rPr>
        <w:fldChar w:fldCharType="end"/>
      </w:r>
      <w:r w:rsidR="006F0ACC" w:rsidRPr="00371ED0">
        <w:rPr>
          <w:sz w:val="24"/>
          <w:szCs w:val="24"/>
        </w:rPr>
        <w:t xml:space="preserve">, for which there may remain a small proportion of individuals with mixed </w:t>
      </w:r>
      <w:proofErr w:type="spellStart"/>
      <w:r w:rsidR="006F0ACC" w:rsidRPr="00371ED0">
        <w:rPr>
          <w:sz w:val="24"/>
          <w:szCs w:val="24"/>
        </w:rPr>
        <w:t>aP</w:t>
      </w:r>
      <w:proofErr w:type="spellEnd"/>
      <w:r w:rsidR="006F0ACC" w:rsidRPr="00371ED0">
        <w:rPr>
          <w:sz w:val="24"/>
          <w:szCs w:val="24"/>
        </w:rPr>
        <w:t xml:space="preserve"> and </w:t>
      </w:r>
      <w:proofErr w:type="spellStart"/>
      <w:r w:rsidR="006F0ACC" w:rsidRPr="00371ED0">
        <w:rPr>
          <w:sz w:val="24"/>
          <w:szCs w:val="24"/>
        </w:rPr>
        <w:t>wP</w:t>
      </w:r>
      <w:proofErr w:type="spellEnd"/>
      <w:r w:rsidR="006F0ACC" w:rsidRPr="00371ED0">
        <w:rPr>
          <w:sz w:val="24"/>
          <w:szCs w:val="24"/>
        </w:rPr>
        <w:t xml:space="preserve"> or entirely </w:t>
      </w:r>
      <w:proofErr w:type="spellStart"/>
      <w:r w:rsidR="006F0ACC" w:rsidRPr="00371ED0">
        <w:rPr>
          <w:sz w:val="24"/>
          <w:szCs w:val="24"/>
        </w:rPr>
        <w:t>wP</w:t>
      </w:r>
      <w:proofErr w:type="spellEnd"/>
      <w:r w:rsidR="006F0ACC" w:rsidRPr="00371ED0">
        <w:rPr>
          <w:sz w:val="24"/>
          <w:szCs w:val="24"/>
        </w:rPr>
        <w:t xml:space="preserve"> vaccination histories.</w:t>
      </w:r>
    </w:p>
    <w:p w:rsidR="00A276F4" w:rsidRPr="00371ED0" w:rsidRDefault="00A276F4" w:rsidP="00A276F4">
      <w:pPr>
        <w:jc w:val="center"/>
        <w:rPr>
          <w:sz w:val="20"/>
          <w:szCs w:val="20"/>
        </w:rPr>
      </w:pPr>
      <w:r w:rsidRPr="00371ED0">
        <w:rPr>
          <w:noProof/>
          <w:sz w:val="20"/>
          <w:szCs w:val="20"/>
          <w:lang w:val="en-AU" w:eastAsia="zh-CN"/>
        </w:rPr>
        <w:lastRenderedPageBreak/>
        <w:drawing>
          <wp:inline distT="0" distB="0" distL="0" distR="0" wp14:anchorId="7028F8A1" wp14:editId="6ED73D7C">
            <wp:extent cx="5072332" cy="22490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overTim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81588" cy="2253115"/>
                    </a:xfrm>
                    <a:prstGeom prst="rect">
                      <a:avLst/>
                    </a:prstGeom>
                  </pic:spPr>
                </pic:pic>
              </a:graphicData>
            </a:graphic>
          </wp:inline>
        </w:drawing>
      </w:r>
    </w:p>
    <w:p w:rsidR="0079729F" w:rsidRPr="00371ED0" w:rsidRDefault="00A276F4">
      <w:pPr>
        <w:rPr>
          <w:sz w:val="20"/>
          <w:szCs w:val="20"/>
        </w:rPr>
      </w:pPr>
      <w:r w:rsidRPr="00371ED0">
        <w:rPr>
          <w:sz w:val="20"/>
          <w:szCs w:val="20"/>
        </w:rPr>
        <w:t xml:space="preserve">Figure </w:t>
      </w:r>
      <w:r w:rsidR="00107D88" w:rsidRPr="00371ED0">
        <w:rPr>
          <w:sz w:val="20"/>
          <w:szCs w:val="20"/>
        </w:rPr>
        <w:t>4</w:t>
      </w:r>
      <w:r w:rsidRPr="00371ED0">
        <w:rPr>
          <w:sz w:val="20"/>
          <w:szCs w:val="20"/>
        </w:rPr>
        <w:t xml:space="preserve">: Model-generated VE profiles for the years 2000-2006 following the delivery of the final vaccine dose (black dots joined by blue lines; faint </w:t>
      </w:r>
      <w:proofErr w:type="spellStart"/>
      <w:r w:rsidRPr="00371ED0">
        <w:rPr>
          <w:sz w:val="20"/>
          <w:szCs w:val="20"/>
        </w:rPr>
        <w:t>gray</w:t>
      </w:r>
      <w:proofErr w:type="spellEnd"/>
      <w:r w:rsidRPr="00371ED0">
        <w:rPr>
          <w:sz w:val="20"/>
          <w:szCs w:val="20"/>
        </w:rPr>
        <w:t xml:space="preserve"> lines show the de-emphasised full set of VE curves). These were obtained by the same simulated case-control method used </w:t>
      </w:r>
      <w:bookmarkStart w:id="0" w:name="_GoBack"/>
      <w:bookmarkEnd w:id="0"/>
      <w:r w:rsidRPr="00371ED0">
        <w:rPr>
          <w:sz w:val="20"/>
          <w:szCs w:val="20"/>
        </w:rPr>
        <w:t>to genera</w:t>
      </w:r>
      <w:r w:rsidR="0079729F" w:rsidRPr="00371ED0">
        <w:rPr>
          <w:sz w:val="20"/>
          <w:szCs w:val="20"/>
        </w:rPr>
        <w:t>te the results shown in Figure 5 (main text)</w:t>
      </w:r>
      <w:r w:rsidRPr="00371ED0">
        <w:rPr>
          <w:sz w:val="20"/>
          <w:szCs w:val="20"/>
        </w:rPr>
        <w:t xml:space="preserve">.  </w:t>
      </w:r>
    </w:p>
    <w:p w:rsidR="003726A7" w:rsidRPr="00371ED0" w:rsidRDefault="003726A7" w:rsidP="003726A7">
      <w:pPr>
        <w:rPr>
          <w:i/>
          <w:sz w:val="24"/>
          <w:szCs w:val="24"/>
        </w:rPr>
      </w:pPr>
      <w:r w:rsidRPr="00371ED0">
        <w:rPr>
          <w:i/>
          <w:sz w:val="24"/>
          <w:szCs w:val="24"/>
        </w:rPr>
        <w:t xml:space="preserve">Projections of the best-fitting model into the future, following </w:t>
      </w:r>
      <w:proofErr w:type="spellStart"/>
      <w:r w:rsidRPr="00371ED0">
        <w:rPr>
          <w:i/>
          <w:sz w:val="24"/>
          <w:szCs w:val="24"/>
        </w:rPr>
        <w:t>TDaP</w:t>
      </w:r>
      <w:proofErr w:type="spellEnd"/>
      <w:r w:rsidRPr="00371ED0">
        <w:rPr>
          <w:i/>
          <w:sz w:val="24"/>
          <w:szCs w:val="24"/>
        </w:rPr>
        <w:t xml:space="preserve"> administration</w:t>
      </w:r>
    </w:p>
    <w:p w:rsidR="003726A7" w:rsidRPr="00371ED0" w:rsidRDefault="003726A7" w:rsidP="003726A7">
      <w:pPr>
        <w:rPr>
          <w:iCs/>
          <w:sz w:val="24"/>
          <w:szCs w:val="24"/>
        </w:rPr>
      </w:pPr>
      <w:r w:rsidRPr="00371ED0">
        <w:rPr>
          <w:iCs/>
          <w:sz w:val="24"/>
          <w:szCs w:val="24"/>
        </w:rPr>
        <w:t xml:space="preserve">In order to </w:t>
      </w:r>
      <w:proofErr w:type="spellStart"/>
      <w:r w:rsidRPr="00371ED0">
        <w:rPr>
          <w:iCs/>
          <w:sz w:val="24"/>
          <w:szCs w:val="24"/>
        </w:rPr>
        <w:t>guage</w:t>
      </w:r>
      <w:proofErr w:type="spellEnd"/>
      <w:r w:rsidRPr="00371ED0">
        <w:rPr>
          <w:iCs/>
          <w:sz w:val="24"/>
          <w:szCs w:val="24"/>
        </w:rPr>
        <w:t xml:space="preserve"> the possible future impact of increased coverage levels of the adolescent booster vaccine </w:t>
      </w:r>
      <w:proofErr w:type="spellStart"/>
      <w:r w:rsidRPr="00371ED0">
        <w:rPr>
          <w:iCs/>
          <w:sz w:val="24"/>
          <w:szCs w:val="24"/>
        </w:rPr>
        <w:t>Tdap</w:t>
      </w:r>
      <w:proofErr w:type="spellEnd"/>
      <w:r w:rsidRPr="00371ED0">
        <w:rPr>
          <w:iCs/>
          <w:sz w:val="24"/>
          <w:szCs w:val="24"/>
        </w:rPr>
        <w:t>, we simulated increased coverage le</w:t>
      </w:r>
      <w:r w:rsidR="00107D88" w:rsidRPr="00371ED0">
        <w:rPr>
          <w:iCs/>
          <w:sz w:val="24"/>
          <w:szCs w:val="24"/>
        </w:rPr>
        <w:t>vels from zero to 75%. Figure 5</w:t>
      </w:r>
      <w:r w:rsidRPr="00371ED0">
        <w:rPr>
          <w:iCs/>
          <w:sz w:val="24"/>
          <w:szCs w:val="24"/>
        </w:rPr>
        <w:t xml:space="preserve"> shows the effect of </w:t>
      </w:r>
      <w:r w:rsidR="009B2386" w:rsidRPr="00371ED0">
        <w:rPr>
          <w:iCs/>
          <w:sz w:val="24"/>
          <w:szCs w:val="24"/>
        </w:rPr>
        <w:t xml:space="preserve">performing such a forward simulation. This figure shows that an oscillatory pattern of incidence over the next 2 decades is a possibility, with ‘epidemic’ years occurring at least once a decade. Increased effectiveness (i.e. here = coverage*efficacy) of the </w:t>
      </w:r>
      <w:proofErr w:type="spellStart"/>
      <w:r w:rsidR="009B2386" w:rsidRPr="00371ED0">
        <w:rPr>
          <w:iCs/>
          <w:sz w:val="24"/>
          <w:szCs w:val="24"/>
        </w:rPr>
        <w:t>Tdap</w:t>
      </w:r>
      <w:proofErr w:type="spellEnd"/>
      <w:r w:rsidR="009B2386" w:rsidRPr="00371ED0">
        <w:rPr>
          <w:iCs/>
          <w:sz w:val="24"/>
          <w:szCs w:val="24"/>
        </w:rPr>
        <w:t xml:space="preserve"> vaccine could lead to an increase in the </w:t>
      </w:r>
      <w:proofErr w:type="spellStart"/>
      <w:r w:rsidR="009B2386" w:rsidRPr="00371ED0">
        <w:rPr>
          <w:iCs/>
          <w:sz w:val="24"/>
          <w:szCs w:val="24"/>
        </w:rPr>
        <w:t>interepidemic</w:t>
      </w:r>
      <w:proofErr w:type="spellEnd"/>
      <w:r w:rsidR="009B2386" w:rsidRPr="00371ED0">
        <w:rPr>
          <w:iCs/>
          <w:sz w:val="24"/>
          <w:szCs w:val="24"/>
        </w:rPr>
        <w:t xml:space="preserve"> period as well as an overall decrease of the incidence level. </w:t>
      </w:r>
    </w:p>
    <w:p w:rsidR="003726A7" w:rsidRPr="00371ED0" w:rsidRDefault="003726A7">
      <w:pPr>
        <w:rPr>
          <w:sz w:val="20"/>
          <w:szCs w:val="20"/>
        </w:rPr>
      </w:pPr>
      <w:r w:rsidRPr="00371ED0">
        <w:rPr>
          <w:noProof/>
          <w:sz w:val="20"/>
          <w:szCs w:val="20"/>
          <w:lang w:val="en-AU" w:eastAsia="zh-CN"/>
        </w:rPr>
        <w:drawing>
          <wp:inline distT="0" distB="0" distL="0" distR="0" wp14:anchorId="525EA7C5" wp14:editId="145715CC">
            <wp:extent cx="6645910" cy="272923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MatFuturePlot.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45910" cy="2729230"/>
                    </a:xfrm>
                    <a:prstGeom prst="rect">
                      <a:avLst/>
                    </a:prstGeom>
                  </pic:spPr>
                </pic:pic>
              </a:graphicData>
            </a:graphic>
          </wp:inline>
        </w:drawing>
      </w:r>
    </w:p>
    <w:p w:rsidR="003726A7" w:rsidRPr="00371ED0" w:rsidRDefault="00107D88" w:rsidP="00067737">
      <w:pPr>
        <w:rPr>
          <w:sz w:val="20"/>
          <w:szCs w:val="20"/>
        </w:rPr>
      </w:pPr>
      <w:r w:rsidRPr="00371ED0">
        <w:rPr>
          <w:sz w:val="20"/>
          <w:szCs w:val="20"/>
        </w:rPr>
        <w:t>Figure 5</w:t>
      </w:r>
      <w:r w:rsidR="003726A7" w:rsidRPr="00371ED0">
        <w:rPr>
          <w:sz w:val="20"/>
          <w:szCs w:val="20"/>
        </w:rPr>
        <w:t xml:space="preserve">: </w:t>
      </w:r>
      <w:r w:rsidR="00067737" w:rsidRPr="00371ED0">
        <w:rPr>
          <w:sz w:val="20"/>
          <w:szCs w:val="20"/>
        </w:rPr>
        <w:t xml:space="preserve">Model-generated forecasts 20 years into the future for the best fitting model in the main text (A). The mean of 1000 simulations, with parameter values drawn from the parameter posterior distributions, is shown by the blue solid line and the 50% and 75% interval envelopes are given by the inner and outer grey shaded regions. (B) </w:t>
      </w:r>
      <w:proofErr w:type="gramStart"/>
      <w:r w:rsidR="00067737" w:rsidRPr="00371ED0">
        <w:rPr>
          <w:sz w:val="20"/>
          <w:szCs w:val="20"/>
        </w:rPr>
        <w:t>shows</w:t>
      </w:r>
      <w:proofErr w:type="gramEnd"/>
      <w:r w:rsidR="00067737" w:rsidRPr="00371ED0">
        <w:rPr>
          <w:sz w:val="20"/>
          <w:szCs w:val="20"/>
        </w:rPr>
        <w:t xml:space="preserve"> the effect of administering the </w:t>
      </w:r>
      <w:proofErr w:type="spellStart"/>
      <w:r w:rsidR="00067737" w:rsidRPr="00371ED0">
        <w:rPr>
          <w:sz w:val="20"/>
          <w:szCs w:val="20"/>
        </w:rPr>
        <w:t>Tdap</w:t>
      </w:r>
      <w:proofErr w:type="spellEnd"/>
      <w:r w:rsidR="00067737" w:rsidRPr="00371ED0">
        <w:rPr>
          <w:sz w:val="20"/>
          <w:szCs w:val="20"/>
        </w:rPr>
        <w:t xml:space="preserve"> vaccination at increasing levels of effectiveness (effectiveness here = coverage*efficacy) to the adolescent population beginning in 2004, for a single simulation run. </w:t>
      </w:r>
    </w:p>
    <w:p w:rsidR="00A9745C" w:rsidRPr="00371ED0" w:rsidRDefault="00A9745C">
      <w:pPr>
        <w:rPr>
          <w:i/>
          <w:iCs/>
          <w:sz w:val="24"/>
          <w:szCs w:val="24"/>
        </w:rPr>
      </w:pPr>
    </w:p>
    <w:p w:rsidR="00A9745C" w:rsidRPr="00371ED0" w:rsidRDefault="00A9745C">
      <w:pPr>
        <w:rPr>
          <w:i/>
          <w:iCs/>
          <w:sz w:val="24"/>
          <w:szCs w:val="24"/>
        </w:rPr>
      </w:pPr>
    </w:p>
    <w:p w:rsidR="00A9745C" w:rsidRPr="00371ED0" w:rsidRDefault="00A9745C">
      <w:pPr>
        <w:rPr>
          <w:i/>
          <w:iCs/>
          <w:sz w:val="24"/>
          <w:szCs w:val="24"/>
        </w:rPr>
      </w:pPr>
    </w:p>
    <w:p w:rsidR="003726A7" w:rsidRPr="00371ED0" w:rsidRDefault="00A9745C">
      <w:pPr>
        <w:rPr>
          <w:i/>
          <w:iCs/>
          <w:sz w:val="24"/>
          <w:szCs w:val="24"/>
        </w:rPr>
      </w:pPr>
      <w:r w:rsidRPr="00371ED0">
        <w:rPr>
          <w:i/>
          <w:iCs/>
          <w:sz w:val="24"/>
          <w:szCs w:val="24"/>
        </w:rPr>
        <w:lastRenderedPageBreak/>
        <w:t xml:space="preserve">Parameter posterior distributions </w:t>
      </w:r>
    </w:p>
    <w:p w:rsidR="00A9745C" w:rsidRPr="00371ED0" w:rsidRDefault="00A9745C" w:rsidP="00A9745C">
      <w:pPr>
        <w:jc w:val="center"/>
        <w:rPr>
          <w:sz w:val="20"/>
          <w:szCs w:val="20"/>
        </w:rPr>
      </w:pPr>
      <w:r w:rsidRPr="00371ED0">
        <w:rPr>
          <w:noProof/>
          <w:sz w:val="20"/>
          <w:szCs w:val="20"/>
          <w:lang w:val="en-AU" w:eastAsia="zh-CN"/>
        </w:rPr>
        <w:drawing>
          <wp:inline distT="0" distB="0" distL="0" distR="0" wp14:anchorId="6BEBF5CB" wp14:editId="56415FE9">
            <wp:extent cx="5798820" cy="4349115"/>
            <wp:effectExtent l="0" t="0" r="0" b="0"/>
            <wp:docPr id="3" name="Picture 3" descr="D:\vaioBackup29-8-2013\documents\CDCprojects\pertussis\figs\posteriorParams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aioBackup29-8-2013\documents\CDCprojects\pertussis\figs\posteriorParams1.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1240" cy="4350930"/>
                    </a:xfrm>
                    <a:prstGeom prst="rect">
                      <a:avLst/>
                    </a:prstGeom>
                    <a:noFill/>
                    <a:ln>
                      <a:noFill/>
                    </a:ln>
                  </pic:spPr>
                </pic:pic>
              </a:graphicData>
            </a:graphic>
          </wp:inline>
        </w:drawing>
      </w:r>
    </w:p>
    <w:p w:rsidR="00A9745C" w:rsidRPr="00371ED0" w:rsidRDefault="00107D88" w:rsidP="0033710B">
      <w:pPr>
        <w:rPr>
          <w:sz w:val="20"/>
          <w:szCs w:val="20"/>
        </w:rPr>
      </w:pPr>
      <w:r w:rsidRPr="00371ED0">
        <w:rPr>
          <w:sz w:val="20"/>
          <w:szCs w:val="20"/>
        </w:rPr>
        <w:t>Figure 6</w:t>
      </w:r>
      <w:r w:rsidR="00A9745C" w:rsidRPr="00371ED0">
        <w:rPr>
          <w:sz w:val="20"/>
          <w:szCs w:val="20"/>
        </w:rPr>
        <w:t xml:space="preserve">: </w:t>
      </w:r>
      <w:r w:rsidR="005F638C" w:rsidRPr="00371ED0">
        <w:rPr>
          <w:sz w:val="20"/>
          <w:szCs w:val="20"/>
        </w:rPr>
        <w:t xml:space="preserve">Posterior parameter distributions for the 11 parameters of the best-fitting model detailed in the main text. The parameters are as follows: beta—transmission coefficient; VE—vaccine efficacy of the first 3 doses of the </w:t>
      </w:r>
      <w:proofErr w:type="spellStart"/>
      <w:r w:rsidR="005F638C" w:rsidRPr="00371ED0">
        <w:rPr>
          <w:sz w:val="20"/>
          <w:szCs w:val="20"/>
        </w:rPr>
        <w:t>wP</w:t>
      </w:r>
      <w:proofErr w:type="spellEnd"/>
      <w:r w:rsidR="005F638C" w:rsidRPr="00371ED0">
        <w:rPr>
          <w:sz w:val="20"/>
          <w:szCs w:val="20"/>
        </w:rPr>
        <w:t xml:space="preserve"> vaccine; VE2—</w:t>
      </w:r>
      <w:r w:rsidR="005A03FF" w:rsidRPr="00371ED0">
        <w:rPr>
          <w:sz w:val="20"/>
          <w:szCs w:val="20"/>
        </w:rPr>
        <w:t xml:space="preserve">unused variable for this analysis (previously </w:t>
      </w:r>
      <w:proofErr w:type="spellStart"/>
      <w:r w:rsidR="005A03FF" w:rsidRPr="00371ED0">
        <w:rPr>
          <w:sz w:val="20"/>
          <w:szCs w:val="20"/>
        </w:rPr>
        <w:t>aP</w:t>
      </w:r>
      <w:proofErr w:type="spellEnd"/>
      <w:r w:rsidR="005A03FF" w:rsidRPr="00371ED0">
        <w:rPr>
          <w:sz w:val="20"/>
          <w:szCs w:val="20"/>
        </w:rPr>
        <w:t xml:space="preserve"> vaccine efficacy); alpha—rate of decay of immunity from natural infection; vWaning1—rate of decay of immunity from </w:t>
      </w:r>
      <w:proofErr w:type="spellStart"/>
      <w:r w:rsidR="005A03FF" w:rsidRPr="00371ED0">
        <w:rPr>
          <w:sz w:val="20"/>
          <w:szCs w:val="20"/>
        </w:rPr>
        <w:t>wP</w:t>
      </w:r>
      <w:proofErr w:type="spellEnd"/>
      <w:r w:rsidR="005A03FF" w:rsidRPr="00371ED0">
        <w:rPr>
          <w:sz w:val="20"/>
          <w:szCs w:val="20"/>
        </w:rPr>
        <w:t xml:space="preserve"> vaccine; vWaning2—rate of decay of immunity from </w:t>
      </w:r>
      <w:proofErr w:type="spellStart"/>
      <w:r w:rsidR="005A03FF" w:rsidRPr="00371ED0">
        <w:rPr>
          <w:sz w:val="20"/>
          <w:szCs w:val="20"/>
        </w:rPr>
        <w:t>aP</w:t>
      </w:r>
      <w:proofErr w:type="spellEnd"/>
      <w:r w:rsidR="005A03FF" w:rsidRPr="00371ED0">
        <w:rPr>
          <w:sz w:val="20"/>
          <w:szCs w:val="20"/>
        </w:rPr>
        <w:t xml:space="preserve"> vaccine; VE4thAnd5th—</w:t>
      </w:r>
      <w:proofErr w:type="spellStart"/>
      <w:r w:rsidR="005A03FF" w:rsidRPr="00371ED0">
        <w:rPr>
          <w:sz w:val="20"/>
          <w:szCs w:val="20"/>
        </w:rPr>
        <w:t>aP</w:t>
      </w:r>
      <w:proofErr w:type="spellEnd"/>
      <w:r w:rsidR="005A03FF" w:rsidRPr="00371ED0">
        <w:rPr>
          <w:sz w:val="20"/>
          <w:szCs w:val="20"/>
        </w:rPr>
        <w:t xml:space="preserve"> vaccine efficacy; sigma—relative susceptibility of </w:t>
      </w:r>
      <w:r w:rsidR="00D14DC3" w:rsidRPr="00371ED0">
        <w:rPr>
          <w:sz w:val="20"/>
          <w:szCs w:val="20"/>
        </w:rPr>
        <w:t xml:space="preserve">individuals who have been infected to those who are naïve; eta—relative infectiousness of those who have been infected to those who are naïve; </w:t>
      </w:r>
      <w:proofErr w:type="spellStart"/>
      <w:r w:rsidR="00D14DC3" w:rsidRPr="00371ED0">
        <w:rPr>
          <w:sz w:val="20"/>
          <w:szCs w:val="20"/>
        </w:rPr>
        <w:t>alphaDist</w:t>
      </w:r>
      <w:proofErr w:type="spellEnd"/>
      <w:r w:rsidR="00D14DC3" w:rsidRPr="00371ED0">
        <w:rPr>
          <w:sz w:val="20"/>
          <w:szCs w:val="20"/>
        </w:rPr>
        <w:t xml:space="preserve">—Beta distribution ‘alpha’ parameter prior to a change in reporting; </w:t>
      </w:r>
      <w:proofErr w:type="spellStart"/>
      <w:r w:rsidR="00D14DC3" w:rsidRPr="00371ED0">
        <w:rPr>
          <w:sz w:val="20"/>
          <w:szCs w:val="20"/>
        </w:rPr>
        <w:t>betaDist</w:t>
      </w:r>
      <w:proofErr w:type="spellEnd"/>
      <w:r w:rsidR="00D14DC3" w:rsidRPr="00371ED0">
        <w:rPr>
          <w:sz w:val="20"/>
          <w:szCs w:val="20"/>
        </w:rPr>
        <w:t xml:space="preserve">—Beta distribution ‘beta’ parameter prior to a change in reporting; alpha2Dist—Beta distribution ‘alpha’ parameter following a change in reporting; beta2Dist—Beta distribution ‘beta’ parameter following a change in reporting; </w:t>
      </w:r>
      <w:r w:rsidR="005A03FF" w:rsidRPr="00371ED0">
        <w:rPr>
          <w:sz w:val="20"/>
          <w:szCs w:val="20"/>
        </w:rPr>
        <w:t xml:space="preserve"> </w:t>
      </w:r>
      <w:proofErr w:type="spellStart"/>
      <w:r w:rsidR="00D14DC3" w:rsidRPr="00371ED0">
        <w:rPr>
          <w:sz w:val="20"/>
          <w:szCs w:val="20"/>
        </w:rPr>
        <w:t>repChangeYear</w:t>
      </w:r>
      <w:proofErr w:type="spellEnd"/>
      <w:r w:rsidR="00D14DC3" w:rsidRPr="00371ED0">
        <w:rPr>
          <w:sz w:val="20"/>
          <w:szCs w:val="20"/>
        </w:rPr>
        <w:t>—year after 1990 in which a reporting change occurs.</w:t>
      </w:r>
    </w:p>
    <w:p w:rsidR="0079729F" w:rsidRPr="00371ED0" w:rsidRDefault="00422DBF">
      <w:pPr>
        <w:rPr>
          <w:b/>
          <w:sz w:val="24"/>
          <w:szCs w:val="24"/>
        </w:rPr>
      </w:pPr>
      <w:r w:rsidRPr="00371ED0">
        <w:rPr>
          <w:b/>
          <w:sz w:val="24"/>
          <w:szCs w:val="24"/>
        </w:rPr>
        <w:t xml:space="preserve">References </w:t>
      </w:r>
    </w:p>
    <w:p w:rsidR="007A6ECD" w:rsidRPr="00371ED0" w:rsidRDefault="0079729F" w:rsidP="007A6ECD">
      <w:pPr>
        <w:spacing w:after="0" w:line="240" w:lineRule="auto"/>
        <w:ind w:left="720" w:hanging="720"/>
        <w:rPr>
          <w:rFonts w:ascii="Calibri" w:hAnsi="Calibri"/>
          <w:noProof/>
          <w:szCs w:val="24"/>
        </w:rPr>
      </w:pPr>
      <w:r w:rsidRPr="00371ED0">
        <w:rPr>
          <w:sz w:val="24"/>
          <w:szCs w:val="24"/>
        </w:rPr>
        <w:fldChar w:fldCharType="begin"/>
      </w:r>
      <w:r w:rsidRPr="00371ED0">
        <w:rPr>
          <w:sz w:val="24"/>
          <w:szCs w:val="24"/>
        </w:rPr>
        <w:instrText xml:space="preserve"> ADDIN EN.REFLIST </w:instrText>
      </w:r>
      <w:r w:rsidRPr="00371ED0">
        <w:rPr>
          <w:sz w:val="24"/>
          <w:szCs w:val="24"/>
        </w:rPr>
        <w:fldChar w:fldCharType="separate"/>
      </w:r>
      <w:bookmarkStart w:id="1" w:name="_ENREF_1"/>
      <w:r w:rsidR="007A6ECD" w:rsidRPr="00371ED0">
        <w:rPr>
          <w:rFonts w:ascii="Calibri" w:hAnsi="Calibri"/>
          <w:noProof/>
          <w:szCs w:val="24"/>
        </w:rPr>
        <w:t>1. Rohani P, Zhong X, King AA (2010) Contact network structure explains the changing epidemiology of pertussis. Science 330: 982-985.</w:t>
      </w:r>
      <w:bookmarkEnd w:id="1"/>
    </w:p>
    <w:p w:rsidR="007A6ECD" w:rsidRPr="00371ED0" w:rsidRDefault="007A6ECD" w:rsidP="007A6ECD">
      <w:pPr>
        <w:spacing w:after="0" w:line="240" w:lineRule="auto"/>
        <w:ind w:left="720" w:hanging="720"/>
        <w:rPr>
          <w:rFonts w:ascii="Calibri" w:hAnsi="Calibri"/>
          <w:noProof/>
          <w:szCs w:val="24"/>
        </w:rPr>
      </w:pPr>
      <w:bookmarkStart w:id="2" w:name="_ENREF_2"/>
      <w:r w:rsidRPr="00371ED0">
        <w:rPr>
          <w:rFonts w:ascii="Calibri" w:hAnsi="Calibri"/>
          <w:noProof/>
          <w:szCs w:val="24"/>
        </w:rPr>
        <w:t>2. Lavine JS, King AA, Bjornstad ON (2011) Natural immune boosting in pertussis dynamics and the potential for long-term vaccine failure. Proc Natl Acad Sci U S A 108: 7259-7264.</w:t>
      </w:r>
      <w:bookmarkEnd w:id="2"/>
    </w:p>
    <w:p w:rsidR="007A6ECD" w:rsidRPr="00371ED0" w:rsidRDefault="007A6ECD" w:rsidP="007A6ECD">
      <w:pPr>
        <w:spacing w:after="0" w:line="240" w:lineRule="auto"/>
        <w:ind w:left="720" w:hanging="720"/>
        <w:rPr>
          <w:rFonts w:ascii="Calibri" w:hAnsi="Calibri"/>
          <w:noProof/>
          <w:szCs w:val="24"/>
          <w:lang w:val="fr-FR"/>
        </w:rPr>
      </w:pPr>
      <w:bookmarkStart w:id="3" w:name="_ENREF_3"/>
      <w:r w:rsidRPr="00371ED0">
        <w:rPr>
          <w:rFonts w:ascii="Calibri" w:hAnsi="Calibri"/>
          <w:noProof/>
          <w:szCs w:val="24"/>
        </w:rPr>
        <w:t xml:space="preserve">3. Aguas R, Goncalves G, Gomes MG (2006) Pertussis: increasing disease as a consequence of reducing transmission. </w:t>
      </w:r>
      <w:r w:rsidRPr="00371ED0">
        <w:rPr>
          <w:rFonts w:ascii="Calibri" w:hAnsi="Calibri"/>
          <w:noProof/>
          <w:szCs w:val="24"/>
          <w:lang w:val="fr-FR"/>
        </w:rPr>
        <w:t>Lancet Infect Dis 6: 112-117.</w:t>
      </w:r>
      <w:bookmarkEnd w:id="3"/>
    </w:p>
    <w:p w:rsidR="007A6ECD" w:rsidRPr="00371ED0" w:rsidRDefault="007A6ECD" w:rsidP="007A6ECD">
      <w:pPr>
        <w:spacing w:line="240" w:lineRule="auto"/>
        <w:ind w:left="720" w:hanging="720"/>
        <w:rPr>
          <w:rFonts w:ascii="Calibri" w:hAnsi="Calibri"/>
          <w:noProof/>
          <w:szCs w:val="24"/>
        </w:rPr>
      </w:pPr>
      <w:bookmarkStart w:id="4" w:name="_ENREF_4"/>
      <w:r w:rsidRPr="00371ED0">
        <w:rPr>
          <w:rFonts w:ascii="Calibri" w:hAnsi="Calibri"/>
          <w:noProof/>
          <w:szCs w:val="24"/>
          <w:lang w:val="fr-FR"/>
        </w:rPr>
        <w:t xml:space="preserve">4. Misegades LK, Winter K, Harriman K, Talarico J, Messonnier NE, et al. </w:t>
      </w:r>
      <w:r w:rsidRPr="00371ED0">
        <w:rPr>
          <w:rFonts w:ascii="Calibri" w:hAnsi="Calibri"/>
          <w:noProof/>
          <w:szCs w:val="24"/>
        </w:rPr>
        <w:t>(2012) Association of childhood pertussis with receipt of 5 doses of pertussis vaccine by time since last vaccine dose, California, 2010. JAMA 308: 2126-2132.</w:t>
      </w:r>
      <w:bookmarkEnd w:id="4"/>
    </w:p>
    <w:p w:rsidR="007A6ECD" w:rsidRPr="00371ED0" w:rsidRDefault="007A6ECD" w:rsidP="007A6ECD">
      <w:pPr>
        <w:spacing w:line="240" w:lineRule="auto"/>
        <w:rPr>
          <w:rFonts w:ascii="Calibri" w:hAnsi="Calibri"/>
          <w:noProof/>
          <w:sz w:val="24"/>
          <w:szCs w:val="24"/>
        </w:rPr>
      </w:pPr>
    </w:p>
    <w:p w:rsidR="00A276F4" w:rsidRPr="00CB6767" w:rsidRDefault="0079729F">
      <w:pPr>
        <w:rPr>
          <w:sz w:val="20"/>
          <w:szCs w:val="20"/>
        </w:rPr>
      </w:pPr>
      <w:r w:rsidRPr="00371ED0">
        <w:rPr>
          <w:sz w:val="24"/>
          <w:szCs w:val="24"/>
        </w:rPr>
        <w:fldChar w:fldCharType="end"/>
      </w:r>
    </w:p>
    <w:sectPr w:rsidR="00A276F4" w:rsidRPr="00CB6767" w:rsidSect="001D06A9">
      <w:pgSz w:w="11906" w:h="16838"/>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854983"/>
    <w:rsid w:val="00004681"/>
    <w:rsid w:val="00026A15"/>
    <w:rsid w:val="00051E83"/>
    <w:rsid w:val="00067737"/>
    <w:rsid w:val="000747D6"/>
    <w:rsid w:val="00090E10"/>
    <w:rsid w:val="000A20D7"/>
    <w:rsid w:val="000A4E44"/>
    <w:rsid w:val="00107D88"/>
    <w:rsid w:val="00141520"/>
    <w:rsid w:val="001978A8"/>
    <w:rsid w:val="001B6F92"/>
    <w:rsid w:val="001C6CE4"/>
    <w:rsid w:val="001D06A9"/>
    <w:rsid w:val="001F262D"/>
    <w:rsid w:val="002027F7"/>
    <w:rsid w:val="00204BB0"/>
    <w:rsid w:val="0021495E"/>
    <w:rsid w:val="0026044D"/>
    <w:rsid w:val="002809C3"/>
    <w:rsid w:val="002A3639"/>
    <w:rsid w:val="002C6662"/>
    <w:rsid w:val="002E22EC"/>
    <w:rsid w:val="00304DC3"/>
    <w:rsid w:val="00331C73"/>
    <w:rsid w:val="0033710B"/>
    <w:rsid w:val="0035356D"/>
    <w:rsid w:val="00361A85"/>
    <w:rsid w:val="00371ED0"/>
    <w:rsid w:val="003726A7"/>
    <w:rsid w:val="003A27C5"/>
    <w:rsid w:val="003F68CC"/>
    <w:rsid w:val="00422DBF"/>
    <w:rsid w:val="0042337A"/>
    <w:rsid w:val="004515ED"/>
    <w:rsid w:val="00474DEC"/>
    <w:rsid w:val="00486A6D"/>
    <w:rsid w:val="004B081E"/>
    <w:rsid w:val="004B59B5"/>
    <w:rsid w:val="004C04EB"/>
    <w:rsid w:val="005173C2"/>
    <w:rsid w:val="00536983"/>
    <w:rsid w:val="0059064D"/>
    <w:rsid w:val="005A03FF"/>
    <w:rsid w:val="005A0A0B"/>
    <w:rsid w:val="005F638C"/>
    <w:rsid w:val="00624823"/>
    <w:rsid w:val="006372B2"/>
    <w:rsid w:val="00667483"/>
    <w:rsid w:val="006F0ACC"/>
    <w:rsid w:val="006F33C4"/>
    <w:rsid w:val="0076398C"/>
    <w:rsid w:val="00767C3B"/>
    <w:rsid w:val="00773694"/>
    <w:rsid w:val="00775018"/>
    <w:rsid w:val="0079729F"/>
    <w:rsid w:val="007A6ECD"/>
    <w:rsid w:val="007B1D04"/>
    <w:rsid w:val="0084390A"/>
    <w:rsid w:val="00854983"/>
    <w:rsid w:val="008E197D"/>
    <w:rsid w:val="008E45EF"/>
    <w:rsid w:val="009348BE"/>
    <w:rsid w:val="009A0E42"/>
    <w:rsid w:val="009B2386"/>
    <w:rsid w:val="00A276F4"/>
    <w:rsid w:val="00A27F87"/>
    <w:rsid w:val="00A51817"/>
    <w:rsid w:val="00A7284F"/>
    <w:rsid w:val="00A9745C"/>
    <w:rsid w:val="00AB1E54"/>
    <w:rsid w:val="00AE5062"/>
    <w:rsid w:val="00AE6E82"/>
    <w:rsid w:val="00AF0DCD"/>
    <w:rsid w:val="00B03FBD"/>
    <w:rsid w:val="00B25DB1"/>
    <w:rsid w:val="00B27A24"/>
    <w:rsid w:val="00BC07BA"/>
    <w:rsid w:val="00BC7D65"/>
    <w:rsid w:val="00C11DCD"/>
    <w:rsid w:val="00CB6767"/>
    <w:rsid w:val="00CE4EAE"/>
    <w:rsid w:val="00D14DC3"/>
    <w:rsid w:val="00D277DC"/>
    <w:rsid w:val="00D55C76"/>
    <w:rsid w:val="00D60BF0"/>
    <w:rsid w:val="00E16F79"/>
    <w:rsid w:val="00EA121A"/>
    <w:rsid w:val="00EC0B7E"/>
    <w:rsid w:val="00F17A4A"/>
    <w:rsid w:val="00F65E77"/>
    <w:rsid w:val="00F72294"/>
    <w:rsid w:val="00FC1A8B"/>
    <w:rsid w:val="00FF2728"/>
    <w:rsid w:val="00FF451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98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4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983"/>
    <w:rPr>
      <w:rFonts w:ascii="Tahoma" w:hAnsi="Tahoma" w:cs="Tahoma"/>
      <w:sz w:val="16"/>
      <w:szCs w:val="16"/>
      <w:lang w:val="en-GB"/>
    </w:rPr>
  </w:style>
  <w:style w:type="paragraph" w:styleId="ListParagraph">
    <w:name w:val="List Paragraph"/>
    <w:basedOn w:val="Normal"/>
    <w:uiPriority w:val="34"/>
    <w:qFormat/>
    <w:rsid w:val="00854983"/>
    <w:pPr>
      <w:ind w:left="720"/>
      <w:contextualSpacing/>
    </w:pPr>
    <w:rPr>
      <w:rFonts w:ascii="Calibri" w:eastAsia="Calibri" w:hAnsi="Calibri" w:cs="Times New Roman"/>
      <w:lang w:val="en-US"/>
    </w:rPr>
  </w:style>
  <w:style w:type="table" w:styleId="TableGrid">
    <w:name w:val="Table Grid"/>
    <w:basedOn w:val="TableNormal"/>
    <w:uiPriority w:val="59"/>
    <w:rsid w:val="00EA121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729F"/>
    <w:rPr>
      <w:color w:val="0000FF" w:themeColor="hyperlink"/>
      <w:u w:val="single"/>
    </w:rPr>
  </w:style>
  <w:style w:type="character" w:styleId="CommentReference">
    <w:name w:val="annotation reference"/>
    <w:basedOn w:val="DefaultParagraphFont"/>
    <w:uiPriority w:val="99"/>
    <w:semiHidden/>
    <w:unhideWhenUsed/>
    <w:rsid w:val="00CE4EAE"/>
    <w:rPr>
      <w:sz w:val="16"/>
      <w:szCs w:val="16"/>
    </w:rPr>
  </w:style>
  <w:style w:type="paragraph" w:styleId="CommentText">
    <w:name w:val="annotation text"/>
    <w:basedOn w:val="Normal"/>
    <w:link w:val="CommentTextChar"/>
    <w:uiPriority w:val="99"/>
    <w:semiHidden/>
    <w:unhideWhenUsed/>
    <w:rsid w:val="00CE4EAE"/>
    <w:pPr>
      <w:spacing w:line="240" w:lineRule="auto"/>
    </w:pPr>
    <w:rPr>
      <w:sz w:val="20"/>
      <w:szCs w:val="20"/>
    </w:rPr>
  </w:style>
  <w:style w:type="character" w:customStyle="1" w:styleId="CommentTextChar">
    <w:name w:val="Comment Text Char"/>
    <w:basedOn w:val="DefaultParagraphFont"/>
    <w:link w:val="CommentText"/>
    <w:uiPriority w:val="99"/>
    <w:semiHidden/>
    <w:rsid w:val="00CE4EAE"/>
    <w:rPr>
      <w:sz w:val="20"/>
      <w:szCs w:val="20"/>
      <w:lang w:val="en-GB"/>
    </w:rPr>
  </w:style>
  <w:style w:type="paragraph" w:styleId="CommentSubject">
    <w:name w:val="annotation subject"/>
    <w:basedOn w:val="CommentText"/>
    <w:next w:val="CommentText"/>
    <w:link w:val="CommentSubjectChar"/>
    <w:uiPriority w:val="99"/>
    <w:semiHidden/>
    <w:unhideWhenUsed/>
    <w:rsid w:val="00CE4EAE"/>
    <w:rPr>
      <w:b/>
      <w:bCs/>
    </w:rPr>
  </w:style>
  <w:style w:type="character" w:customStyle="1" w:styleId="CommentSubjectChar">
    <w:name w:val="Comment Subject Char"/>
    <w:basedOn w:val="CommentTextChar"/>
    <w:link w:val="CommentSubject"/>
    <w:uiPriority w:val="99"/>
    <w:semiHidden/>
    <w:rsid w:val="00CE4EAE"/>
    <w:rPr>
      <w:b/>
      <w:bCs/>
      <w:sz w:val="20"/>
      <w:szCs w:val="20"/>
      <w:lang w:val="en-GB"/>
    </w:rPr>
  </w:style>
  <w:style w:type="table" w:styleId="LightShading">
    <w:name w:val="Light Shading"/>
    <w:basedOn w:val="TableNormal"/>
    <w:uiPriority w:val="60"/>
    <w:rsid w:val="008E197D"/>
    <w:pPr>
      <w:spacing w:after="0"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A518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98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4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983"/>
    <w:rPr>
      <w:rFonts w:ascii="Tahoma" w:hAnsi="Tahoma" w:cs="Tahoma"/>
      <w:sz w:val="16"/>
      <w:szCs w:val="16"/>
      <w:lang w:val="en-GB"/>
    </w:rPr>
  </w:style>
  <w:style w:type="paragraph" w:styleId="ListParagraph">
    <w:name w:val="List Paragraph"/>
    <w:basedOn w:val="Normal"/>
    <w:uiPriority w:val="34"/>
    <w:qFormat/>
    <w:rsid w:val="00854983"/>
    <w:pPr>
      <w:ind w:left="720"/>
      <w:contextualSpacing/>
    </w:pPr>
    <w:rPr>
      <w:rFonts w:ascii="Calibri" w:eastAsia="Calibri" w:hAnsi="Calibri" w:cs="Times New Roman"/>
      <w:lang w:val="en-US"/>
    </w:rPr>
  </w:style>
  <w:style w:type="table" w:styleId="TableGrid">
    <w:name w:val="Table Grid"/>
    <w:basedOn w:val="TableNormal"/>
    <w:uiPriority w:val="59"/>
    <w:rsid w:val="00EA121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729F"/>
    <w:rPr>
      <w:color w:val="0000FF" w:themeColor="hyperlink"/>
      <w:u w:val="single"/>
    </w:rPr>
  </w:style>
  <w:style w:type="character" w:styleId="CommentReference">
    <w:name w:val="annotation reference"/>
    <w:basedOn w:val="DefaultParagraphFont"/>
    <w:uiPriority w:val="99"/>
    <w:semiHidden/>
    <w:unhideWhenUsed/>
    <w:rsid w:val="00CE4EAE"/>
    <w:rPr>
      <w:sz w:val="16"/>
      <w:szCs w:val="16"/>
    </w:rPr>
  </w:style>
  <w:style w:type="paragraph" w:styleId="CommentText">
    <w:name w:val="annotation text"/>
    <w:basedOn w:val="Normal"/>
    <w:link w:val="CommentTextChar"/>
    <w:uiPriority w:val="99"/>
    <w:semiHidden/>
    <w:unhideWhenUsed/>
    <w:rsid w:val="00CE4EAE"/>
    <w:pPr>
      <w:spacing w:line="240" w:lineRule="auto"/>
    </w:pPr>
    <w:rPr>
      <w:sz w:val="20"/>
      <w:szCs w:val="20"/>
    </w:rPr>
  </w:style>
  <w:style w:type="character" w:customStyle="1" w:styleId="CommentTextChar">
    <w:name w:val="Comment Text Char"/>
    <w:basedOn w:val="DefaultParagraphFont"/>
    <w:link w:val="CommentText"/>
    <w:uiPriority w:val="99"/>
    <w:semiHidden/>
    <w:rsid w:val="00CE4EAE"/>
    <w:rPr>
      <w:sz w:val="20"/>
      <w:szCs w:val="20"/>
      <w:lang w:val="en-GB"/>
    </w:rPr>
  </w:style>
  <w:style w:type="paragraph" w:styleId="CommentSubject">
    <w:name w:val="annotation subject"/>
    <w:basedOn w:val="CommentText"/>
    <w:next w:val="CommentText"/>
    <w:link w:val="CommentSubjectChar"/>
    <w:uiPriority w:val="99"/>
    <w:semiHidden/>
    <w:unhideWhenUsed/>
    <w:rsid w:val="00CE4EAE"/>
    <w:rPr>
      <w:b/>
      <w:bCs/>
    </w:rPr>
  </w:style>
  <w:style w:type="character" w:customStyle="1" w:styleId="CommentSubjectChar">
    <w:name w:val="Comment Subject Char"/>
    <w:basedOn w:val="CommentTextChar"/>
    <w:link w:val="CommentSubject"/>
    <w:uiPriority w:val="99"/>
    <w:semiHidden/>
    <w:rsid w:val="00CE4EAE"/>
    <w:rPr>
      <w:b/>
      <w:bCs/>
      <w:sz w:val="20"/>
      <w:szCs w:val="20"/>
      <w:lang w:val="en-GB"/>
    </w:rPr>
  </w:style>
  <w:style w:type="table" w:styleId="LightShading">
    <w:name w:val="Light Shading"/>
    <w:basedOn w:val="TableNormal"/>
    <w:uiPriority w:val="60"/>
    <w:rsid w:val="008E197D"/>
    <w:pPr>
      <w:spacing w:after="0"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A518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tiff"/><Relationship Id="rId5" Type="http://schemas.openxmlformats.org/officeDocument/2006/relationships/webSettings" Target="webSettings.xml"/><Relationship Id="rId10" Type="http://schemas.openxmlformats.org/officeDocument/2006/relationships/image" Target="media/image5.tiff"/><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18848-2AC7-4DA9-803B-084406A6C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2129</Words>
  <Characters>12137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Gambhir, Manoj (CDC/OID/NCIRD) (CTR)</dc:creator>
  <cp:lastModifiedBy>Manoj Gambhir</cp:lastModifiedBy>
  <cp:revision>4</cp:revision>
  <cp:lastPrinted>2014-12-14T00:35:00Z</cp:lastPrinted>
  <dcterms:created xsi:type="dcterms:W3CDTF">2014-12-18T00:20:00Z</dcterms:created>
  <dcterms:modified xsi:type="dcterms:W3CDTF">2015-02-03T23:10:00Z</dcterms:modified>
</cp:coreProperties>
</file>