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AD" w:rsidRPr="008E0AE3" w:rsidRDefault="004662AD" w:rsidP="004662AD">
      <w:pPr>
        <w:widowControl/>
        <w:tabs>
          <w:tab w:val="clear" w:pos="720"/>
        </w:tabs>
        <w:suppressAutoHyphens w:val="0"/>
        <w:jc w:val="both"/>
        <w:rPr>
          <w:rFonts w:cs="Times New Roman"/>
          <w:sz w:val="22"/>
          <w:szCs w:val="22"/>
        </w:rPr>
      </w:pPr>
      <w:bookmarkStart w:id="0" w:name="_GoBack"/>
      <w:bookmarkEnd w:id="0"/>
      <w:r>
        <w:rPr>
          <w:rFonts w:cs="Times New Roman"/>
          <w:sz w:val="32"/>
        </w:rPr>
        <w:t>Su</w:t>
      </w:r>
      <w:r w:rsidRPr="008E0AE3">
        <w:rPr>
          <w:rFonts w:cs="Times New Roman"/>
          <w:sz w:val="32"/>
        </w:rPr>
        <w:t>pplementary Material S3</w:t>
      </w:r>
    </w:p>
    <w:p w:rsidR="004662AD" w:rsidRPr="008E0AE3" w:rsidRDefault="004662AD" w:rsidP="004662AD">
      <w:pPr>
        <w:ind w:firstLine="340"/>
        <w:jc w:val="center"/>
        <w:rPr>
          <w:rFonts w:cs="Times New Roman"/>
        </w:rPr>
      </w:pPr>
      <w:r w:rsidRPr="008E0AE3">
        <w:rPr>
          <w:rFonts w:cs="Times New Roman"/>
          <w:b/>
          <w:sz w:val="28"/>
        </w:rPr>
        <w:t>A new algorithm to diagnose atrial ectopic origin from</w:t>
      </w:r>
      <w:r w:rsidRPr="008E0AE3">
        <w:rPr>
          <w:rFonts w:eastAsia="Times New Roman" w:cs="Times New Roman"/>
          <w:b/>
          <w:sz w:val="28"/>
        </w:rPr>
        <w:t xml:space="preserve"> multi lead </w:t>
      </w:r>
      <w:r w:rsidRPr="008E0AE3">
        <w:rPr>
          <w:rFonts w:cs="Times New Roman"/>
          <w:b/>
          <w:sz w:val="28"/>
        </w:rPr>
        <w:t>ECG systems</w:t>
      </w:r>
      <w:r w:rsidRPr="008E0AE3">
        <w:rPr>
          <w:rFonts w:eastAsia="Times New Roman" w:cs="Times New Roman"/>
          <w:b/>
          <w:sz w:val="28"/>
        </w:rPr>
        <w:t xml:space="preserve"> – </w:t>
      </w:r>
      <w:r w:rsidRPr="008E0AE3">
        <w:rPr>
          <w:rFonts w:cs="Times New Roman"/>
          <w:b/>
          <w:sz w:val="28"/>
        </w:rPr>
        <w:t>insights from 3D virtual human atria and torso</w:t>
      </w:r>
    </w:p>
    <w:p w:rsidR="004662AD" w:rsidRPr="008E0AE3" w:rsidRDefault="004662AD" w:rsidP="004662AD">
      <w:pPr>
        <w:pStyle w:val="Predeterminado"/>
        <w:spacing w:after="120" w:line="100" w:lineRule="atLeast"/>
        <w:jc w:val="center"/>
        <w:rPr>
          <w:rFonts w:cs="Times New Roman"/>
          <w:color w:val="auto"/>
        </w:rPr>
      </w:pPr>
      <w:r w:rsidRPr="008E0AE3">
        <w:rPr>
          <w:rFonts w:cs="Times New Roman"/>
          <w:color w:val="auto"/>
        </w:rPr>
        <w:t>Erick A. Perez Alday</w:t>
      </w:r>
      <w:r w:rsidRPr="008E0AE3">
        <w:rPr>
          <w:rFonts w:cs="Times New Roman"/>
          <w:color w:val="auto"/>
          <w:vertAlign w:val="superscript"/>
        </w:rPr>
        <w:t>1*</w:t>
      </w:r>
      <w:r w:rsidRPr="008E0AE3">
        <w:rPr>
          <w:rFonts w:cs="Times New Roman"/>
          <w:color w:val="auto"/>
        </w:rPr>
        <w:t>, Michael A. Colman</w:t>
      </w:r>
      <w:r w:rsidRPr="008E0AE3">
        <w:rPr>
          <w:rFonts w:cs="Times New Roman"/>
          <w:color w:val="auto"/>
          <w:vertAlign w:val="superscript"/>
        </w:rPr>
        <w:t>1*</w:t>
      </w:r>
      <w:r w:rsidRPr="008E0AE3">
        <w:rPr>
          <w:rFonts w:cs="Times New Roman"/>
          <w:color w:val="auto"/>
        </w:rPr>
        <w:t>, Philip Langley</w:t>
      </w:r>
      <w:r w:rsidRPr="008E0AE3">
        <w:rPr>
          <w:rFonts w:cs="Times New Roman"/>
          <w:color w:val="auto"/>
          <w:vertAlign w:val="superscript"/>
        </w:rPr>
        <w:t>2</w:t>
      </w:r>
      <w:r w:rsidRPr="008E0AE3">
        <w:rPr>
          <w:rFonts w:cs="Times New Roman"/>
          <w:color w:val="auto"/>
        </w:rPr>
        <w:t>, Timothy D. Butters</w:t>
      </w:r>
      <w:r w:rsidRPr="008E0AE3">
        <w:rPr>
          <w:rFonts w:cs="Times New Roman"/>
          <w:color w:val="auto"/>
          <w:vertAlign w:val="superscript"/>
        </w:rPr>
        <w:t>1</w:t>
      </w:r>
      <w:r w:rsidRPr="008E0AE3">
        <w:rPr>
          <w:rFonts w:cs="Times New Roman"/>
          <w:color w:val="auto"/>
        </w:rPr>
        <w:t>, Jonathan Higham</w:t>
      </w:r>
      <w:r w:rsidRPr="008E0AE3">
        <w:rPr>
          <w:rFonts w:cs="Times New Roman"/>
          <w:color w:val="auto"/>
          <w:vertAlign w:val="superscript"/>
        </w:rPr>
        <w:t>1</w:t>
      </w:r>
      <w:r w:rsidRPr="008E0AE3">
        <w:rPr>
          <w:rFonts w:cs="Times New Roman"/>
          <w:color w:val="auto"/>
        </w:rPr>
        <w:t xml:space="preserve">, </w:t>
      </w:r>
      <w:r w:rsidRPr="008E0AE3">
        <w:rPr>
          <w:rFonts w:cs="Times New Roman"/>
          <w:caps/>
          <w:color w:val="auto"/>
        </w:rPr>
        <w:t>A</w:t>
      </w:r>
      <w:r w:rsidRPr="008E0AE3">
        <w:rPr>
          <w:rFonts w:cs="Times New Roman"/>
          <w:color w:val="auto"/>
        </w:rPr>
        <w:t>ntony J. Workman</w:t>
      </w:r>
      <w:r w:rsidRPr="008E0AE3">
        <w:rPr>
          <w:rFonts w:cs="Times New Roman"/>
          <w:color w:val="auto"/>
          <w:vertAlign w:val="superscript"/>
        </w:rPr>
        <w:t>3</w:t>
      </w:r>
      <w:r w:rsidRPr="008E0AE3">
        <w:rPr>
          <w:rFonts w:cs="Times New Roman"/>
          <w:color w:val="auto"/>
        </w:rPr>
        <w:t>, Jules C. Hancox</w:t>
      </w:r>
      <w:r w:rsidRPr="008E0AE3">
        <w:rPr>
          <w:rFonts w:cs="Times New Roman"/>
          <w:color w:val="auto"/>
          <w:vertAlign w:val="superscript"/>
        </w:rPr>
        <w:t>1 4</w:t>
      </w:r>
      <w:r w:rsidRPr="008E0AE3">
        <w:rPr>
          <w:rFonts w:cs="Times New Roman"/>
          <w:color w:val="auto"/>
        </w:rPr>
        <w:t xml:space="preserve">, </w:t>
      </w:r>
      <w:proofErr w:type="spellStart"/>
      <w:r w:rsidRPr="008E0AE3">
        <w:rPr>
          <w:rFonts w:cs="Times New Roman"/>
          <w:color w:val="auto"/>
        </w:rPr>
        <w:t>Henggui</w:t>
      </w:r>
      <w:proofErr w:type="spellEnd"/>
      <w:r w:rsidRPr="008E0AE3">
        <w:rPr>
          <w:rFonts w:cs="Times New Roman"/>
          <w:color w:val="auto"/>
        </w:rPr>
        <w:t xml:space="preserve"> Zhang</w:t>
      </w:r>
      <w:r w:rsidRPr="008E0AE3">
        <w:rPr>
          <w:rFonts w:cs="Times New Roman"/>
          <w:color w:val="auto"/>
          <w:vertAlign w:val="superscript"/>
        </w:rPr>
        <w:t>1+</w:t>
      </w:r>
    </w:p>
    <w:p w:rsidR="004662AD" w:rsidRPr="008E0AE3" w:rsidRDefault="004662AD" w:rsidP="004662AD">
      <w:pPr>
        <w:pStyle w:val="Predeterminado"/>
        <w:spacing w:after="120" w:line="100" w:lineRule="atLeast"/>
        <w:jc w:val="center"/>
        <w:rPr>
          <w:rFonts w:cs="Times New Roman"/>
          <w:color w:val="auto"/>
        </w:rPr>
      </w:pPr>
      <w:r w:rsidRPr="008E0AE3">
        <w:rPr>
          <w:rFonts w:cs="Times New Roman"/>
          <w:i/>
          <w:color w:val="auto"/>
          <w:vertAlign w:val="superscript"/>
        </w:rPr>
        <w:t>1</w:t>
      </w:r>
      <w:r w:rsidRPr="008E0AE3">
        <w:rPr>
          <w:rFonts w:cs="Times New Roman"/>
          <w:i/>
          <w:color w:val="auto"/>
        </w:rPr>
        <w:t xml:space="preserve"> Biological Physics Group, Department of Physics and Astronomy, University of Manchester, Manchester, United Kingdom,</w:t>
      </w:r>
    </w:p>
    <w:p w:rsidR="004662AD" w:rsidRPr="008E0AE3" w:rsidRDefault="004662AD" w:rsidP="004662AD">
      <w:pPr>
        <w:pStyle w:val="Predeterminado"/>
        <w:spacing w:after="120" w:line="100" w:lineRule="atLeast"/>
        <w:jc w:val="center"/>
        <w:rPr>
          <w:rFonts w:cs="Times New Roman"/>
          <w:color w:val="auto"/>
        </w:rPr>
      </w:pPr>
      <w:r w:rsidRPr="008E0AE3">
        <w:rPr>
          <w:rFonts w:cs="Times New Roman"/>
          <w:i/>
          <w:color w:val="auto"/>
          <w:vertAlign w:val="superscript"/>
        </w:rPr>
        <w:t>2</w:t>
      </w:r>
      <w:r w:rsidRPr="008E0AE3">
        <w:rPr>
          <w:rFonts w:cs="Times New Roman"/>
          <w:i/>
          <w:color w:val="auto"/>
        </w:rPr>
        <w:t>School of Engineering, University of Hull, Hull, United Kingdom,</w:t>
      </w:r>
    </w:p>
    <w:p w:rsidR="004662AD" w:rsidRPr="008E0AE3" w:rsidRDefault="004662AD" w:rsidP="004662AD">
      <w:pPr>
        <w:pStyle w:val="Predeterminado"/>
        <w:spacing w:after="120" w:line="100" w:lineRule="atLeast"/>
        <w:jc w:val="center"/>
        <w:rPr>
          <w:rFonts w:cs="Times New Roman"/>
          <w:color w:val="auto"/>
        </w:rPr>
      </w:pPr>
      <w:r w:rsidRPr="008E0AE3">
        <w:rPr>
          <w:rFonts w:cs="Times New Roman"/>
          <w:i/>
          <w:color w:val="auto"/>
          <w:vertAlign w:val="superscript"/>
        </w:rPr>
        <w:t>3</w:t>
      </w:r>
      <w:r w:rsidRPr="008E0AE3">
        <w:rPr>
          <w:rFonts w:cs="Times New Roman"/>
          <w:i/>
          <w:color w:val="auto"/>
        </w:rPr>
        <w:t xml:space="preserve">Institute of Cardiovascular and Medical Sciences, University of Glasgow, Glasgow, United Kingdom, </w:t>
      </w:r>
    </w:p>
    <w:p w:rsidR="004662AD" w:rsidRPr="008E0AE3" w:rsidRDefault="004662AD" w:rsidP="004662AD">
      <w:pPr>
        <w:pStyle w:val="Predeterminado"/>
        <w:spacing w:after="120" w:line="100" w:lineRule="atLeast"/>
        <w:jc w:val="center"/>
        <w:rPr>
          <w:rFonts w:cs="Times New Roman"/>
          <w:color w:val="auto"/>
        </w:rPr>
      </w:pPr>
      <w:r w:rsidRPr="008E0AE3">
        <w:rPr>
          <w:rFonts w:cs="Times New Roman"/>
          <w:i/>
          <w:color w:val="auto"/>
          <w:vertAlign w:val="superscript"/>
        </w:rPr>
        <w:t>4</w:t>
      </w:r>
      <w:r w:rsidRPr="008E0AE3">
        <w:rPr>
          <w:rFonts w:cs="Times New Roman"/>
          <w:i/>
          <w:color w:val="auto"/>
        </w:rPr>
        <w:t>School of Physiology, Pharmacology and Cardiovascular Research Laboratories, School of Medical Sciences, University of Bristol, Bristol, United Kingdom.</w:t>
      </w:r>
    </w:p>
    <w:p w:rsidR="004662AD" w:rsidRPr="008E0AE3" w:rsidRDefault="004662AD" w:rsidP="004662AD">
      <w:pPr>
        <w:pStyle w:val="Predeterminado"/>
        <w:spacing w:after="120" w:line="100" w:lineRule="atLeast"/>
        <w:jc w:val="center"/>
        <w:rPr>
          <w:rFonts w:cs="Times New Roman"/>
          <w:color w:val="auto"/>
        </w:rPr>
      </w:pPr>
    </w:p>
    <w:p w:rsidR="004662AD" w:rsidRPr="008E0AE3" w:rsidRDefault="004662AD" w:rsidP="004662AD">
      <w:pPr>
        <w:pStyle w:val="Predeterminado"/>
        <w:spacing w:after="120" w:line="100" w:lineRule="atLeast"/>
        <w:ind w:left="720"/>
        <w:jc w:val="center"/>
        <w:rPr>
          <w:rFonts w:cs="Times New Roman"/>
          <w:color w:val="auto"/>
        </w:rPr>
      </w:pPr>
      <w:r w:rsidRPr="008E0AE3">
        <w:rPr>
          <w:rFonts w:cs="Times New Roman"/>
          <w:color w:val="auto"/>
          <w:sz w:val="20"/>
          <w:vertAlign w:val="superscript"/>
        </w:rPr>
        <w:t>*</w:t>
      </w:r>
      <w:r w:rsidRPr="008E0AE3">
        <w:rPr>
          <w:rFonts w:cs="Times New Roman"/>
          <w:i/>
          <w:color w:val="auto"/>
          <w:sz w:val="20"/>
        </w:rPr>
        <w:t xml:space="preserve">Both authors have contributed equally to this study. </w:t>
      </w:r>
    </w:p>
    <w:p w:rsidR="004662AD" w:rsidRPr="008E0AE3" w:rsidRDefault="004662AD" w:rsidP="004662AD">
      <w:pPr>
        <w:pStyle w:val="Predeterminado"/>
        <w:spacing w:after="120" w:line="100" w:lineRule="atLeast"/>
        <w:ind w:left="720"/>
        <w:jc w:val="center"/>
        <w:rPr>
          <w:rFonts w:cs="Times New Roman"/>
          <w:color w:val="auto"/>
        </w:rPr>
      </w:pPr>
      <w:r w:rsidRPr="008E0AE3">
        <w:rPr>
          <w:rFonts w:cs="Times New Roman"/>
          <w:i/>
          <w:color w:val="auto"/>
          <w:sz w:val="20"/>
          <w:vertAlign w:val="superscript"/>
        </w:rPr>
        <w:t>+</w:t>
      </w:r>
      <w:r w:rsidRPr="008E0AE3">
        <w:rPr>
          <w:rFonts w:cs="Times New Roman"/>
          <w:i/>
          <w:color w:val="auto"/>
          <w:sz w:val="20"/>
        </w:rPr>
        <w:t xml:space="preserve">Correspondence: </w:t>
      </w:r>
      <w:r w:rsidRPr="008E0AE3">
        <w:rPr>
          <w:rStyle w:val="InternetLink"/>
          <w:rFonts w:cs="Times New Roman"/>
          <w:i/>
          <w:color w:val="auto"/>
          <w:sz w:val="20"/>
        </w:rPr>
        <w:t>henggui.zhang@manchester.ac.uk</w:t>
      </w:r>
    </w:p>
    <w:p w:rsidR="004662AD" w:rsidRPr="008E0AE3" w:rsidRDefault="004662AD" w:rsidP="004662AD">
      <w:pPr>
        <w:widowControl/>
        <w:tabs>
          <w:tab w:val="clear" w:pos="720"/>
        </w:tabs>
        <w:suppressAutoHyphens w:val="0"/>
        <w:jc w:val="both"/>
        <w:rPr>
          <w:rFonts w:cs="Times New Roman"/>
          <w:sz w:val="22"/>
          <w:szCs w:val="22"/>
          <w:highlight w:val="lightGray"/>
          <w:lang w:eastAsia="en-US" w:bidi="ar-SA"/>
        </w:rPr>
      </w:pPr>
    </w:p>
    <w:p w:rsidR="004662AD" w:rsidRPr="008E0AE3" w:rsidRDefault="004662AD" w:rsidP="004662AD">
      <w:pPr>
        <w:widowControl/>
        <w:tabs>
          <w:tab w:val="clear" w:pos="720"/>
        </w:tabs>
        <w:suppressAutoHyphens w:val="0"/>
        <w:jc w:val="both"/>
        <w:rPr>
          <w:rFonts w:cs="Times New Roman"/>
          <w:b/>
          <w:sz w:val="22"/>
          <w:szCs w:val="22"/>
          <w:lang w:eastAsia="en-US" w:bidi="ar-SA"/>
        </w:rPr>
      </w:pPr>
    </w:p>
    <w:p w:rsidR="004662AD" w:rsidRPr="008E0AE3" w:rsidRDefault="004662AD" w:rsidP="004662AD">
      <w:pPr>
        <w:widowControl/>
        <w:tabs>
          <w:tab w:val="clear" w:pos="720"/>
        </w:tabs>
        <w:suppressAutoHyphens w:val="0"/>
        <w:jc w:val="both"/>
        <w:rPr>
          <w:rFonts w:cs="Times New Roman"/>
          <w:b/>
          <w:sz w:val="22"/>
          <w:szCs w:val="22"/>
          <w:lang w:eastAsia="en-US" w:bidi="ar-SA"/>
        </w:rPr>
      </w:pPr>
      <w:r w:rsidRPr="008E0AE3">
        <w:rPr>
          <w:rFonts w:cs="Times New Roman"/>
          <w:b/>
          <w:noProof/>
          <w:sz w:val="22"/>
          <w:szCs w:val="22"/>
          <w:lang w:val="en-US" w:bidi="ar-SA"/>
        </w:rPr>
        <w:drawing>
          <wp:inline distT="0" distB="0" distL="0" distR="0">
            <wp:extent cx="6114415" cy="1868805"/>
            <wp:effectExtent l="19050" t="0" r="635" b="0"/>
            <wp:docPr id="4" name="Picture 4" descr="C:\Users\e\Desktop\A new algorithm\tiff\Appendix_C_nomr_EC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esktop\A new algorithm\tiff\Appendix_C_nomr_ECG.tiff"/>
                    <pic:cNvPicPr>
                      <a:picLocks noChangeAspect="1" noChangeArrowheads="1"/>
                    </pic:cNvPicPr>
                  </pic:nvPicPr>
                  <pic:blipFill>
                    <a:blip r:embed="rId4"/>
                    <a:srcRect/>
                    <a:stretch>
                      <a:fillRect/>
                    </a:stretch>
                  </pic:blipFill>
                  <pic:spPr bwMode="auto">
                    <a:xfrm>
                      <a:off x="0" y="0"/>
                      <a:ext cx="6114415" cy="1868805"/>
                    </a:xfrm>
                    <a:prstGeom prst="rect">
                      <a:avLst/>
                    </a:prstGeom>
                    <a:noFill/>
                    <a:ln w="9525">
                      <a:noFill/>
                      <a:miter lim="800000"/>
                      <a:headEnd/>
                      <a:tailEnd/>
                    </a:ln>
                  </pic:spPr>
                </pic:pic>
              </a:graphicData>
            </a:graphic>
          </wp:inline>
        </w:drawing>
      </w:r>
    </w:p>
    <w:p w:rsidR="004662AD" w:rsidRPr="008E0AE3" w:rsidRDefault="004662AD" w:rsidP="004662AD">
      <w:pPr>
        <w:widowControl/>
        <w:tabs>
          <w:tab w:val="clear" w:pos="720"/>
        </w:tabs>
        <w:suppressAutoHyphens w:val="0"/>
        <w:jc w:val="both"/>
        <w:rPr>
          <w:rFonts w:cs="Times New Roman"/>
          <w:sz w:val="22"/>
          <w:szCs w:val="22"/>
          <w:lang w:eastAsia="en-US" w:bidi="ar-SA"/>
        </w:rPr>
      </w:pPr>
      <w:r w:rsidRPr="008E0AE3">
        <w:rPr>
          <w:rFonts w:cs="Times New Roman"/>
          <w:b/>
          <w:sz w:val="22"/>
          <w:szCs w:val="22"/>
          <w:lang w:eastAsia="en-US" w:bidi="ar-SA"/>
        </w:rPr>
        <w:t>Figure S3</w:t>
      </w:r>
      <w:r w:rsidRPr="008E0AE3">
        <w:rPr>
          <w:rFonts w:cs="Times New Roman"/>
          <w:sz w:val="22"/>
          <w:szCs w:val="22"/>
          <w:lang w:eastAsia="en-US" w:bidi="ar-SA"/>
        </w:rPr>
        <w:t xml:space="preserve">. Lead 2 of the 64-lead ECG system. The red line in figure A is the P-wave obtained with the normal torso conductivity. Line blue is the P-wave obtained using an average tissue conductivity including muscles and fat. The black line represents the P-wave obtained using an average tissue conductivity including muscle, fat and skin. B is the same three different cases normalized. All the conductivities are taken from </w:t>
      </w:r>
      <w:proofErr w:type="spellStart"/>
      <w:r w:rsidRPr="008E0AE3">
        <w:rPr>
          <w:rFonts w:cs="Times New Roman"/>
          <w:sz w:val="22"/>
          <w:szCs w:val="22"/>
          <w:lang w:eastAsia="en-US" w:bidi="ar-SA"/>
        </w:rPr>
        <w:t>Grimnes</w:t>
      </w:r>
      <w:proofErr w:type="spellEnd"/>
      <w:r w:rsidRPr="008E0AE3">
        <w:rPr>
          <w:rFonts w:cs="Times New Roman"/>
          <w:sz w:val="22"/>
          <w:szCs w:val="22"/>
          <w:lang w:eastAsia="en-US" w:bidi="ar-SA"/>
        </w:rPr>
        <w:t xml:space="preserve"> and </w:t>
      </w:r>
      <w:proofErr w:type="spellStart"/>
      <w:r w:rsidRPr="008E0AE3">
        <w:rPr>
          <w:rFonts w:cs="Times New Roman"/>
          <w:sz w:val="22"/>
          <w:szCs w:val="22"/>
          <w:lang w:eastAsia="en-US" w:bidi="ar-SA"/>
        </w:rPr>
        <w:t>Martinsen</w:t>
      </w:r>
      <w:proofErr w:type="spellEnd"/>
      <w:r w:rsidRPr="008E0AE3">
        <w:rPr>
          <w:rFonts w:cs="Times New Roman"/>
          <w:sz w:val="22"/>
          <w:szCs w:val="22"/>
          <w:lang w:eastAsia="en-US" w:bidi="ar-SA"/>
        </w:rPr>
        <w:t xml:space="preserve">, 2008 </w:t>
      </w:r>
      <w:r w:rsidRPr="008E0AE3">
        <w:rPr>
          <w:rFonts w:cs="Times New Roman"/>
          <w:sz w:val="22"/>
          <w:szCs w:val="22"/>
          <w:lang w:eastAsia="en-US" w:bidi="ar-SA"/>
        </w:rPr>
        <w:fldChar w:fldCharType="begin"/>
      </w:r>
      <w:r w:rsidRPr="008E0AE3">
        <w:rPr>
          <w:rFonts w:cs="Times New Roman"/>
          <w:sz w:val="22"/>
          <w:szCs w:val="22"/>
          <w:lang w:eastAsia="en-US" w:bidi="ar-SA"/>
        </w:rPr>
        <w:instrText xml:space="preserve"> ADDIN ZOTERO_ITEM CSL_CITATION {"citationID":"1ogk7n1d1r","properties":{"formattedCitation":"[1]","plainCitation":"[1]"},"citationItems":[{"id":114,"uris":["http://zotero.org/users/local/sufwcv8m/items/UJ3PUQAM"],"uri":["http://zotero.org/users/local/sufwcv8m/items/UJ3PUQAM"],"itemData":{"id":114,"type":"book","title":"Bioimpedance and Bioelectricity Basics","publisher":"Academic Press","number-of-pages":"384","source":"Google Books","abstract":"Bioimpedance and Bioelectricity Basics is unique in providing all the information needed to follow the interdisciplinary subjects of bioimpedance and bioelectricity without having to be a graduate student in the relevant fields. For the first time, one book offers the broadest possible introduction to all use and effects of electrical fields in tissue, dealing with the most basic chemical and physical functions of life. Very few books have covered the dielectric and electrochemical side of the subject, despite its importance; Bioimpedance and Bioelectricity Basics does. It also includes the electrical engineering concepts of network theory and the complex math needed. Up to now, there has been work done by physicists and engineers on one side, doctors and biologists on the other, this book fills the gap, providing the knowledge for both groups. Key Features* is one complete source and reference guide to a complex and disparate field* gives the reader the latest research and applications* is highly illustrated, with an indepth explanation of all mathematics","ISBN":"9780123032607","language":"en","author":[{"family":"Grimnes","given":"Sverre"},{"family":"Martinsen","given":"Ørjan Grøttem"}],"issued":{"date-parts":[["2000"]]}}}],"schema":"https://github.com/citation-style-language/schema/raw/master/csl-citation.json"} </w:instrText>
      </w:r>
      <w:r w:rsidRPr="008E0AE3">
        <w:rPr>
          <w:rFonts w:cs="Times New Roman"/>
          <w:sz w:val="22"/>
          <w:szCs w:val="22"/>
          <w:lang w:eastAsia="en-US" w:bidi="ar-SA"/>
        </w:rPr>
        <w:fldChar w:fldCharType="separate"/>
      </w:r>
      <w:r w:rsidRPr="008E0AE3">
        <w:rPr>
          <w:rFonts w:cs="Times New Roman"/>
          <w:sz w:val="22"/>
          <w:szCs w:val="22"/>
        </w:rPr>
        <w:t>[21]</w:t>
      </w:r>
      <w:r w:rsidRPr="008E0AE3">
        <w:rPr>
          <w:rFonts w:cs="Times New Roman"/>
          <w:sz w:val="22"/>
          <w:szCs w:val="22"/>
          <w:lang w:eastAsia="en-US" w:bidi="ar-SA"/>
        </w:rPr>
        <w:fldChar w:fldCharType="end"/>
      </w:r>
      <w:r w:rsidRPr="008E0AE3">
        <w:rPr>
          <w:rFonts w:cs="Times New Roman"/>
          <w:sz w:val="22"/>
          <w:szCs w:val="22"/>
          <w:lang w:eastAsia="en-US" w:bidi="ar-SA"/>
        </w:rPr>
        <w:t>.</w:t>
      </w:r>
    </w:p>
    <w:p w:rsidR="00F86E3C" w:rsidRPr="004662AD" w:rsidRDefault="002576FA" w:rsidP="004662AD">
      <w:pPr>
        <w:widowControl/>
        <w:tabs>
          <w:tab w:val="clear" w:pos="720"/>
        </w:tabs>
        <w:suppressAutoHyphens w:val="0"/>
        <w:rPr>
          <w:rFonts w:cs="Times New Roman"/>
          <w:sz w:val="22"/>
          <w:szCs w:val="22"/>
          <w:lang w:eastAsia="en-US" w:bidi="ar-SA"/>
        </w:rPr>
      </w:pPr>
    </w:p>
    <w:sectPr w:rsidR="00F86E3C" w:rsidRPr="004662AD" w:rsidSect="00C53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AD"/>
    <w:rsid w:val="000370D6"/>
    <w:rsid w:val="002576FA"/>
    <w:rsid w:val="00392E73"/>
    <w:rsid w:val="004662AD"/>
    <w:rsid w:val="00C537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3A058-DA9D-4039-BDE7-BDD929F3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62AD"/>
    <w:pPr>
      <w:widowControl w:val="0"/>
      <w:tabs>
        <w:tab w:val="left" w:pos="720"/>
      </w:tabs>
      <w:suppressAutoHyphens/>
    </w:pPr>
    <w:rPr>
      <w:rFonts w:ascii="Times New Roman" w:eastAsia="WenQuanYi Micro Hei"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4662AD"/>
    <w:rPr>
      <w:color w:val="0000FF"/>
      <w:u w:val="single"/>
      <w:lang w:val="en-US" w:eastAsia="en-US" w:bidi="en-US"/>
    </w:rPr>
  </w:style>
  <w:style w:type="paragraph" w:customStyle="1" w:styleId="Predeterminado">
    <w:name w:val="Predeterminado"/>
    <w:rsid w:val="004662AD"/>
    <w:pPr>
      <w:tabs>
        <w:tab w:val="left" w:pos="720"/>
      </w:tabs>
      <w:suppressAutoHyphens/>
      <w:ind w:firstLine="340"/>
      <w:jc w:val="both"/>
    </w:pPr>
    <w:rPr>
      <w:rFonts w:ascii="Times New Roman" w:eastAsia="WenQuanYi Micro Hei" w:hAnsi="Times New Roman" w:cs="Calibri"/>
      <w:color w:val="00000A"/>
    </w:rPr>
  </w:style>
  <w:style w:type="paragraph" w:styleId="BalloonText">
    <w:name w:val="Balloon Text"/>
    <w:basedOn w:val="Normal"/>
    <w:link w:val="BalloonTextChar"/>
    <w:uiPriority w:val="99"/>
    <w:semiHidden/>
    <w:unhideWhenUsed/>
    <w:rsid w:val="004662A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662AD"/>
    <w:rPr>
      <w:rFonts w:ascii="Tahoma" w:eastAsia="WenQuanYi Micro Hei"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admin</cp:lastModifiedBy>
  <cp:revision>2</cp:revision>
  <dcterms:created xsi:type="dcterms:W3CDTF">2014-11-21T16:22:00Z</dcterms:created>
  <dcterms:modified xsi:type="dcterms:W3CDTF">2014-11-21T16:22:00Z</dcterms:modified>
</cp:coreProperties>
</file>