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05" w:rsidRDefault="00422C05" w:rsidP="00422C05">
      <w:pPr>
        <w:spacing w:line="360" w:lineRule="auto"/>
        <w:outlineLvl w:val="0"/>
        <w:rPr>
          <w:rFonts w:ascii="Times New Roman" w:hAnsi="Times New Roman" w:cs="Times New Roman"/>
          <w:b/>
        </w:rPr>
      </w:pPr>
      <w:r>
        <w:rPr>
          <w:rFonts w:ascii="Times New Roman" w:hAnsi="Times New Roman" w:cs="Times New Roman"/>
          <w:b/>
        </w:rPr>
        <w:t>Supporting Information:</w:t>
      </w:r>
    </w:p>
    <w:p w:rsidR="00422C05" w:rsidRPr="000B0C28" w:rsidRDefault="00422C05" w:rsidP="00422C05">
      <w:pPr>
        <w:spacing w:line="360" w:lineRule="auto"/>
        <w:rPr>
          <w:rFonts w:ascii="Times New Roman" w:eastAsia="Calibri" w:hAnsi="Times New Roman" w:cs="Times New Roman"/>
          <w:b/>
        </w:rPr>
      </w:pPr>
      <w:r>
        <w:rPr>
          <w:rFonts w:ascii="Times New Roman" w:eastAsia="Calibri" w:hAnsi="Times New Roman" w:cs="Times New Roman"/>
          <w:b/>
        </w:rPr>
        <w:t xml:space="preserve">Text S1: </w:t>
      </w:r>
      <w:r w:rsidRPr="000B0C28">
        <w:rPr>
          <w:rFonts w:ascii="Times New Roman" w:eastAsia="Calibri" w:hAnsi="Times New Roman" w:cs="Times New Roman"/>
          <w:b/>
        </w:rPr>
        <w:t xml:space="preserve">Low firing rate </w:t>
      </w:r>
      <w:r>
        <w:rPr>
          <w:rFonts w:ascii="Times New Roman" w:eastAsia="Calibri" w:hAnsi="Times New Roman" w:cs="Times New Roman"/>
          <w:b/>
        </w:rPr>
        <w:t>threshold</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 xml:space="preserve">When distracting inputs oscillate incoherently in the same frequency band as the target signal, they generate noise in the output of the receiving network </w:t>
      </w:r>
      <w:r>
        <w:rPr>
          <w:rFonts w:ascii="Times New Roman" w:eastAsia="Calibri" w:hAnsi="Times New Roman" w:cs="Times New Roman"/>
        </w:rPr>
        <w:t>because of</w:t>
      </w:r>
      <w:r w:rsidRPr="000B0C28">
        <w:rPr>
          <w:rFonts w:ascii="Times New Roman" w:eastAsia="Calibri" w:hAnsi="Times New Roman" w:cs="Times New Roman"/>
        </w:rPr>
        <w:t xml:space="preserve"> random variation in the overlap between their firing rate modulation and gain modulation in the receiving region.  This overlap noise can be minimized by structured oscillatory activity in which distracting inputs are asynchronous or separated from the target in phase or frequency.  The relative advantage of such structured activity increases with the firing rate of the input networks because, as </w:t>
      </w:r>
      <w:r>
        <w:rPr>
          <w:rFonts w:ascii="Times New Roman" w:eastAsia="Calibri" w:hAnsi="Times New Roman" w:cs="Times New Roman"/>
        </w:rPr>
        <w:t xml:space="preserve">the </w:t>
      </w:r>
      <w:r w:rsidRPr="000B0C28">
        <w:rPr>
          <w:rFonts w:ascii="Times New Roman" w:eastAsia="Calibri" w:hAnsi="Times New Roman" w:cs="Times New Roman"/>
        </w:rPr>
        <w:t>firing rate increase</w:t>
      </w:r>
      <w:r>
        <w:rPr>
          <w:rFonts w:ascii="Times New Roman" w:eastAsia="Calibri" w:hAnsi="Times New Roman" w:cs="Times New Roman"/>
        </w:rPr>
        <w:t>s</w:t>
      </w:r>
      <w:r w:rsidRPr="000B0C28">
        <w:rPr>
          <w:rFonts w:ascii="Times New Roman" w:eastAsia="Calibri" w:hAnsi="Times New Roman" w:cs="Times New Roman"/>
        </w:rPr>
        <w:t xml:space="preserve">, noise due to stochastic spiking of individual neurons becomes smaller relative to the signal size while the relative size of overlap noise is unchanged.  </w:t>
      </w:r>
      <w:r>
        <w:rPr>
          <w:rFonts w:ascii="Times New Roman" w:eastAsia="Calibri" w:hAnsi="Times New Roman" w:cs="Times New Roman"/>
        </w:rPr>
        <w:t>This suggests that there is a</w:t>
      </w:r>
      <w:r w:rsidRPr="000B0C28">
        <w:rPr>
          <w:rFonts w:ascii="Times New Roman" w:eastAsia="Calibri" w:hAnsi="Times New Roman" w:cs="Times New Roman"/>
        </w:rPr>
        <w:t xml:space="preserve"> firing rate threshold below which structured oscillatory a</w:t>
      </w:r>
      <w:r>
        <w:rPr>
          <w:rFonts w:ascii="Times New Roman" w:eastAsia="Calibri" w:hAnsi="Times New Roman" w:cs="Times New Roman"/>
        </w:rPr>
        <w:t>ctivity offers little advantage.</w:t>
      </w:r>
      <w:r w:rsidRPr="000B0C28">
        <w:rPr>
          <w:rFonts w:ascii="Times New Roman" w:eastAsia="Calibri" w:hAnsi="Times New Roman" w:cs="Times New Roman"/>
        </w:rPr>
        <w:t xml:space="preserve">  We show here that such a firing rate threshold exists but argue that </w:t>
      </w:r>
      <w:r>
        <w:rPr>
          <w:rFonts w:ascii="Times New Roman" w:eastAsia="Calibri" w:hAnsi="Times New Roman" w:cs="Times New Roman"/>
        </w:rPr>
        <w:t xml:space="preserve">it </w:t>
      </w:r>
      <w:r w:rsidRPr="000B0C28">
        <w:rPr>
          <w:rFonts w:ascii="Times New Roman" w:eastAsia="Calibri" w:hAnsi="Times New Roman" w:cs="Times New Roman"/>
        </w:rPr>
        <w:t>is low relative to firing rates relevant to coding in cortex.</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 xml:space="preserve">Defining a firing rate threshold for a population code is complicated as the code is itself a distribution of firing rates over neurons.  To provide a number that is straightforward to interpret we considered a local region of receiving network for which all afferents have the same stimulus tuning, such that each input is characterized by an average </w:t>
      </w:r>
      <w:proofErr w:type="gramStart"/>
      <w:r w:rsidRPr="000B0C28">
        <w:rPr>
          <w:rFonts w:ascii="Times New Roman" w:eastAsia="Calibri" w:hAnsi="Times New Roman" w:cs="Times New Roman"/>
        </w:rPr>
        <w:t>population firing</w:t>
      </w:r>
      <w:proofErr w:type="gramEnd"/>
      <w:r w:rsidRPr="000B0C28">
        <w:rPr>
          <w:rFonts w:ascii="Times New Roman" w:eastAsia="Calibri" w:hAnsi="Times New Roman" w:cs="Times New Roman"/>
        </w:rPr>
        <w:t xml:space="preserve"> rate </w:t>
      </w:r>
      <w:r w:rsidR="005E188D" w:rsidRPr="00025957">
        <w:rPr>
          <w:position w:val="-4"/>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14.6pt" o:ole="">
            <v:imagedata r:id="rId8" o:title=""/>
          </v:shape>
          <o:OLEObject Type="Embed" ProgID="Equation.DSMT4" ShapeID="_x0000_i1025" DrawAspect="Content" ObjectID="_1284614326" r:id="rId9"/>
        </w:object>
      </w:r>
      <w:r w:rsidRPr="000B0C28">
        <w:rPr>
          <w:rFonts w:ascii="Times New Roman" w:eastAsia="Calibri" w:hAnsi="Times New Roman" w:cs="Times New Roman"/>
        </w:rPr>
        <w:t xml:space="preserve"> and modulation </w:t>
      </w:r>
      <w:r w:rsidR="005E188D" w:rsidRPr="005E188D">
        <w:rPr>
          <w:position w:val="-10"/>
        </w:rPr>
        <w:object w:dxaOrig="600" w:dyaOrig="360">
          <v:shape id="_x0000_i1026" type="#_x0000_t75" style="width:30.1pt;height:18.25pt" o:ole="">
            <v:imagedata r:id="rId10" o:title=""/>
          </v:shape>
          <o:OLEObject Type="Embed" ProgID="Equation.DSMT4" ShapeID="_x0000_i1026" DrawAspect="Content" ObjectID="_1284614327" r:id="rId11"/>
        </w:object>
      </w:r>
      <w:r w:rsidRPr="000B0C28">
        <w:rPr>
          <w:rFonts w:ascii="Times New Roman" w:eastAsia="Calibri" w:hAnsi="Times New Roman" w:cs="Times New Roman"/>
        </w:rPr>
        <w:t>.   The spiking activity due to input network N is:</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005E188D" w:rsidRPr="005E188D">
        <w:rPr>
          <w:position w:val="-14"/>
        </w:rPr>
        <w:object w:dxaOrig="2580" w:dyaOrig="400">
          <v:shape id="_x0000_i1027" type="#_x0000_t75" style="width:129.4pt;height:20.05pt" o:ole="">
            <v:imagedata r:id="rId12" o:title=""/>
          </v:shape>
          <o:OLEObject Type="Embed" ProgID="Equation.DSMT4" ShapeID="_x0000_i1027" DrawAspect="Content" ObjectID="_1284614328" r:id="rId13"/>
        </w:objec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The total spike input is:</w:t>
      </w:r>
      <w:r w:rsidRPr="000B0C28">
        <w:rPr>
          <w:rFonts w:ascii="Times New Roman" w:eastAsia="Calibri" w:hAnsi="Times New Roman" w:cs="Times New Roman"/>
        </w:rPr>
        <w:tab/>
      </w:r>
      <w:r w:rsidRPr="000B0C28">
        <w:rPr>
          <w:rFonts w:ascii="Times New Roman" w:eastAsia="Calibri" w:hAnsi="Times New Roman" w:cs="Times New Roman"/>
        </w:rPr>
        <w:tab/>
      </w:r>
    </w:p>
    <w:p w:rsidR="00422C05" w:rsidRPr="000B0C28" w:rsidRDefault="005E188D" w:rsidP="005E188D">
      <w:pPr>
        <w:pStyle w:val="MTDisplayEquation"/>
        <w:rPr>
          <w:rFonts w:ascii="Times New Roman" w:eastAsia="Calibri" w:hAnsi="Times New Roman" w:cs="Times New Roman"/>
        </w:rPr>
      </w:pPr>
      <w:r>
        <w:tab/>
      </w:r>
      <w:r w:rsidRPr="005E188D">
        <w:rPr>
          <w:position w:val="-28"/>
        </w:rPr>
        <w:object w:dxaOrig="1359" w:dyaOrig="540">
          <v:shape id="_x0000_i1028" type="#_x0000_t75" style="width:67.45pt;height:27.35pt" o:ole="">
            <v:imagedata r:id="rId14" o:title=""/>
          </v:shape>
          <o:OLEObject Type="Embed" ProgID="Equation.DSMT4" ShapeID="_x0000_i1028" DrawAspect="Content" ObjectID="_1284614329" r:id="rId15"/>
        </w:objec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The output of the receiving network is:</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005E188D" w:rsidRPr="005E188D">
        <w:rPr>
          <w:position w:val="-14"/>
        </w:rPr>
        <w:object w:dxaOrig="1600" w:dyaOrig="400">
          <v:shape id="_x0000_i1029" type="#_x0000_t75" style="width:80.2pt;height:20.05pt" o:ole="">
            <v:imagedata r:id="rId16" o:title=""/>
          </v:shape>
          <o:OLEObject Type="Embed" ProgID="Equation.DSMT4" ShapeID="_x0000_i1029" DrawAspect="Content" ObjectID="_1284614330" r:id="rId17"/>
        </w:object>
      </w:r>
      <w:r w:rsidRPr="000B0C28">
        <w:rPr>
          <w:rFonts w:ascii="Times New Roman" w:eastAsia="Calibri" w:hAnsi="Times New Roman" w:cs="Times New Roman"/>
        </w:rPr>
        <w:t xml:space="preserve"> </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 xml:space="preserve">Where </w:t>
      </w:r>
      <w:r w:rsidR="005E188D" w:rsidRPr="005E188D">
        <w:rPr>
          <w:position w:val="-14"/>
        </w:rPr>
        <w:object w:dxaOrig="520" w:dyaOrig="400">
          <v:shape id="_x0000_i1030" type="#_x0000_t75" style="width:25.5pt;height:20.05pt" o:ole="">
            <v:imagedata r:id="rId18" o:title=""/>
          </v:shape>
          <o:OLEObject Type="Embed" ProgID="Equation.DSMT4" ShapeID="_x0000_i1030" DrawAspect="Content" ObjectID="_1284614331" r:id="rId19"/>
        </w:object>
      </w:r>
      <w:r w:rsidRPr="000B0C28">
        <w:rPr>
          <w:rFonts w:ascii="Times New Roman" w:eastAsia="Calibri" w:hAnsi="Times New Roman" w:cs="Times New Roman"/>
        </w:rPr>
        <w:t xml:space="preserve"> is the gain modulation of the receiving </w:t>
      </w:r>
      <w:proofErr w:type="gramStart"/>
      <w:r w:rsidRPr="000B0C28">
        <w:rPr>
          <w:rFonts w:ascii="Times New Roman" w:eastAsia="Calibri" w:hAnsi="Times New Roman" w:cs="Times New Roman"/>
        </w:rPr>
        <w:t>network.</w:t>
      </w:r>
      <w:proofErr w:type="gramEnd"/>
      <w:r w:rsidRPr="000B0C28">
        <w:rPr>
          <w:rFonts w:ascii="Times New Roman" w:eastAsia="Calibri" w:hAnsi="Times New Roman" w:cs="Times New Roman"/>
        </w:rPr>
        <w:t xml:space="preserve">  The integrated output of the receiving network is:</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005E188D" w:rsidRPr="005E188D">
        <w:rPr>
          <w:position w:val="-32"/>
        </w:rPr>
        <w:object w:dxaOrig="1200" w:dyaOrig="760">
          <v:shape id="_x0000_i1031" type="#_x0000_t75" style="width:60.15pt;height:38.3pt" o:ole="">
            <v:imagedata r:id="rId20" o:title=""/>
          </v:shape>
          <o:OLEObject Type="Embed" ProgID="Equation.DSMT4" ShapeID="_x0000_i1031" DrawAspect="Content" ObjectID="_1284614332" r:id="rId21"/>
        </w:object>
      </w:r>
    </w:p>
    <w:p w:rsidR="00422C05" w:rsidRPr="000B0C28" w:rsidRDefault="00422C05" w:rsidP="00422C05">
      <w:pPr>
        <w:spacing w:line="360" w:lineRule="auto"/>
        <w:rPr>
          <w:rFonts w:ascii="Times New Roman" w:eastAsia="Calibri" w:hAnsi="Times New Roman" w:cs="Times New Roman"/>
        </w:rPr>
      </w:pPr>
      <w:r>
        <w:rPr>
          <w:rFonts w:ascii="Times New Roman" w:eastAsia="Calibri" w:hAnsi="Times New Roman" w:cs="Times New Roman"/>
        </w:rPr>
        <w:lastRenderedPageBreak/>
        <w:t>To determine</w:t>
      </w:r>
      <w:r w:rsidRPr="000B0C28">
        <w:rPr>
          <w:rFonts w:ascii="Times New Roman" w:eastAsia="Calibri" w:hAnsi="Times New Roman" w:cs="Times New Roman"/>
        </w:rPr>
        <w:t xml:space="preserve"> the firing rate threshold at which overlap noise becomes dominant </w:t>
      </w:r>
      <w:r>
        <w:rPr>
          <w:rFonts w:ascii="Times New Roman" w:eastAsia="Calibri" w:hAnsi="Times New Roman" w:cs="Times New Roman"/>
        </w:rPr>
        <w:t>we</w:t>
      </w:r>
      <w:r w:rsidRPr="000B0C28">
        <w:rPr>
          <w:rFonts w:ascii="Times New Roman" w:eastAsia="Calibri" w:hAnsi="Times New Roman" w:cs="Times New Roman"/>
        </w:rPr>
        <w:t xml:space="preserve"> compare</w:t>
      </w:r>
      <w:r>
        <w:rPr>
          <w:rFonts w:ascii="Times New Roman" w:eastAsia="Calibri" w:hAnsi="Times New Roman" w:cs="Times New Roman"/>
        </w:rPr>
        <w:t>d</w:t>
      </w:r>
      <w:r w:rsidRPr="000B0C28">
        <w:rPr>
          <w:rFonts w:ascii="Times New Roman" w:eastAsia="Calibri" w:hAnsi="Times New Roman" w:cs="Times New Roman"/>
        </w:rPr>
        <w:t xml:space="preserve"> the noise due to an asynchronous distracting input with that due to an incoherently oscillating distracting input  (both with the same average population firing rate).  </w:t>
      </w:r>
      <w:r>
        <w:rPr>
          <w:rFonts w:ascii="Times New Roman" w:eastAsia="Calibri" w:hAnsi="Times New Roman" w:cs="Times New Roman"/>
        </w:rPr>
        <w:t>This</w:t>
      </w:r>
      <w:r w:rsidRPr="000B0C28">
        <w:rPr>
          <w:rFonts w:ascii="Times New Roman" w:eastAsia="Calibri" w:hAnsi="Times New Roman" w:cs="Times New Roman"/>
        </w:rPr>
        <w:t xml:space="preserve"> depend</w:t>
      </w:r>
      <w:r>
        <w:rPr>
          <w:rFonts w:ascii="Times New Roman" w:eastAsia="Calibri" w:hAnsi="Times New Roman" w:cs="Times New Roman"/>
        </w:rPr>
        <w:t>s</w:t>
      </w:r>
      <w:r w:rsidRPr="000B0C28">
        <w:rPr>
          <w:rFonts w:ascii="Times New Roman" w:eastAsia="Calibri" w:hAnsi="Times New Roman" w:cs="Times New Roman"/>
        </w:rPr>
        <w:t xml:space="preserve"> on their firing rates, the gain modulation and on the firing rate modulation of the incoherently oscillating input.  As in </w:t>
      </w:r>
      <w:r>
        <w:rPr>
          <w:rFonts w:ascii="Times New Roman" w:eastAsia="Calibri" w:hAnsi="Times New Roman" w:cs="Times New Roman"/>
        </w:rPr>
        <w:t>F</w:t>
      </w:r>
      <w:r w:rsidRPr="000B0C28">
        <w:rPr>
          <w:rFonts w:ascii="Times New Roman" w:eastAsia="Calibri" w:hAnsi="Times New Roman" w:cs="Times New Roman"/>
        </w:rPr>
        <w:t>ig</w:t>
      </w:r>
      <w:r w:rsidR="00BA3A00">
        <w:rPr>
          <w:rFonts w:ascii="Times New Roman" w:eastAsia="Calibri" w:hAnsi="Times New Roman" w:cs="Times New Roman"/>
        </w:rPr>
        <w:t>ure</w:t>
      </w:r>
      <w:r w:rsidRPr="000B0C28">
        <w:rPr>
          <w:rFonts w:ascii="Times New Roman" w:eastAsia="Calibri" w:hAnsi="Times New Roman" w:cs="Times New Roman"/>
        </w:rPr>
        <w:t xml:space="preserve"> </w:t>
      </w:r>
      <w:r>
        <w:rPr>
          <w:rFonts w:ascii="Times New Roman" w:eastAsia="Calibri" w:hAnsi="Times New Roman" w:cs="Times New Roman"/>
        </w:rPr>
        <w:t>2B</w:t>
      </w:r>
      <w:r w:rsidRPr="000B0C28">
        <w:rPr>
          <w:rFonts w:ascii="Times New Roman" w:eastAsia="Calibri" w:hAnsi="Times New Roman" w:cs="Times New Roman"/>
        </w:rPr>
        <w:t xml:space="preserve">, we assume that the target input and the oscillating distracting input have broadband oscillations with the same central frequency and same synchronization strength.  We considered two different gain modulations; that found in </w:t>
      </w:r>
      <w:r>
        <w:rPr>
          <w:rFonts w:ascii="Times New Roman" w:eastAsia="Calibri" w:hAnsi="Times New Roman" w:cs="Times New Roman"/>
        </w:rPr>
        <w:t>F</w:t>
      </w:r>
      <w:r w:rsidRPr="000B0C28">
        <w:rPr>
          <w:rFonts w:ascii="Times New Roman" w:eastAsia="Calibri" w:hAnsi="Times New Roman" w:cs="Times New Roman"/>
        </w:rPr>
        <w:t>ig</w:t>
      </w:r>
      <w:r w:rsidR="00BA3A00">
        <w:rPr>
          <w:rFonts w:ascii="Times New Roman" w:eastAsia="Calibri" w:hAnsi="Times New Roman" w:cs="Times New Roman"/>
        </w:rPr>
        <w:t>ure</w:t>
      </w:r>
      <w:r w:rsidRPr="000B0C28">
        <w:rPr>
          <w:rFonts w:ascii="Times New Roman" w:eastAsia="Calibri" w:hAnsi="Times New Roman" w:cs="Times New Roman"/>
        </w:rPr>
        <w:t xml:space="preserve"> </w:t>
      </w:r>
      <w:r>
        <w:rPr>
          <w:rFonts w:ascii="Times New Roman" w:eastAsia="Calibri" w:hAnsi="Times New Roman" w:cs="Times New Roman"/>
        </w:rPr>
        <w:t>2</w:t>
      </w:r>
      <w:r w:rsidRPr="000B0C28">
        <w:rPr>
          <w:rFonts w:ascii="Times New Roman" w:eastAsia="Calibri" w:hAnsi="Times New Roman" w:cs="Times New Roman"/>
        </w:rPr>
        <w:t xml:space="preserve"> to maximize decoding accuracy for incoherently oscillating distractors (but which is physiologically implausible as it is often a multimodal function of oscillation phase), and the biologically plausible gain modulation used in </w:t>
      </w:r>
      <w:r w:rsidR="00BA3A00">
        <w:rPr>
          <w:rFonts w:ascii="Times New Roman" w:eastAsia="Calibri" w:hAnsi="Times New Roman" w:cs="Times New Roman"/>
        </w:rPr>
        <w:t>Figure</w:t>
      </w:r>
      <w:r>
        <w:rPr>
          <w:rFonts w:ascii="Times New Roman" w:eastAsia="Calibri" w:hAnsi="Times New Roman" w:cs="Times New Roman"/>
        </w:rPr>
        <w:t xml:space="preserve"> </w:t>
      </w:r>
      <w:r w:rsidR="00D6275E">
        <w:rPr>
          <w:rFonts w:ascii="Times New Roman" w:eastAsia="Calibri" w:hAnsi="Times New Roman" w:cs="Times New Roman"/>
        </w:rPr>
        <w:t>3</w:t>
      </w:r>
      <w:r>
        <w:rPr>
          <w:rFonts w:ascii="Times New Roman" w:eastAsia="Calibri" w:hAnsi="Times New Roman" w:cs="Times New Roman"/>
        </w:rPr>
        <w:t xml:space="preserve">, </w:t>
      </w:r>
      <w:r w:rsidRPr="000B0C28">
        <w:rPr>
          <w:rFonts w:ascii="Times New Roman" w:eastAsia="Calibri" w:hAnsi="Times New Roman" w:cs="Times New Roman"/>
        </w:rPr>
        <w:t>which oscillated about zero with the same waveform as the firing rate modulation of the target input.</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For networks in which the average value of the gain modulation over time is zero, either an asynchronous or an incoherently oscillating distracting input contribute</w:t>
      </w:r>
      <w:r>
        <w:rPr>
          <w:rFonts w:ascii="Times New Roman" w:eastAsia="Calibri" w:hAnsi="Times New Roman" w:cs="Times New Roman"/>
        </w:rPr>
        <w:t>s</w:t>
      </w:r>
      <w:r w:rsidRPr="000B0C28">
        <w:rPr>
          <w:rFonts w:ascii="Times New Roman" w:eastAsia="Calibri" w:hAnsi="Times New Roman" w:cs="Times New Roman"/>
        </w:rPr>
        <w:t xml:space="preserve"> on average zero to the integrated output, irrespective of </w:t>
      </w:r>
      <w:r>
        <w:rPr>
          <w:rFonts w:ascii="Times New Roman" w:eastAsia="Calibri" w:hAnsi="Times New Roman" w:cs="Times New Roman"/>
        </w:rPr>
        <w:t>its</w:t>
      </w:r>
      <w:r w:rsidRPr="000B0C28">
        <w:rPr>
          <w:rFonts w:ascii="Times New Roman" w:eastAsia="Calibri" w:hAnsi="Times New Roman" w:cs="Times New Roman"/>
        </w:rPr>
        <w:t xml:space="preserve"> average firing rate.  However, for any given time window the contribution will not be exactly zero </w:t>
      </w:r>
      <w:r>
        <w:rPr>
          <w:rFonts w:ascii="Times New Roman" w:eastAsia="Calibri" w:hAnsi="Times New Roman" w:cs="Times New Roman"/>
        </w:rPr>
        <w:t>because of</w:t>
      </w:r>
      <w:r w:rsidRPr="000B0C28">
        <w:rPr>
          <w:rFonts w:ascii="Times New Roman" w:eastAsia="Calibri" w:hAnsi="Times New Roman" w:cs="Times New Roman"/>
        </w:rPr>
        <w:t xml:space="preserve"> stochastic spiking of individual neurons and variability in the overlap between the firing rate modulation of the distracting input and gain modulation in the receiving network.   Across an ensemble of time windows there will be a distribution centered on a mean of zero.  The variance of this distribution is a measure of the noise contributed by the distracting input:</w:t>
      </w:r>
    </w:p>
    <w:p w:rsidR="00422C05" w:rsidRPr="000B0C28" w:rsidRDefault="00422C05" w:rsidP="00422C05">
      <w:pPr>
        <w:spacing w:line="360" w:lineRule="auto"/>
        <w:rPr>
          <w:rFonts w:ascii="Times New Roman" w:eastAsiaTheme="minorEastAsia" w:hAnsi="Times New Roman" w:cs="Times New Roman"/>
        </w:rPr>
      </w:pP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r w:rsidRPr="000B0C28">
        <w:rPr>
          <w:rFonts w:ascii="Times New Roman" w:eastAsia="Calibri" w:hAnsi="Times New Roman" w:cs="Times New Roman"/>
        </w:rPr>
        <w:tab/>
      </w:r>
      <w:bookmarkStart w:id="0" w:name="MTBlankEqn"/>
      <w:r w:rsidR="005E188D" w:rsidRPr="005E188D">
        <w:rPr>
          <w:position w:val="-32"/>
        </w:rPr>
        <w:object w:dxaOrig="4580" w:dyaOrig="760">
          <v:shape id="_x0000_i1032" type="#_x0000_t75" style="width:228.75pt;height:38.3pt" o:ole="">
            <v:imagedata r:id="rId22" o:title=""/>
          </v:shape>
          <o:OLEObject Type="Embed" ProgID="Equation.DSMT4" ShapeID="_x0000_i1032" DrawAspect="Content" ObjectID="_1284614333" r:id="rId23"/>
        </w:object>
      </w:r>
      <w:bookmarkEnd w:id="0"/>
      <w:r w:rsidRPr="000B0C28">
        <w:rPr>
          <w:rFonts w:ascii="Times New Roman" w:eastAsiaTheme="minorEastAsia" w:hAnsi="Times New Roman" w:cs="Times New Roman"/>
        </w:rPr>
        <w:t xml:space="preserve"> </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We evaluated the noise variance as a function of average population firing rate for the asynchronous and incoherently oscillating</w:t>
      </w:r>
      <w:r w:rsidR="00BA3A00">
        <w:rPr>
          <w:rFonts w:ascii="Times New Roman" w:eastAsia="Calibri" w:hAnsi="Times New Roman" w:cs="Times New Roman"/>
        </w:rPr>
        <w:t xml:space="preserve"> distracting inputs (Figure</w:t>
      </w:r>
      <w:r>
        <w:rPr>
          <w:rFonts w:ascii="Times New Roman" w:eastAsia="Calibri" w:hAnsi="Times New Roman" w:cs="Times New Roman"/>
        </w:rPr>
        <w:t xml:space="preserve"> S</w:t>
      </w:r>
      <w:r w:rsidR="00D6275E">
        <w:rPr>
          <w:rFonts w:ascii="Times New Roman" w:eastAsia="Calibri" w:hAnsi="Times New Roman" w:cs="Times New Roman"/>
        </w:rPr>
        <w:t>2</w:t>
      </w:r>
      <w:r>
        <w:rPr>
          <w:rFonts w:ascii="Times New Roman" w:eastAsia="Calibri" w:hAnsi="Times New Roman" w:cs="Times New Roman"/>
        </w:rPr>
        <w:t>A</w:t>
      </w:r>
      <w:r w:rsidRPr="000B0C28">
        <w:rPr>
          <w:rFonts w:ascii="Times New Roman" w:eastAsia="Calibri" w:hAnsi="Times New Roman" w:cs="Times New Roman"/>
        </w:rPr>
        <w:t xml:space="preserve">).  For the asynchronous distracting input noise variance increased linearly with average firing rate as expected for Poisson noise.  However, for the distracting input oscillating incoherently in the same frequency band as the target signal the relationship between firing rate and variance was different at low and high firing rates.  </w:t>
      </w:r>
      <w:r w:rsidRPr="000B0C28">
        <w:rPr>
          <w:rFonts w:ascii="Times New Roman" w:eastAsia="Calibri" w:hAnsi="Times New Roman" w:cs="Times New Roman"/>
          <w:lang w:val="en-GB"/>
        </w:rPr>
        <w:t>At low firing rates the noise variance was identical to that due to an asynchronous distractor and increased approximately linearly with firing rat</w:t>
      </w:r>
      <w:r w:rsidR="00BA3A00">
        <w:rPr>
          <w:rFonts w:ascii="Times New Roman" w:eastAsia="Calibri" w:hAnsi="Times New Roman" w:cs="Times New Roman"/>
          <w:lang w:val="en-GB"/>
        </w:rPr>
        <w:t>e (Figure</w:t>
      </w:r>
      <w:r>
        <w:rPr>
          <w:rFonts w:ascii="Times New Roman" w:eastAsia="Calibri" w:hAnsi="Times New Roman" w:cs="Times New Roman"/>
          <w:lang w:val="en-GB"/>
        </w:rPr>
        <w:t xml:space="preserve"> S</w:t>
      </w:r>
      <w:r w:rsidR="00D6275E">
        <w:rPr>
          <w:rFonts w:ascii="Times New Roman" w:eastAsia="Calibri" w:hAnsi="Times New Roman" w:cs="Times New Roman"/>
          <w:lang w:val="en-GB"/>
        </w:rPr>
        <w:t>2</w:t>
      </w:r>
      <w:r>
        <w:rPr>
          <w:rFonts w:ascii="Times New Roman" w:eastAsia="Calibri" w:hAnsi="Times New Roman" w:cs="Times New Roman"/>
          <w:lang w:val="en-GB"/>
        </w:rPr>
        <w:t>A</w:t>
      </w:r>
      <w:r w:rsidRPr="000B0C28">
        <w:rPr>
          <w:rFonts w:ascii="Times New Roman" w:eastAsia="Calibri" w:hAnsi="Times New Roman" w:cs="Times New Roman"/>
          <w:lang w:val="en-GB"/>
        </w:rPr>
        <w:t>).  At higher firing rates the noise variance for the oscillating distractor increased with the square of the firing rate, rapidly becoming much larger than that due to the asynchronous distractor.  In the high firing rate regime the dominant cause of noise is random variability in the overlap between firing rate modulation of the input and gain modulation in the receiving region.</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We defined a threshold that distinguished these regimes as the population firing rate at which the noise due to the oscillating distractor was two-fold larger than that due to the asynchronous distractor (</w:t>
      </w:r>
      <w:r w:rsidR="00BA3A00">
        <w:rPr>
          <w:rFonts w:ascii="Times New Roman" w:eastAsia="Calibri" w:hAnsi="Times New Roman" w:cs="Times New Roman"/>
          <w:lang w:val="en-GB"/>
        </w:rPr>
        <w:t>Figure</w:t>
      </w:r>
      <w:r>
        <w:rPr>
          <w:rFonts w:ascii="Times New Roman" w:eastAsia="Calibri" w:hAnsi="Times New Roman" w:cs="Times New Roman"/>
          <w:lang w:val="en-GB"/>
        </w:rPr>
        <w:t xml:space="preserve"> S</w:t>
      </w:r>
      <w:r w:rsidR="00D6275E">
        <w:rPr>
          <w:rFonts w:ascii="Times New Roman" w:eastAsia="Calibri" w:hAnsi="Times New Roman" w:cs="Times New Roman"/>
          <w:lang w:val="en-GB"/>
        </w:rPr>
        <w:t>2</w:t>
      </w:r>
      <w:r>
        <w:rPr>
          <w:rFonts w:ascii="Times New Roman" w:eastAsia="Calibri" w:hAnsi="Times New Roman" w:cs="Times New Roman"/>
          <w:lang w:val="en-GB"/>
        </w:rPr>
        <w:t>B</w:t>
      </w:r>
      <w:r w:rsidRPr="000B0C28">
        <w:rPr>
          <w:rFonts w:ascii="Times New Roman" w:eastAsia="Calibri" w:hAnsi="Times New Roman" w:cs="Times New Roman"/>
        </w:rPr>
        <w:t xml:space="preserve">).  This threshold was invariant to changes in the integration time, as noise variance for both </w:t>
      </w:r>
      <w:r w:rsidRPr="000B0C28">
        <w:rPr>
          <w:rFonts w:ascii="Times New Roman" w:eastAsia="Calibri" w:hAnsi="Times New Roman" w:cs="Times New Roman"/>
        </w:rPr>
        <w:lastRenderedPageBreak/>
        <w:t>asynchronous and oscillating distractors scaled proportiona</w:t>
      </w:r>
      <w:r>
        <w:rPr>
          <w:rFonts w:ascii="Times New Roman" w:eastAsia="Calibri" w:hAnsi="Times New Roman" w:cs="Times New Roman"/>
        </w:rPr>
        <w:t>l</w:t>
      </w:r>
      <w:r w:rsidRPr="000B0C28">
        <w:rPr>
          <w:rFonts w:ascii="Times New Roman" w:eastAsia="Calibri" w:hAnsi="Times New Roman" w:cs="Times New Roman"/>
        </w:rPr>
        <w:t>ly (</w:t>
      </w:r>
      <w:r w:rsidRPr="000B0C28">
        <w:rPr>
          <w:rFonts w:ascii="Times New Roman" w:eastAsia="Calibri" w:hAnsi="Times New Roman" w:cs="Times New Roman"/>
          <w:lang w:val="en-GB"/>
        </w:rPr>
        <w:t>Fig</w:t>
      </w:r>
      <w:r w:rsidR="00BA3A00">
        <w:rPr>
          <w:rFonts w:ascii="Times New Roman" w:eastAsia="Calibri" w:hAnsi="Times New Roman" w:cs="Times New Roman"/>
          <w:lang w:val="en-GB"/>
        </w:rPr>
        <w:t>ure</w:t>
      </w:r>
      <w:r>
        <w:rPr>
          <w:rFonts w:ascii="Times New Roman" w:eastAsia="Calibri" w:hAnsi="Times New Roman" w:cs="Times New Roman"/>
          <w:lang w:val="en-GB"/>
        </w:rPr>
        <w:t xml:space="preserve"> S</w:t>
      </w:r>
      <w:r w:rsidR="00D6275E">
        <w:rPr>
          <w:rFonts w:ascii="Times New Roman" w:eastAsia="Calibri" w:hAnsi="Times New Roman" w:cs="Times New Roman"/>
          <w:lang w:val="en-GB"/>
        </w:rPr>
        <w:t>2</w:t>
      </w:r>
      <w:r>
        <w:rPr>
          <w:rFonts w:ascii="Times New Roman" w:eastAsia="Calibri" w:hAnsi="Times New Roman" w:cs="Times New Roman"/>
          <w:lang w:val="en-GB"/>
        </w:rPr>
        <w:t>C</w:t>
      </w:r>
      <w:r w:rsidRPr="000B0C28">
        <w:rPr>
          <w:rFonts w:ascii="Times New Roman" w:eastAsia="Calibri" w:hAnsi="Times New Roman" w:cs="Times New Roman"/>
        </w:rPr>
        <w:t>).  The firing rate threshold increased linearly with the oscillation frequency because at higher frequencies the overlap between gain modulation and firing rate modulation was averaged over more oscillation cycles (</w:t>
      </w:r>
      <w:r w:rsidRPr="000B0C28">
        <w:rPr>
          <w:rFonts w:ascii="Times New Roman" w:eastAsia="Calibri" w:hAnsi="Times New Roman" w:cs="Times New Roman"/>
          <w:lang w:val="en-GB"/>
        </w:rPr>
        <w:t>Fig</w:t>
      </w:r>
      <w:r w:rsidR="00BA3A00">
        <w:rPr>
          <w:rFonts w:ascii="Times New Roman" w:eastAsia="Calibri" w:hAnsi="Times New Roman" w:cs="Times New Roman"/>
          <w:lang w:val="en-GB"/>
        </w:rPr>
        <w:t>ure</w:t>
      </w:r>
      <w:r>
        <w:rPr>
          <w:rFonts w:ascii="Times New Roman" w:eastAsia="Calibri" w:hAnsi="Times New Roman" w:cs="Times New Roman"/>
          <w:lang w:val="en-GB"/>
        </w:rPr>
        <w:t xml:space="preserve"> S</w:t>
      </w:r>
      <w:r w:rsidR="00864805">
        <w:rPr>
          <w:rFonts w:ascii="Times New Roman" w:eastAsia="Calibri" w:hAnsi="Times New Roman" w:cs="Times New Roman"/>
          <w:lang w:val="en-GB"/>
        </w:rPr>
        <w:t>2</w:t>
      </w:r>
      <w:r>
        <w:rPr>
          <w:rFonts w:ascii="Times New Roman" w:eastAsia="Calibri" w:hAnsi="Times New Roman" w:cs="Times New Roman"/>
          <w:lang w:val="en-GB"/>
        </w:rPr>
        <w:t>C</w:t>
      </w:r>
      <w:r w:rsidRPr="000B0C28">
        <w:rPr>
          <w:rFonts w:ascii="Times New Roman" w:eastAsia="Calibri" w:hAnsi="Times New Roman" w:cs="Times New Roman"/>
        </w:rPr>
        <w:t>).  By expressing the firing rate threshold in units of spikes per cycle rather than Hz, the threshold remained invariant to changes in th</w:t>
      </w:r>
      <w:r w:rsidR="00BA3A00">
        <w:rPr>
          <w:rFonts w:ascii="Times New Roman" w:eastAsia="Calibri" w:hAnsi="Times New Roman" w:cs="Times New Roman"/>
        </w:rPr>
        <w:t>e oscillation frequency (Figure</w:t>
      </w:r>
      <w:r>
        <w:rPr>
          <w:rFonts w:ascii="Times New Roman" w:eastAsia="Calibri" w:hAnsi="Times New Roman" w:cs="Times New Roman"/>
        </w:rPr>
        <w:t xml:space="preserve"> S</w:t>
      </w:r>
      <w:r w:rsidR="00864805">
        <w:rPr>
          <w:rFonts w:ascii="Times New Roman" w:eastAsia="Calibri" w:hAnsi="Times New Roman" w:cs="Times New Roman"/>
        </w:rPr>
        <w:t>2</w:t>
      </w:r>
      <w:r>
        <w:rPr>
          <w:rFonts w:ascii="Times New Roman" w:eastAsia="Calibri" w:hAnsi="Times New Roman" w:cs="Times New Roman"/>
        </w:rPr>
        <w:t>D</w:t>
      </w:r>
      <w:r w:rsidRPr="000B0C28">
        <w:rPr>
          <w:rFonts w:ascii="Times New Roman" w:eastAsia="Calibri" w:hAnsi="Times New Roman" w:cs="Times New Roman"/>
        </w:rPr>
        <w:t>).</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The threshold firing rate varied with the synchronization strength of the inputs (</w:t>
      </w:r>
      <w:r w:rsidR="00BA3A00">
        <w:rPr>
          <w:rFonts w:ascii="Times New Roman" w:eastAsia="Calibri" w:hAnsi="Times New Roman" w:cs="Times New Roman"/>
          <w:lang w:val="en-GB"/>
        </w:rPr>
        <w:t>Figure</w:t>
      </w:r>
      <w:r>
        <w:rPr>
          <w:rFonts w:ascii="Times New Roman" w:eastAsia="Calibri" w:hAnsi="Times New Roman" w:cs="Times New Roman"/>
          <w:lang w:val="en-GB"/>
        </w:rPr>
        <w:t xml:space="preserve"> S</w:t>
      </w:r>
      <w:r w:rsidR="00864805">
        <w:rPr>
          <w:rFonts w:ascii="Times New Roman" w:eastAsia="Calibri" w:hAnsi="Times New Roman" w:cs="Times New Roman"/>
          <w:lang w:val="en-GB"/>
        </w:rPr>
        <w:t>2</w:t>
      </w:r>
      <w:r>
        <w:rPr>
          <w:rFonts w:ascii="Times New Roman" w:eastAsia="Calibri" w:hAnsi="Times New Roman" w:cs="Times New Roman"/>
          <w:lang w:val="en-GB"/>
        </w:rPr>
        <w:t>E</w:t>
      </w:r>
      <w:r w:rsidRPr="000B0C28">
        <w:rPr>
          <w:rFonts w:ascii="Times New Roman" w:eastAsia="Calibri" w:hAnsi="Times New Roman" w:cs="Times New Roman"/>
        </w:rPr>
        <w:t>).   This is because with weak modulations overlap noise is smaller relative to stochastic spiking of individual neurons.  However, where target and distracting input have comparable modulation strength, this reflects a worsening of the signal-to-noise ratio due to stochastic spiki</w:t>
      </w:r>
      <w:r>
        <w:rPr>
          <w:rFonts w:ascii="Times New Roman" w:eastAsia="Calibri" w:hAnsi="Times New Roman" w:cs="Times New Roman"/>
        </w:rPr>
        <w:t xml:space="preserve">ng rather than an improvement in signal-to-noise ratio </w:t>
      </w:r>
      <w:r w:rsidRPr="000B0C28">
        <w:rPr>
          <w:rFonts w:ascii="Times New Roman" w:eastAsia="Calibri" w:hAnsi="Times New Roman" w:cs="Times New Roman"/>
        </w:rPr>
        <w:t xml:space="preserve">due to overlap variability.  As shown </w:t>
      </w:r>
      <w:r>
        <w:rPr>
          <w:rFonts w:ascii="Times New Roman" w:eastAsia="Calibri" w:hAnsi="Times New Roman" w:cs="Times New Roman"/>
        </w:rPr>
        <w:t>above</w:t>
      </w:r>
      <w:r w:rsidRPr="000B0C28">
        <w:rPr>
          <w:rFonts w:ascii="Times New Roman" w:eastAsia="Calibri" w:hAnsi="Times New Roman" w:cs="Times New Roman"/>
        </w:rPr>
        <w:t xml:space="preserve">, for a given firing rate weak oscillations give much </w:t>
      </w:r>
      <w:r w:rsidR="00BA3A00">
        <w:rPr>
          <w:rFonts w:ascii="Times New Roman" w:eastAsia="Calibri" w:hAnsi="Times New Roman" w:cs="Times New Roman"/>
        </w:rPr>
        <w:t>worse decoding accuracy (Figure</w:t>
      </w:r>
      <w:r>
        <w:rPr>
          <w:rFonts w:ascii="Times New Roman" w:eastAsia="Calibri" w:hAnsi="Times New Roman" w:cs="Times New Roman"/>
        </w:rPr>
        <w:t xml:space="preserve"> 2F</w:t>
      </w:r>
      <w:r w:rsidRPr="000B0C28">
        <w:rPr>
          <w:rFonts w:ascii="Times New Roman" w:eastAsia="Calibri" w:hAnsi="Times New Roman" w:cs="Times New Roman"/>
        </w:rPr>
        <w:t>).</w:t>
      </w:r>
    </w:p>
    <w:p w:rsidR="00422C05" w:rsidRPr="000B0C28" w:rsidRDefault="00422C05" w:rsidP="00422C05">
      <w:pPr>
        <w:spacing w:line="360" w:lineRule="auto"/>
        <w:rPr>
          <w:rFonts w:ascii="Times New Roman" w:eastAsia="Calibri" w:hAnsi="Times New Roman" w:cs="Times New Roman"/>
        </w:rPr>
      </w:pPr>
      <w:r w:rsidRPr="000B0C28">
        <w:rPr>
          <w:rFonts w:ascii="Times New Roman" w:eastAsia="Calibri" w:hAnsi="Times New Roman" w:cs="Times New Roman"/>
        </w:rPr>
        <w:t>For moderately to strongly oscillating distracting inputs, the threshold population firing rate was in the range 5-10 spikes per cycle for a receiving network using the optimized gain modulation.  For the receiving network with a biologically plausible gain modulation the threshold firing rate was in the range 1.5-5 spikes per cycle.</w:t>
      </w:r>
    </w:p>
    <w:p w:rsidR="00422C05" w:rsidRPr="003076DF" w:rsidRDefault="00422C05" w:rsidP="003076DF">
      <w:pPr>
        <w:spacing w:line="360" w:lineRule="auto"/>
        <w:rPr>
          <w:rFonts w:ascii="Times New Roman" w:eastAsia="Calibri" w:hAnsi="Times New Roman" w:cs="Times New Roman"/>
        </w:rPr>
      </w:pPr>
      <w:r w:rsidRPr="000B0C28">
        <w:rPr>
          <w:rFonts w:ascii="Times New Roman" w:eastAsia="Calibri" w:hAnsi="Times New Roman" w:cs="Times New Roman"/>
        </w:rPr>
        <w:t>A threshold of 5 spikes per cycle corresponds to a population firing rate of 200-400 Hz for gamma oscillations, and proportionally less for lower oscillation frequencies.  Although average firing rates in cortex are thought to be low (&lt; 1</w:t>
      </w:r>
      <w:r>
        <w:rPr>
          <w:rFonts w:ascii="Times New Roman" w:eastAsia="Calibri" w:hAnsi="Times New Roman" w:cs="Times New Roman"/>
        </w:rPr>
        <w:t xml:space="preserve"> </w:t>
      </w:r>
      <w:r w:rsidRPr="000B0C28">
        <w:rPr>
          <w:rFonts w:ascii="Times New Roman" w:eastAsia="Calibri" w:hAnsi="Times New Roman" w:cs="Times New Roman"/>
        </w:rPr>
        <w:t>Hz</w:t>
      </w:r>
      <w:r>
        <w:rPr>
          <w:rFonts w:ascii="Times New Roman" w:eastAsia="Calibri" w:hAnsi="Times New Roman" w:cs="Times New Roman"/>
        </w:rPr>
        <w:t>)</w:t>
      </w:r>
      <w:r w:rsidRPr="000B0C28">
        <w:rPr>
          <w:rFonts w:ascii="Times New Roman" w:eastAsia="Calibri" w:hAnsi="Times New Roman" w:cs="Times New Roman"/>
        </w:rPr>
        <w:t xml:space="preserve"> </w:t>
      </w:r>
      <w:r w:rsidRPr="000B0C28">
        <w:rPr>
          <w:rFonts w:ascii="Times New Roman" w:eastAsia="Calibri" w:hAnsi="Times New Roman" w:cs="Times New Roman"/>
        </w:rPr>
        <w:fldChar w:fldCharType="begin"/>
      </w:r>
      <w:r w:rsidR="00E53F2C">
        <w:rPr>
          <w:rFonts w:ascii="Times New Roman" w:eastAsia="Calibri" w:hAnsi="Times New Roman" w:cs="Times New Roman"/>
        </w:rPr>
        <w:instrText xml:space="preserve"> ADDIN ZOTERO_ITEM CSL_CITATION {"citationID":"JrNnWaQA","properties":{"formattedCitation":"[1]","plainCitation":"[1]"},"citationItems":[{"id":426,"uris":["http://zotero.org/users/7466/items/GBTS68I3"],"uri":["http://zotero.org/users/7466/items/GBTS68I3"],"itemData":{"id":426,"type":"article-journal","title":"The Cost of Cortical Computation","container-title":"Current Biology","page":"493-497","volume":"13","issue":"6","DOI":"10.1016/S0960-9822(03)00135-0","author":[{"family":"Lennie","given":"Peter"}],"issued":{"year":2003,"month":3,"day":18},"accessed":{"year":2010,"month":9,"day":14}}}],"schema":"https://github.com/citation-style-language/schema/raw/master/csl-citation.json"} </w:instrText>
      </w:r>
      <w:r w:rsidRPr="000B0C28">
        <w:rPr>
          <w:rFonts w:ascii="Times New Roman" w:eastAsia="Calibri" w:hAnsi="Times New Roman" w:cs="Times New Roman"/>
        </w:rPr>
        <w:fldChar w:fldCharType="separate"/>
      </w:r>
      <w:r w:rsidR="00E53F2C" w:rsidRPr="00E53F2C">
        <w:rPr>
          <w:rFonts w:ascii="Times New Roman" w:hAnsi="Times New Roman" w:cs="Times New Roman"/>
        </w:rPr>
        <w:t>[1]</w:t>
      </w:r>
      <w:r w:rsidRPr="000B0C28">
        <w:rPr>
          <w:rFonts w:ascii="Times New Roman" w:eastAsia="Calibri" w:hAnsi="Times New Roman" w:cs="Times New Roman"/>
        </w:rPr>
        <w:fldChar w:fldCharType="end"/>
      </w:r>
      <w:r w:rsidRPr="000B0C28">
        <w:rPr>
          <w:rFonts w:ascii="Times New Roman" w:eastAsia="Calibri" w:hAnsi="Times New Roman" w:cs="Times New Roman"/>
        </w:rPr>
        <w:t>, mean rates in sensory cortex during behavioral tasks are considerable higher (5-10 Hz</w:t>
      </w:r>
      <w:r>
        <w:rPr>
          <w:rFonts w:ascii="Times New Roman" w:eastAsia="Calibri" w:hAnsi="Times New Roman" w:cs="Times New Roman"/>
        </w:rPr>
        <w:t>)</w:t>
      </w:r>
      <w:r w:rsidRPr="000B0C28">
        <w:rPr>
          <w:rFonts w:ascii="Times New Roman" w:eastAsia="Calibri" w:hAnsi="Times New Roman" w:cs="Times New Roman"/>
        </w:rPr>
        <w:t xml:space="preserve"> </w:t>
      </w:r>
      <w:r w:rsidRPr="000B0C28">
        <w:rPr>
          <w:rFonts w:ascii="Times New Roman" w:eastAsia="Calibri" w:hAnsi="Times New Roman" w:cs="Times New Roman"/>
        </w:rPr>
        <w:fldChar w:fldCharType="begin"/>
      </w:r>
      <w:r w:rsidR="00E53F2C">
        <w:rPr>
          <w:rFonts w:ascii="Times New Roman" w:eastAsia="Calibri" w:hAnsi="Times New Roman" w:cs="Times New Roman"/>
        </w:rPr>
        <w:instrText xml:space="preserve"> ADDIN ZOTERO_ITEM CSL_CITATION {"citationID":"s3nPqOJ3","properties":{"unsorted":false,"formattedCitation":"[2,3]","plainCitation":"[2,3]"},"citationItems":[{"id":758,"uris":["http://zotero.org/users/7466/items/SA9268AG"],"uri":["http://zotero.org/users/7466/items/SA9268AG"],"itemData":{"id":758,"type":"article-journal","title":"Activity in the barrel cortex during active behavior and sleep","container-title":"Journal of Neurophysiology","page":"2074-2084","volume":"103","issue":"4","abstract":"The rate at which neurons fire has wide-reaching implications for the coding schemes used by neural systems. Despite the extensive use of the barrel cortex as a model system, relatively few studies have examined the rate of sensory activity in single neurons in freely moving animals. We examined the activity of barrel cortex neurons in behaving animals during sensory cue interaction, during non-stimulus-related activity, during various states of sleep, and during the administration of isoflurane. The activity of regular-spiking units (RSUs: predominantly excitatory neurons) and fast spiking units (FSUs: a subtype of inhibitory interneurons) was examined separately. We characterized activity by calculating neural firing rates, because several reports have emphasized the low firing rates in this system, reporting that both baseline activity and stimulus evoked activity is &lt;1 Hz. We report that, during sensory cue interaction or non-stimulus-related activity, the majority of RSUs in rat barrel cortex fired at rates significantly &gt;1 Hz, with 27.4% showing rates above 10 Hz during cue interaction. Even during slow wave sleep, which had the lowest mean and median firing rates of any nonanesthetized state observed, 80.0% of RSUs fired above 1 Hz. During all of the nonanesthetized states observed 100% of the FSUs fired well above 1 Hz. When rats were administered isoflurane and at a depth of anesthesia used in standard in vivo electrophysiological preparations, all of the RSUs fired below 1 Hz. We also found that &gt;80% of RSUs either upmodulated or downmodulated their firing during cue interaction. These data suggest that low firing rates do not typify the output of the barrel cortex during awake activity and during sleep and indicate that sensory coding at both the individual and population levels may be nonsparse.","DOI":"10.1152/jn.00474.2009","note":"PMID: 20164403","journalAbbreviation":"J. Neurophysiol","author":[{"family":"Vijayan","given":"Sujith"},{"family":"Hale","given":"Greg J"},{"family":"Moore","given":"Christopher I"},{"family":"Brown","given":"Emery N"},{"family":"Wilson","given":"Matthew"}],"issued":{"year":2010,"month":4},"accessed":{"year":2011,"month":1,"day":13,"season":"13:50:38"}}},{"id":932,"uris":["http://zotero.org/users/7466/items/XBWXA58D"],"uri":["http://zotero.org/users/7466/items/XBWXA58D"],"itemData":{"id":932,"type":"article-journal","title":"Neural Activity in Barrel Cortex Underlying Vibrissa-Based Object Localization in Mice","container-title":"Neuron","page":"1048–1061","volume":"67","issue":"6","author":[{"family":"O'Connor","given":"D. H"},{"family":"Peron","given":"S. P"},{"family":"Huber","given":"D."},{"family":"Svoboda","given":"K."}],"issued":{"year":2010}}}],"schema":"https://github.com/citation-style-language/schema/raw/master/csl-citation.json"} </w:instrText>
      </w:r>
      <w:r w:rsidRPr="000B0C28">
        <w:rPr>
          <w:rFonts w:ascii="Times New Roman" w:eastAsia="Calibri" w:hAnsi="Times New Roman" w:cs="Times New Roman"/>
        </w:rPr>
        <w:fldChar w:fldCharType="separate"/>
      </w:r>
      <w:r w:rsidR="00E53F2C" w:rsidRPr="00E53F2C">
        <w:rPr>
          <w:rFonts w:ascii="Times New Roman" w:hAnsi="Times New Roman" w:cs="Times New Roman"/>
        </w:rPr>
        <w:t>[2,3]</w:t>
      </w:r>
      <w:r w:rsidRPr="000B0C28">
        <w:rPr>
          <w:rFonts w:ascii="Times New Roman" w:eastAsia="Calibri" w:hAnsi="Times New Roman" w:cs="Times New Roman"/>
        </w:rPr>
        <w:fldChar w:fldCharType="end"/>
      </w:r>
      <w:r w:rsidRPr="000B0C28">
        <w:rPr>
          <w:rFonts w:ascii="Times New Roman" w:eastAsia="Calibri" w:hAnsi="Times New Roman" w:cs="Times New Roman"/>
        </w:rPr>
        <w:t xml:space="preserve"> with cells that are strongly driven by a particular stimulus firing at rates up to 100</w:t>
      </w:r>
      <w:r>
        <w:rPr>
          <w:rFonts w:ascii="Times New Roman" w:eastAsia="Calibri" w:hAnsi="Times New Roman" w:cs="Times New Roman"/>
        </w:rPr>
        <w:t xml:space="preserve"> </w:t>
      </w:r>
      <w:r w:rsidRPr="000B0C28">
        <w:rPr>
          <w:rFonts w:ascii="Times New Roman" w:eastAsia="Calibri" w:hAnsi="Times New Roman" w:cs="Times New Roman"/>
        </w:rPr>
        <w:t xml:space="preserve">Hz.  A region of network receiving a distracting input comprised of just a few tens of active neurons would therefore be in the high firing rate regime where ‘non-communication through non-coherence’ performs poorly relative to schemes using more structured oscillations. </w:t>
      </w:r>
    </w:p>
    <w:p w:rsidR="00422C05" w:rsidRPr="00422C05" w:rsidRDefault="00422C05" w:rsidP="00422C05">
      <w:pPr>
        <w:rPr>
          <w:rFonts w:ascii="Times New Roman" w:hAnsi="Times New Roman" w:cs="Times New Roman"/>
          <w:b/>
        </w:rPr>
      </w:pPr>
      <w:r>
        <w:rPr>
          <w:rFonts w:ascii="Times New Roman" w:hAnsi="Times New Roman" w:cs="Times New Roman"/>
          <w:b/>
        </w:rPr>
        <w:t>Supplementary References</w:t>
      </w:r>
    </w:p>
    <w:p w:rsidR="00E53F2C" w:rsidRPr="00E53F2C" w:rsidRDefault="00422C05" w:rsidP="00E53F2C">
      <w:pPr>
        <w:pStyle w:val="Bibliography"/>
        <w:rPr>
          <w:rFonts w:ascii="Times New Roman" w:hAnsi="Times New Roman" w:cs="Times New Roman"/>
        </w:rPr>
      </w:pPr>
      <w:r>
        <w:rPr>
          <w:rFonts w:eastAsia="Calibri"/>
          <w:b/>
          <w:bCs/>
          <w:smallCaps/>
        </w:rPr>
        <w:fldChar w:fldCharType="begin"/>
      </w:r>
      <w:r w:rsidR="00E53F2C">
        <w:rPr>
          <w:rFonts w:eastAsia="Calibri"/>
          <w:b/>
          <w:bCs/>
          <w:smallCaps/>
        </w:rPr>
        <w:instrText xml:space="preserve"> ADDIN ZOTERO_BIBL {"custom":[]} CSL_BIBLIOGRAPHY </w:instrText>
      </w:r>
      <w:r>
        <w:rPr>
          <w:rFonts w:eastAsia="Calibri"/>
          <w:b/>
          <w:bCs/>
          <w:smallCaps/>
        </w:rPr>
        <w:fldChar w:fldCharType="separate"/>
      </w:r>
      <w:r w:rsidR="00E53F2C" w:rsidRPr="00E53F2C">
        <w:rPr>
          <w:rFonts w:ascii="Times New Roman" w:hAnsi="Times New Roman" w:cs="Times New Roman"/>
        </w:rPr>
        <w:t xml:space="preserve">1. </w:t>
      </w:r>
      <w:r w:rsidR="00E53F2C" w:rsidRPr="00E53F2C">
        <w:rPr>
          <w:rFonts w:ascii="Times New Roman" w:hAnsi="Times New Roman" w:cs="Times New Roman"/>
        </w:rPr>
        <w:tab/>
        <w:t>Lennie P (2003) The Cost of Cortical Computation. Current Biology 13: 493–497. doi:10.1016/S0960-9822(03)00135-0.</w:t>
      </w:r>
    </w:p>
    <w:p w:rsidR="00E53F2C" w:rsidRPr="00E53F2C" w:rsidRDefault="00E53F2C" w:rsidP="00E53F2C">
      <w:pPr>
        <w:pStyle w:val="Bibliography"/>
        <w:rPr>
          <w:rFonts w:ascii="Times New Roman" w:hAnsi="Times New Roman" w:cs="Times New Roman"/>
        </w:rPr>
      </w:pPr>
      <w:r w:rsidRPr="00E53F2C">
        <w:rPr>
          <w:rFonts w:ascii="Times New Roman" w:hAnsi="Times New Roman" w:cs="Times New Roman"/>
        </w:rPr>
        <w:t xml:space="preserve">2. </w:t>
      </w:r>
      <w:r w:rsidRPr="00E53F2C">
        <w:rPr>
          <w:rFonts w:ascii="Times New Roman" w:hAnsi="Times New Roman" w:cs="Times New Roman"/>
        </w:rPr>
        <w:tab/>
        <w:t>Vijayan S, Hale GJ, Moore CI, Brown EN, Wilson M (2010) Activity in the barrel cortex during active behavior and sleep. J Neurophysiol 103: 2074–2084. doi:10.1152/jn.00474.2009.</w:t>
      </w:r>
    </w:p>
    <w:p w:rsidR="00E53F2C" w:rsidRPr="00E53F2C" w:rsidRDefault="00E53F2C" w:rsidP="00E53F2C">
      <w:pPr>
        <w:pStyle w:val="Bibliography"/>
        <w:rPr>
          <w:rFonts w:ascii="Times New Roman" w:hAnsi="Times New Roman" w:cs="Times New Roman"/>
        </w:rPr>
      </w:pPr>
      <w:r w:rsidRPr="00E53F2C">
        <w:rPr>
          <w:rFonts w:ascii="Times New Roman" w:hAnsi="Times New Roman" w:cs="Times New Roman"/>
        </w:rPr>
        <w:t xml:space="preserve">3. </w:t>
      </w:r>
      <w:r w:rsidRPr="00E53F2C">
        <w:rPr>
          <w:rFonts w:ascii="Times New Roman" w:hAnsi="Times New Roman" w:cs="Times New Roman"/>
        </w:rPr>
        <w:tab/>
        <w:t>O’Connor DH, Peron SP, Huber D, Svoboda K (2010) Neural Activity in Barrel Cortex Underlying Vibrissa-Based Object Localization in Mice. Neuron 67: 1048–1061.</w:t>
      </w:r>
    </w:p>
    <w:p w:rsidR="00422C05" w:rsidRPr="00422C05" w:rsidRDefault="00422C05" w:rsidP="00422C05">
      <w:pPr>
        <w:outlineLvl w:val="0"/>
        <w:rPr>
          <w:rFonts w:ascii="Times New Roman" w:eastAsia="Calibri" w:hAnsi="Times New Roman" w:cs="Times New Roman"/>
          <w:b/>
          <w:bCs/>
          <w:smallCaps/>
        </w:rPr>
      </w:pPr>
      <w:r>
        <w:rPr>
          <w:rFonts w:ascii="Times New Roman" w:eastAsia="Calibri" w:hAnsi="Times New Roman" w:cs="Times New Roman"/>
          <w:b/>
          <w:bCs/>
          <w:smallCaps/>
        </w:rPr>
        <w:fldChar w:fldCharType="end"/>
      </w:r>
    </w:p>
    <w:p w:rsidR="00D4020F" w:rsidRDefault="00422C05" w:rsidP="00781F61">
      <w:pPr>
        <w:spacing w:line="360" w:lineRule="auto"/>
      </w:pPr>
      <w:r w:rsidRPr="000B0C28">
        <w:rPr>
          <w:rFonts w:ascii="Times New Roman" w:eastAsiaTheme="minorEastAsia" w:hAnsi="Times New Roman" w:cs="Times New Roman"/>
        </w:rPr>
        <w:t xml:space="preserve">  </w:t>
      </w:r>
      <w:bookmarkStart w:id="1" w:name="_GoBack"/>
      <w:bookmarkEnd w:id="1"/>
    </w:p>
    <w:sectPr w:rsidR="00D4020F" w:rsidSect="008D4E5B">
      <w:footerReference w:type="even"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7B" w:rsidRDefault="0001217B">
      <w:pPr>
        <w:spacing w:after="0" w:line="240" w:lineRule="auto"/>
      </w:pPr>
      <w:r>
        <w:separator/>
      </w:r>
    </w:p>
  </w:endnote>
  <w:endnote w:type="continuationSeparator" w:id="0">
    <w:p w:rsidR="0001217B" w:rsidRDefault="0001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C3" w:rsidRDefault="00422C05" w:rsidP="007E2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5C3" w:rsidRDefault="00781F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C3" w:rsidRDefault="00422C05" w:rsidP="007E2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F61">
      <w:rPr>
        <w:rStyle w:val="PageNumber"/>
        <w:noProof/>
      </w:rPr>
      <w:t>1</w:t>
    </w:r>
    <w:r>
      <w:rPr>
        <w:rStyle w:val="PageNumber"/>
      </w:rPr>
      <w:fldChar w:fldCharType="end"/>
    </w:r>
  </w:p>
  <w:p w:rsidR="008D25C3" w:rsidRDefault="00781F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7B" w:rsidRDefault="0001217B">
      <w:pPr>
        <w:spacing w:after="0" w:line="240" w:lineRule="auto"/>
      </w:pPr>
      <w:r>
        <w:separator/>
      </w:r>
    </w:p>
  </w:footnote>
  <w:footnote w:type="continuationSeparator" w:id="0">
    <w:p w:rsidR="0001217B" w:rsidRDefault="000121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4F6"/>
    <w:multiLevelType w:val="hybridMultilevel"/>
    <w:tmpl w:val="D81EB208"/>
    <w:lvl w:ilvl="0" w:tplc="692636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F85993"/>
    <w:multiLevelType w:val="hybridMultilevel"/>
    <w:tmpl w:val="6018D14C"/>
    <w:lvl w:ilvl="0" w:tplc="0C5A5E84">
      <w:start w:val="1"/>
      <w:numFmt w:val="bullet"/>
      <w:lvlText w:val="•"/>
      <w:lvlJc w:val="left"/>
      <w:pPr>
        <w:tabs>
          <w:tab w:val="num" w:pos="720"/>
        </w:tabs>
        <w:ind w:left="720" w:hanging="360"/>
      </w:pPr>
      <w:rPr>
        <w:rFonts w:ascii="Arial" w:hAnsi="Arial" w:hint="default"/>
      </w:rPr>
    </w:lvl>
    <w:lvl w:ilvl="1" w:tplc="62DAD30C" w:tentative="1">
      <w:start w:val="1"/>
      <w:numFmt w:val="bullet"/>
      <w:lvlText w:val="•"/>
      <w:lvlJc w:val="left"/>
      <w:pPr>
        <w:tabs>
          <w:tab w:val="num" w:pos="1440"/>
        </w:tabs>
        <w:ind w:left="1440" w:hanging="360"/>
      </w:pPr>
      <w:rPr>
        <w:rFonts w:ascii="Arial" w:hAnsi="Arial" w:hint="default"/>
      </w:rPr>
    </w:lvl>
    <w:lvl w:ilvl="2" w:tplc="2CE84522" w:tentative="1">
      <w:start w:val="1"/>
      <w:numFmt w:val="bullet"/>
      <w:lvlText w:val="•"/>
      <w:lvlJc w:val="left"/>
      <w:pPr>
        <w:tabs>
          <w:tab w:val="num" w:pos="2160"/>
        </w:tabs>
        <w:ind w:left="2160" w:hanging="360"/>
      </w:pPr>
      <w:rPr>
        <w:rFonts w:ascii="Arial" w:hAnsi="Arial" w:hint="default"/>
      </w:rPr>
    </w:lvl>
    <w:lvl w:ilvl="3" w:tplc="79EEFAB8" w:tentative="1">
      <w:start w:val="1"/>
      <w:numFmt w:val="bullet"/>
      <w:lvlText w:val="•"/>
      <w:lvlJc w:val="left"/>
      <w:pPr>
        <w:tabs>
          <w:tab w:val="num" w:pos="2880"/>
        </w:tabs>
        <w:ind w:left="2880" w:hanging="360"/>
      </w:pPr>
      <w:rPr>
        <w:rFonts w:ascii="Arial" w:hAnsi="Arial" w:hint="default"/>
      </w:rPr>
    </w:lvl>
    <w:lvl w:ilvl="4" w:tplc="0E506A72" w:tentative="1">
      <w:start w:val="1"/>
      <w:numFmt w:val="bullet"/>
      <w:lvlText w:val="•"/>
      <w:lvlJc w:val="left"/>
      <w:pPr>
        <w:tabs>
          <w:tab w:val="num" w:pos="3600"/>
        </w:tabs>
        <w:ind w:left="3600" w:hanging="360"/>
      </w:pPr>
      <w:rPr>
        <w:rFonts w:ascii="Arial" w:hAnsi="Arial" w:hint="default"/>
      </w:rPr>
    </w:lvl>
    <w:lvl w:ilvl="5" w:tplc="17A68124" w:tentative="1">
      <w:start w:val="1"/>
      <w:numFmt w:val="bullet"/>
      <w:lvlText w:val="•"/>
      <w:lvlJc w:val="left"/>
      <w:pPr>
        <w:tabs>
          <w:tab w:val="num" w:pos="4320"/>
        </w:tabs>
        <w:ind w:left="4320" w:hanging="360"/>
      </w:pPr>
      <w:rPr>
        <w:rFonts w:ascii="Arial" w:hAnsi="Arial" w:hint="default"/>
      </w:rPr>
    </w:lvl>
    <w:lvl w:ilvl="6" w:tplc="BE50B640" w:tentative="1">
      <w:start w:val="1"/>
      <w:numFmt w:val="bullet"/>
      <w:lvlText w:val="•"/>
      <w:lvlJc w:val="left"/>
      <w:pPr>
        <w:tabs>
          <w:tab w:val="num" w:pos="5040"/>
        </w:tabs>
        <w:ind w:left="5040" w:hanging="360"/>
      </w:pPr>
      <w:rPr>
        <w:rFonts w:ascii="Arial" w:hAnsi="Arial" w:hint="default"/>
      </w:rPr>
    </w:lvl>
    <w:lvl w:ilvl="7" w:tplc="31782E9A" w:tentative="1">
      <w:start w:val="1"/>
      <w:numFmt w:val="bullet"/>
      <w:lvlText w:val="•"/>
      <w:lvlJc w:val="left"/>
      <w:pPr>
        <w:tabs>
          <w:tab w:val="num" w:pos="5760"/>
        </w:tabs>
        <w:ind w:left="5760" w:hanging="360"/>
      </w:pPr>
      <w:rPr>
        <w:rFonts w:ascii="Arial" w:hAnsi="Arial" w:hint="default"/>
      </w:rPr>
    </w:lvl>
    <w:lvl w:ilvl="8" w:tplc="416C2F84" w:tentative="1">
      <w:start w:val="1"/>
      <w:numFmt w:val="bullet"/>
      <w:lvlText w:val="•"/>
      <w:lvlJc w:val="left"/>
      <w:pPr>
        <w:tabs>
          <w:tab w:val="num" w:pos="6480"/>
        </w:tabs>
        <w:ind w:left="6480" w:hanging="360"/>
      </w:pPr>
      <w:rPr>
        <w:rFonts w:ascii="Arial" w:hAnsi="Arial" w:hint="default"/>
      </w:rPr>
    </w:lvl>
  </w:abstractNum>
  <w:abstractNum w:abstractNumId="2">
    <w:nsid w:val="2E006FF2"/>
    <w:multiLevelType w:val="hybridMultilevel"/>
    <w:tmpl w:val="C910EEBC"/>
    <w:lvl w:ilvl="0" w:tplc="E2B02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9756C"/>
    <w:multiLevelType w:val="hybridMultilevel"/>
    <w:tmpl w:val="B5F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24C3"/>
    <w:multiLevelType w:val="hybridMultilevel"/>
    <w:tmpl w:val="D154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923E1"/>
    <w:multiLevelType w:val="hybridMultilevel"/>
    <w:tmpl w:val="32EE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05"/>
    <w:rsid w:val="0001217B"/>
    <w:rsid w:val="001318B1"/>
    <w:rsid w:val="00170357"/>
    <w:rsid w:val="002B6DA0"/>
    <w:rsid w:val="003076DF"/>
    <w:rsid w:val="0037305E"/>
    <w:rsid w:val="00420919"/>
    <w:rsid w:val="00422C05"/>
    <w:rsid w:val="00450071"/>
    <w:rsid w:val="0046649D"/>
    <w:rsid w:val="004A29A0"/>
    <w:rsid w:val="0057774B"/>
    <w:rsid w:val="005E188D"/>
    <w:rsid w:val="006D3CBC"/>
    <w:rsid w:val="00781F61"/>
    <w:rsid w:val="00864805"/>
    <w:rsid w:val="008B711C"/>
    <w:rsid w:val="00BA3A00"/>
    <w:rsid w:val="00BA6A94"/>
    <w:rsid w:val="00CB1636"/>
    <w:rsid w:val="00D4020F"/>
    <w:rsid w:val="00D6275E"/>
    <w:rsid w:val="00E53F2C"/>
    <w:rsid w:val="00F87995"/>
    <w:rsid w:val="00FF50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05"/>
    <w:rPr>
      <w:lang w:val="en-US"/>
    </w:rPr>
  </w:style>
  <w:style w:type="paragraph" w:styleId="Heading1">
    <w:name w:val="heading 1"/>
    <w:basedOn w:val="Normal"/>
    <w:next w:val="Normal"/>
    <w:link w:val="Heading1Char"/>
    <w:uiPriority w:val="9"/>
    <w:qFormat/>
    <w:rsid w:val="00422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0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422C0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422C05"/>
    <w:rPr>
      <w:rFonts w:asciiTheme="majorHAnsi" w:eastAsiaTheme="majorEastAsia" w:hAnsiTheme="majorHAnsi" w:cstheme="majorBidi"/>
      <w:b/>
      <w:bCs/>
      <w:color w:val="4F81BD" w:themeColor="accent1"/>
      <w:lang w:val="en-US"/>
    </w:rPr>
  </w:style>
  <w:style w:type="character" w:styleId="PlaceholderText">
    <w:name w:val="Placeholder Text"/>
    <w:basedOn w:val="DefaultParagraphFont"/>
    <w:uiPriority w:val="99"/>
    <w:semiHidden/>
    <w:rsid w:val="00422C05"/>
    <w:rPr>
      <w:color w:val="808080"/>
    </w:rPr>
  </w:style>
  <w:style w:type="paragraph" w:styleId="BalloonText">
    <w:name w:val="Balloon Text"/>
    <w:basedOn w:val="Normal"/>
    <w:link w:val="BalloonTextChar"/>
    <w:uiPriority w:val="99"/>
    <w:semiHidden/>
    <w:unhideWhenUsed/>
    <w:rsid w:val="0042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05"/>
    <w:rPr>
      <w:rFonts w:ascii="Tahoma" w:hAnsi="Tahoma" w:cs="Tahoma"/>
      <w:sz w:val="16"/>
      <w:szCs w:val="16"/>
      <w:lang w:val="en-US"/>
    </w:rPr>
  </w:style>
  <w:style w:type="paragraph" w:styleId="ListParagraph">
    <w:name w:val="List Paragraph"/>
    <w:basedOn w:val="Normal"/>
    <w:uiPriority w:val="34"/>
    <w:qFormat/>
    <w:rsid w:val="00422C05"/>
    <w:pPr>
      <w:ind w:left="720"/>
      <w:contextualSpacing/>
    </w:pPr>
  </w:style>
  <w:style w:type="character" w:styleId="CommentReference">
    <w:name w:val="annotation reference"/>
    <w:basedOn w:val="DefaultParagraphFont"/>
    <w:uiPriority w:val="99"/>
    <w:semiHidden/>
    <w:unhideWhenUsed/>
    <w:rsid w:val="00422C05"/>
    <w:rPr>
      <w:sz w:val="18"/>
      <w:szCs w:val="18"/>
    </w:rPr>
  </w:style>
  <w:style w:type="paragraph" w:styleId="CommentText">
    <w:name w:val="annotation text"/>
    <w:basedOn w:val="Normal"/>
    <w:link w:val="CommentTextChar"/>
    <w:uiPriority w:val="99"/>
    <w:semiHidden/>
    <w:unhideWhenUsed/>
    <w:rsid w:val="00422C05"/>
    <w:pPr>
      <w:spacing w:line="240" w:lineRule="auto"/>
    </w:pPr>
    <w:rPr>
      <w:sz w:val="24"/>
      <w:szCs w:val="24"/>
    </w:rPr>
  </w:style>
  <w:style w:type="character" w:customStyle="1" w:styleId="CommentTextChar">
    <w:name w:val="Comment Text Char"/>
    <w:basedOn w:val="DefaultParagraphFont"/>
    <w:link w:val="CommentText"/>
    <w:uiPriority w:val="99"/>
    <w:semiHidden/>
    <w:rsid w:val="00422C05"/>
    <w:rPr>
      <w:sz w:val="24"/>
      <w:szCs w:val="24"/>
      <w:lang w:val="en-US"/>
    </w:rPr>
  </w:style>
  <w:style w:type="paragraph" w:styleId="CommentSubject">
    <w:name w:val="annotation subject"/>
    <w:basedOn w:val="CommentText"/>
    <w:next w:val="CommentText"/>
    <w:link w:val="CommentSubjectChar"/>
    <w:uiPriority w:val="99"/>
    <w:semiHidden/>
    <w:unhideWhenUsed/>
    <w:rsid w:val="00422C05"/>
    <w:rPr>
      <w:b/>
      <w:bCs/>
      <w:sz w:val="20"/>
      <w:szCs w:val="20"/>
    </w:rPr>
  </w:style>
  <w:style w:type="character" w:customStyle="1" w:styleId="CommentSubjectChar">
    <w:name w:val="Comment Subject Char"/>
    <w:basedOn w:val="CommentTextChar"/>
    <w:link w:val="CommentSubject"/>
    <w:uiPriority w:val="99"/>
    <w:semiHidden/>
    <w:rsid w:val="00422C05"/>
    <w:rPr>
      <w:b/>
      <w:bCs/>
      <w:sz w:val="20"/>
      <w:szCs w:val="20"/>
      <w:lang w:val="en-US"/>
    </w:rPr>
  </w:style>
  <w:style w:type="paragraph" w:styleId="Footer">
    <w:name w:val="footer"/>
    <w:basedOn w:val="Normal"/>
    <w:link w:val="FooterChar"/>
    <w:uiPriority w:val="99"/>
    <w:unhideWhenUsed/>
    <w:rsid w:val="00422C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2C05"/>
    <w:rPr>
      <w:lang w:val="en-US"/>
    </w:rPr>
  </w:style>
  <w:style w:type="character" w:styleId="PageNumber">
    <w:name w:val="page number"/>
    <w:basedOn w:val="DefaultParagraphFont"/>
    <w:uiPriority w:val="99"/>
    <w:semiHidden/>
    <w:unhideWhenUsed/>
    <w:rsid w:val="00422C05"/>
  </w:style>
  <w:style w:type="paragraph" w:styleId="Header">
    <w:name w:val="header"/>
    <w:basedOn w:val="Normal"/>
    <w:link w:val="HeaderChar"/>
    <w:uiPriority w:val="99"/>
    <w:semiHidden/>
    <w:unhideWhenUsed/>
    <w:rsid w:val="00422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C05"/>
    <w:rPr>
      <w:lang w:val="en-US"/>
    </w:rPr>
  </w:style>
  <w:style w:type="paragraph" w:styleId="Bibliography">
    <w:name w:val="Bibliography"/>
    <w:basedOn w:val="Normal"/>
    <w:next w:val="Normal"/>
    <w:uiPriority w:val="37"/>
    <w:unhideWhenUsed/>
    <w:rsid w:val="00422C05"/>
    <w:pPr>
      <w:tabs>
        <w:tab w:val="left" w:pos="384"/>
      </w:tabs>
      <w:spacing w:after="240" w:line="240" w:lineRule="auto"/>
      <w:ind w:left="384" w:hanging="384"/>
    </w:pPr>
  </w:style>
  <w:style w:type="paragraph" w:styleId="Revision">
    <w:name w:val="Revision"/>
    <w:hidden/>
    <w:uiPriority w:val="99"/>
    <w:semiHidden/>
    <w:rsid w:val="00422C05"/>
    <w:pPr>
      <w:spacing w:after="0" w:line="240" w:lineRule="auto"/>
    </w:pPr>
    <w:rPr>
      <w:lang w:val="en-US"/>
    </w:rPr>
  </w:style>
  <w:style w:type="character" w:customStyle="1" w:styleId="MTConvertedEquation">
    <w:name w:val="MTConvertedEquation"/>
    <w:basedOn w:val="DefaultParagraphFont"/>
    <w:rsid w:val="005E188D"/>
    <w:rPr>
      <w:rFonts w:ascii="Times New Roman" w:hAnsi="Times New Roman" w:cs="Times New Roman"/>
      <w:b/>
    </w:rPr>
  </w:style>
  <w:style w:type="paragraph" w:customStyle="1" w:styleId="MTDisplayEquation">
    <w:name w:val="MTDisplayEquation"/>
    <w:basedOn w:val="Normal"/>
    <w:next w:val="Normal"/>
    <w:link w:val="MTDisplayEquationChar"/>
    <w:rsid w:val="005E188D"/>
    <w:pPr>
      <w:tabs>
        <w:tab w:val="center" w:pos="4680"/>
        <w:tab w:val="right" w:pos="9360"/>
      </w:tabs>
      <w:spacing w:line="360" w:lineRule="auto"/>
    </w:pPr>
  </w:style>
  <w:style w:type="character" w:customStyle="1" w:styleId="MTDisplayEquationChar">
    <w:name w:val="MTDisplayEquation Char"/>
    <w:basedOn w:val="DefaultParagraphFont"/>
    <w:link w:val="MTDisplayEquation"/>
    <w:rsid w:val="005E188D"/>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05"/>
    <w:rPr>
      <w:lang w:val="en-US"/>
    </w:rPr>
  </w:style>
  <w:style w:type="paragraph" w:styleId="Heading1">
    <w:name w:val="heading 1"/>
    <w:basedOn w:val="Normal"/>
    <w:next w:val="Normal"/>
    <w:link w:val="Heading1Char"/>
    <w:uiPriority w:val="9"/>
    <w:qFormat/>
    <w:rsid w:val="00422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0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422C0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422C05"/>
    <w:rPr>
      <w:rFonts w:asciiTheme="majorHAnsi" w:eastAsiaTheme="majorEastAsia" w:hAnsiTheme="majorHAnsi" w:cstheme="majorBidi"/>
      <w:b/>
      <w:bCs/>
      <w:color w:val="4F81BD" w:themeColor="accent1"/>
      <w:lang w:val="en-US"/>
    </w:rPr>
  </w:style>
  <w:style w:type="character" w:styleId="PlaceholderText">
    <w:name w:val="Placeholder Text"/>
    <w:basedOn w:val="DefaultParagraphFont"/>
    <w:uiPriority w:val="99"/>
    <w:semiHidden/>
    <w:rsid w:val="00422C05"/>
    <w:rPr>
      <w:color w:val="808080"/>
    </w:rPr>
  </w:style>
  <w:style w:type="paragraph" w:styleId="BalloonText">
    <w:name w:val="Balloon Text"/>
    <w:basedOn w:val="Normal"/>
    <w:link w:val="BalloonTextChar"/>
    <w:uiPriority w:val="99"/>
    <w:semiHidden/>
    <w:unhideWhenUsed/>
    <w:rsid w:val="0042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05"/>
    <w:rPr>
      <w:rFonts w:ascii="Tahoma" w:hAnsi="Tahoma" w:cs="Tahoma"/>
      <w:sz w:val="16"/>
      <w:szCs w:val="16"/>
      <w:lang w:val="en-US"/>
    </w:rPr>
  </w:style>
  <w:style w:type="paragraph" w:styleId="ListParagraph">
    <w:name w:val="List Paragraph"/>
    <w:basedOn w:val="Normal"/>
    <w:uiPriority w:val="34"/>
    <w:qFormat/>
    <w:rsid w:val="00422C05"/>
    <w:pPr>
      <w:ind w:left="720"/>
      <w:contextualSpacing/>
    </w:pPr>
  </w:style>
  <w:style w:type="character" w:styleId="CommentReference">
    <w:name w:val="annotation reference"/>
    <w:basedOn w:val="DefaultParagraphFont"/>
    <w:uiPriority w:val="99"/>
    <w:semiHidden/>
    <w:unhideWhenUsed/>
    <w:rsid w:val="00422C05"/>
    <w:rPr>
      <w:sz w:val="18"/>
      <w:szCs w:val="18"/>
    </w:rPr>
  </w:style>
  <w:style w:type="paragraph" w:styleId="CommentText">
    <w:name w:val="annotation text"/>
    <w:basedOn w:val="Normal"/>
    <w:link w:val="CommentTextChar"/>
    <w:uiPriority w:val="99"/>
    <w:semiHidden/>
    <w:unhideWhenUsed/>
    <w:rsid w:val="00422C05"/>
    <w:pPr>
      <w:spacing w:line="240" w:lineRule="auto"/>
    </w:pPr>
    <w:rPr>
      <w:sz w:val="24"/>
      <w:szCs w:val="24"/>
    </w:rPr>
  </w:style>
  <w:style w:type="character" w:customStyle="1" w:styleId="CommentTextChar">
    <w:name w:val="Comment Text Char"/>
    <w:basedOn w:val="DefaultParagraphFont"/>
    <w:link w:val="CommentText"/>
    <w:uiPriority w:val="99"/>
    <w:semiHidden/>
    <w:rsid w:val="00422C05"/>
    <w:rPr>
      <w:sz w:val="24"/>
      <w:szCs w:val="24"/>
      <w:lang w:val="en-US"/>
    </w:rPr>
  </w:style>
  <w:style w:type="paragraph" w:styleId="CommentSubject">
    <w:name w:val="annotation subject"/>
    <w:basedOn w:val="CommentText"/>
    <w:next w:val="CommentText"/>
    <w:link w:val="CommentSubjectChar"/>
    <w:uiPriority w:val="99"/>
    <w:semiHidden/>
    <w:unhideWhenUsed/>
    <w:rsid w:val="00422C05"/>
    <w:rPr>
      <w:b/>
      <w:bCs/>
      <w:sz w:val="20"/>
      <w:szCs w:val="20"/>
    </w:rPr>
  </w:style>
  <w:style w:type="character" w:customStyle="1" w:styleId="CommentSubjectChar">
    <w:name w:val="Comment Subject Char"/>
    <w:basedOn w:val="CommentTextChar"/>
    <w:link w:val="CommentSubject"/>
    <w:uiPriority w:val="99"/>
    <w:semiHidden/>
    <w:rsid w:val="00422C05"/>
    <w:rPr>
      <w:b/>
      <w:bCs/>
      <w:sz w:val="20"/>
      <w:szCs w:val="20"/>
      <w:lang w:val="en-US"/>
    </w:rPr>
  </w:style>
  <w:style w:type="paragraph" w:styleId="Footer">
    <w:name w:val="footer"/>
    <w:basedOn w:val="Normal"/>
    <w:link w:val="FooterChar"/>
    <w:uiPriority w:val="99"/>
    <w:unhideWhenUsed/>
    <w:rsid w:val="00422C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2C05"/>
    <w:rPr>
      <w:lang w:val="en-US"/>
    </w:rPr>
  </w:style>
  <w:style w:type="character" w:styleId="PageNumber">
    <w:name w:val="page number"/>
    <w:basedOn w:val="DefaultParagraphFont"/>
    <w:uiPriority w:val="99"/>
    <w:semiHidden/>
    <w:unhideWhenUsed/>
    <w:rsid w:val="00422C05"/>
  </w:style>
  <w:style w:type="paragraph" w:styleId="Header">
    <w:name w:val="header"/>
    <w:basedOn w:val="Normal"/>
    <w:link w:val="HeaderChar"/>
    <w:uiPriority w:val="99"/>
    <w:semiHidden/>
    <w:unhideWhenUsed/>
    <w:rsid w:val="00422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C05"/>
    <w:rPr>
      <w:lang w:val="en-US"/>
    </w:rPr>
  </w:style>
  <w:style w:type="paragraph" w:styleId="Bibliography">
    <w:name w:val="Bibliography"/>
    <w:basedOn w:val="Normal"/>
    <w:next w:val="Normal"/>
    <w:uiPriority w:val="37"/>
    <w:unhideWhenUsed/>
    <w:rsid w:val="00422C05"/>
    <w:pPr>
      <w:tabs>
        <w:tab w:val="left" w:pos="384"/>
      </w:tabs>
      <w:spacing w:after="240" w:line="240" w:lineRule="auto"/>
      <w:ind w:left="384" w:hanging="384"/>
    </w:pPr>
  </w:style>
  <w:style w:type="paragraph" w:styleId="Revision">
    <w:name w:val="Revision"/>
    <w:hidden/>
    <w:uiPriority w:val="99"/>
    <w:semiHidden/>
    <w:rsid w:val="00422C05"/>
    <w:pPr>
      <w:spacing w:after="0" w:line="240" w:lineRule="auto"/>
    </w:pPr>
    <w:rPr>
      <w:lang w:val="en-US"/>
    </w:rPr>
  </w:style>
  <w:style w:type="character" w:customStyle="1" w:styleId="MTConvertedEquation">
    <w:name w:val="MTConvertedEquation"/>
    <w:basedOn w:val="DefaultParagraphFont"/>
    <w:rsid w:val="005E188D"/>
    <w:rPr>
      <w:rFonts w:ascii="Times New Roman" w:hAnsi="Times New Roman" w:cs="Times New Roman"/>
      <w:b/>
    </w:rPr>
  </w:style>
  <w:style w:type="paragraph" w:customStyle="1" w:styleId="MTDisplayEquation">
    <w:name w:val="MTDisplayEquation"/>
    <w:basedOn w:val="Normal"/>
    <w:next w:val="Normal"/>
    <w:link w:val="MTDisplayEquationChar"/>
    <w:rsid w:val="005E188D"/>
    <w:pPr>
      <w:tabs>
        <w:tab w:val="center" w:pos="4680"/>
        <w:tab w:val="right" w:pos="9360"/>
      </w:tabs>
      <w:spacing w:line="360" w:lineRule="auto"/>
    </w:pPr>
  </w:style>
  <w:style w:type="character" w:customStyle="1" w:styleId="MTDisplayEquationChar">
    <w:name w:val="MTDisplayEquation Char"/>
    <w:basedOn w:val="DefaultParagraphFont"/>
    <w:link w:val="MTDisplayEquation"/>
    <w:rsid w:val="005E18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wmf"/><Relationship Id="rId23" Type="http://schemas.openxmlformats.org/officeDocument/2006/relationships/oleObject" Target="embeddings/oleObject8.bin"/><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1732</Words>
  <Characters>9878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Akam</dc:creator>
  <cp:lastModifiedBy>Dimitri Kullmann</cp:lastModifiedBy>
  <cp:revision>2</cp:revision>
  <dcterms:created xsi:type="dcterms:W3CDTF">2012-10-03T07:30:00Z</dcterms:created>
  <dcterms:modified xsi:type="dcterms:W3CDTF">2012-10-03T07:30:00Z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zotero-version="3.0.3"&gt;&lt;session id="I315FvJK"/&gt;&lt;style id="http://www.zotero.org/styles/plos-comp-bio" hasBibliography="1" bibliographyStyleHasBeenSet="1"/&gt;&lt;prefs&gt;&lt;pref name="fieldType" value="Field"/&gt;&lt;pref name="storeReferences" val</vt:lpwstr>
  </property>
  <property fmtid="{D5CDD505-2E9C-101B-9397-08002B2CF9AE}" pid="3" name="ZOTERO_PREF_2">
    <vt:lpwstr>ue="true"/&gt;&lt;pref name="noteType" value="0"/&gt;&lt;/prefs&gt;&lt;/data&gt;</vt:lpwstr>
  </property>
  <property fmtid="{D5CDD505-2E9C-101B-9397-08002B2CF9AE}" pid="4" name="MTWinEqns">
    <vt:bool>true</vt:bool>
  </property>
</Properties>
</file>